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EF7B8">
      <w:pPr>
        <w:rPr>
          <w:rFonts w:eastAsia="仿宋_GB2312"/>
          <w:sz w:val="36"/>
          <w:szCs w:val="36"/>
        </w:rPr>
      </w:pPr>
    </w:p>
    <w:p w14:paraId="142865E8">
      <w:pPr>
        <w:rPr>
          <w:rFonts w:eastAsia="仿宋_GB2312"/>
          <w:sz w:val="36"/>
          <w:szCs w:val="36"/>
        </w:rPr>
      </w:pPr>
    </w:p>
    <w:p w14:paraId="11598F09">
      <w:pPr>
        <w:rPr>
          <w:rFonts w:eastAsia="仿宋_GB2312"/>
          <w:sz w:val="36"/>
          <w:szCs w:val="36"/>
        </w:rPr>
      </w:pPr>
    </w:p>
    <w:p w14:paraId="7BE59FA5">
      <w:pPr>
        <w:spacing w:line="360" w:lineRule="auto"/>
        <w:jc w:val="center"/>
        <w:rPr>
          <w:rFonts w:eastAsia="方正小标宋_GBK"/>
          <w:bCs/>
          <w:sz w:val="72"/>
          <w:szCs w:val="72"/>
        </w:rPr>
      </w:pPr>
      <w:bookmarkStart w:id="0" w:name="_Toc1219"/>
      <w:r>
        <w:rPr>
          <w:rFonts w:eastAsia="方正小标宋_GBK"/>
          <w:bCs/>
          <w:sz w:val="72"/>
          <w:szCs w:val="72"/>
        </w:rPr>
        <w:t>建设项目环境影响报告表</w:t>
      </w:r>
      <w:bookmarkEnd w:id="0"/>
    </w:p>
    <w:p w14:paraId="6566670B">
      <w:pPr>
        <w:spacing w:before="192" w:beforeLines="80" w:line="360" w:lineRule="auto"/>
        <w:jc w:val="center"/>
        <w:rPr>
          <w:rFonts w:eastAsia="楷体_GB2312"/>
          <w:bCs/>
          <w:sz w:val="48"/>
          <w:szCs w:val="48"/>
        </w:rPr>
      </w:pPr>
      <w:r>
        <w:rPr>
          <w:rFonts w:eastAsia="楷体_GB2312"/>
          <w:bCs/>
          <w:sz w:val="48"/>
          <w:szCs w:val="48"/>
        </w:rPr>
        <w:t>（污染影响类）</w:t>
      </w:r>
    </w:p>
    <w:p w14:paraId="5253708F">
      <w:pPr>
        <w:adjustRightInd w:val="0"/>
        <w:snapToGrid w:val="0"/>
        <w:spacing w:line="288" w:lineRule="auto"/>
        <w:jc w:val="center"/>
        <w:rPr>
          <w:rFonts w:eastAsia="华文仿宋"/>
          <w:kern w:val="44"/>
          <w:sz w:val="44"/>
          <w:szCs w:val="44"/>
        </w:rPr>
      </w:pPr>
    </w:p>
    <w:p w14:paraId="575B350D">
      <w:pPr>
        <w:jc w:val="center"/>
        <w:rPr>
          <w:rFonts w:eastAsia="仿宋"/>
          <w:sz w:val="52"/>
          <w:szCs w:val="52"/>
        </w:rPr>
      </w:pPr>
    </w:p>
    <w:p w14:paraId="0C1F2957">
      <w:pPr>
        <w:ind w:firstLine="1040"/>
        <w:rPr>
          <w:rFonts w:eastAsia="仿宋"/>
          <w:sz w:val="44"/>
          <w:szCs w:val="44"/>
        </w:rPr>
      </w:pPr>
    </w:p>
    <w:p w14:paraId="1EBE9DD0">
      <w:pPr>
        <w:ind w:firstLine="1040"/>
        <w:rPr>
          <w:rFonts w:eastAsia="仿宋"/>
          <w:sz w:val="44"/>
          <w:szCs w:val="44"/>
        </w:rPr>
      </w:pPr>
    </w:p>
    <w:p w14:paraId="3A27EF40">
      <w:pPr>
        <w:ind w:firstLine="1040"/>
        <w:rPr>
          <w:rFonts w:eastAsia="仿宋"/>
          <w:sz w:val="44"/>
          <w:szCs w:val="44"/>
        </w:rPr>
      </w:pPr>
    </w:p>
    <w:p w14:paraId="0321242D">
      <w:pPr>
        <w:adjustRightInd w:val="0"/>
        <w:snapToGrid w:val="0"/>
        <w:spacing w:line="480" w:lineRule="auto"/>
        <w:ind w:left="1699" w:hanging="1699" w:hangingChars="472"/>
        <w:rPr>
          <w:rFonts w:eastAsia="仿宋_GB2312"/>
          <w:sz w:val="36"/>
          <w:szCs w:val="36"/>
          <w:u w:val="single"/>
        </w:rPr>
      </w:pPr>
      <w:r>
        <w:rPr>
          <w:rFonts w:eastAsia="仿宋_GB2312"/>
          <w:sz w:val="36"/>
          <w:szCs w:val="36"/>
        </w:rPr>
        <w:t>项目名称：</w:t>
      </w:r>
      <w:r>
        <w:rPr>
          <w:rFonts w:hint="eastAsia" w:eastAsia="仿宋_GB2312"/>
          <w:sz w:val="36"/>
          <w:szCs w:val="36"/>
          <w:u w:val="single"/>
        </w:rPr>
        <w:t>青思生物科技（寻甸）有限责任公司低变质褐煤、磷矿石浮选尾矿综合利用项目</w:t>
      </w:r>
      <w:r>
        <w:rPr>
          <w:rFonts w:eastAsia="仿宋_GB2312"/>
          <w:sz w:val="36"/>
          <w:szCs w:val="36"/>
          <w:u w:val="single"/>
        </w:rPr>
        <w:t xml:space="preserve">                             </w:t>
      </w:r>
    </w:p>
    <w:p w14:paraId="63EAE3FA">
      <w:pPr>
        <w:adjustRightInd w:val="0"/>
        <w:snapToGrid w:val="0"/>
        <w:spacing w:line="480" w:lineRule="auto"/>
        <w:rPr>
          <w:rFonts w:eastAsia="仿宋_GB2312"/>
          <w:sz w:val="36"/>
          <w:szCs w:val="36"/>
          <w:u w:val="single"/>
        </w:rPr>
      </w:pPr>
      <w:r>
        <w:rPr>
          <w:rFonts w:eastAsia="仿宋_GB2312"/>
          <w:sz w:val="36"/>
          <w:szCs w:val="36"/>
        </w:rPr>
        <w:t>建设单位（盖章）：</w:t>
      </w:r>
      <w:r>
        <w:rPr>
          <w:rFonts w:hint="eastAsia" w:eastAsia="仿宋_GB2312"/>
          <w:sz w:val="36"/>
          <w:szCs w:val="36"/>
          <w:u w:val="single"/>
        </w:rPr>
        <w:t>青思生物科技（寻甸）有限责任公司</w:t>
      </w:r>
      <w:r>
        <w:rPr>
          <w:rFonts w:eastAsia="仿宋_GB2312"/>
          <w:sz w:val="36"/>
          <w:szCs w:val="36"/>
          <w:u w:val="single"/>
        </w:rPr>
        <w:t xml:space="preserve">                                               </w:t>
      </w:r>
    </w:p>
    <w:p w14:paraId="3022D26A">
      <w:pPr>
        <w:adjustRightInd w:val="0"/>
        <w:snapToGrid w:val="0"/>
        <w:spacing w:line="480" w:lineRule="auto"/>
        <w:rPr>
          <w:rFonts w:eastAsia="仿宋_GB2312"/>
          <w:sz w:val="36"/>
          <w:szCs w:val="36"/>
          <w:u w:val="single"/>
        </w:rPr>
      </w:pPr>
      <w:r>
        <w:rPr>
          <w:rFonts w:eastAsia="仿宋_GB2312"/>
          <w:sz w:val="36"/>
          <w:szCs w:val="36"/>
        </w:rPr>
        <w:t>编制日期：</w:t>
      </w:r>
      <w:r>
        <w:rPr>
          <w:rFonts w:eastAsia="仿宋_GB2312"/>
          <w:sz w:val="36"/>
          <w:szCs w:val="36"/>
          <w:u w:val="single"/>
        </w:rPr>
        <w:t xml:space="preserve">          202</w:t>
      </w:r>
      <w:r>
        <w:rPr>
          <w:rFonts w:hint="eastAsia" w:eastAsia="仿宋_GB2312"/>
          <w:sz w:val="36"/>
          <w:szCs w:val="36"/>
          <w:u w:val="single"/>
        </w:rPr>
        <w:t>6</w:t>
      </w:r>
      <w:r>
        <w:rPr>
          <w:rFonts w:eastAsia="仿宋_GB2312"/>
          <w:sz w:val="36"/>
          <w:szCs w:val="36"/>
          <w:u w:val="single"/>
        </w:rPr>
        <w:t>年</w:t>
      </w:r>
      <w:r>
        <w:rPr>
          <w:rFonts w:hint="eastAsia" w:eastAsia="仿宋_GB2312"/>
          <w:sz w:val="36"/>
          <w:szCs w:val="36"/>
          <w:u w:val="single"/>
        </w:rPr>
        <w:t>3</w:t>
      </w:r>
      <w:r>
        <w:rPr>
          <w:rFonts w:eastAsia="仿宋_GB2312"/>
          <w:sz w:val="36"/>
          <w:szCs w:val="36"/>
          <w:u w:val="single"/>
        </w:rPr>
        <w:t xml:space="preserve">月                      </w:t>
      </w:r>
    </w:p>
    <w:p w14:paraId="1DA8D1CC">
      <w:pPr>
        <w:adjustRightInd w:val="0"/>
        <w:snapToGrid w:val="0"/>
        <w:spacing w:line="480" w:lineRule="auto"/>
        <w:ind w:firstLine="1040"/>
        <w:rPr>
          <w:rFonts w:eastAsia="仿宋_GB2312"/>
          <w:sz w:val="36"/>
          <w:szCs w:val="36"/>
        </w:rPr>
      </w:pPr>
      <w:bookmarkStart w:id="1" w:name="_Hlk57884087"/>
    </w:p>
    <w:p w14:paraId="51C1D48D">
      <w:pPr>
        <w:adjustRightInd w:val="0"/>
        <w:snapToGrid w:val="0"/>
        <w:spacing w:line="480" w:lineRule="auto"/>
        <w:ind w:firstLine="1040"/>
        <w:rPr>
          <w:rFonts w:eastAsia="仿宋_GB2312"/>
          <w:sz w:val="36"/>
          <w:szCs w:val="36"/>
        </w:rPr>
      </w:pPr>
    </w:p>
    <w:bookmarkEnd w:id="1"/>
    <w:p w14:paraId="12B6E71A">
      <w:pPr>
        <w:adjustRightInd w:val="0"/>
        <w:snapToGrid w:val="0"/>
        <w:spacing w:line="480" w:lineRule="auto"/>
        <w:jc w:val="center"/>
        <w:rPr>
          <w:rFonts w:eastAsia="楷体_GB2312"/>
          <w:sz w:val="36"/>
          <w:szCs w:val="36"/>
        </w:rPr>
      </w:pPr>
      <w:r>
        <w:rPr>
          <w:rFonts w:eastAsia="楷体_GB2312"/>
          <w:sz w:val="36"/>
          <w:szCs w:val="36"/>
        </w:rPr>
        <w:t>中华人民共和国生态环境部制</w:t>
      </w:r>
    </w:p>
    <w:p w14:paraId="2A19D91B">
      <w:pPr>
        <w:pStyle w:val="15"/>
        <w:rPr>
          <w:rFonts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07A90C39">
      <w:pPr>
        <w:pStyle w:val="15"/>
        <w:rPr>
          <w:rFonts w:eastAsia="仿宋_GB2312"/>
          <w:sz w:val="36"/>
          <w:szCs w:val="36"/>
        </w:rPr>
      </w:pPr>
    </w:p>
    <w:p w14:paraId="0631BA83">
      <w:pPr>
        <w:spacing w:line="480" w:lineRule="auto"/>
        <w:jc w:val="center"/>
        <w:rPr>
          <w:b/>
          <w:bCs/>
          <w:sz w:val="32"/>
          <w:szCs w:val="32"/>
        </w:rPr>
      </w:pPr>
      <w:r>
        <w:rPr>
          <w:b/>
          <w:bCs/>
          <w:sz w:val="32"/>
          <w:szCs w:val="32"/>
        </w:rPr>
        <w:t>目  录</w:t>
      </w:r>
    </w:p>
    <w:p w14:paraId="5F81C747">
      <w:pPr>
        <w:pStyle w:val="59"/>
        <w:tabs>
          <w:tab w:val="right" w:leader="dot" w:pos="8844"/>
        </w:tabs>
        <w:spacing w:line="480" w:lineRule="auto"/>
        <w:rPr>
          <w:sz w:val="24"/>
          <w:szCs w:val="24"/>
        </w:rPr>
      </w:pPr>
      <w:r>
        <w:rPr>
          <w:rFonts w:eastAsia="仿宋_GB2312"/>
          <w:sz w:val="24"/>
          <w:szCs w:val="24"/>
        </w:rPr>
        <w:fldChar w:fldCharType="begin"/>
      </w:r>
      <w:r>
        <w:rPr>
          <w:rFonts w:eastAsia="仿宋_GB2312"/>
          <w:sz w:val="24"/>
          <w:szCs w:val="24"/>
        </w:rPr>
        <w:instrText xml:space="preserve">TOC \o "1-1" \h \u </w:instrText>
      </w:r>
      <w:r>
        <w:rPr>
          <w:rFonts w:eastAsia="仿宋_GB2312"/>
          <w:sz w:val="24"/>
          <w:szCs w:val="24"/>
        </w:rPr>
        <w:fldChar w:fldCharType="separate"/>
      </w:r>
    </w:p>
    <w:p w14:paraId="005E0376">
      <w:pPr>
        <w:pStyle w:val="59"/>
        <w:tabs>
          <w:tab w:val="right" w:leader="dot" w:pos="8844"/>
        </w:tabs>
        <w:spacing w:line="480" w:lineRule="auto"/>
        <w:rPr>
          <w:sz w:val="28"/>
          <w:szCs w:val="28"/>
        </w:rPr>
      </w:pPr>
      <w:r>
        <w:fldChar w:fldCharType="begin"/>
      </w:r>
      <w:r>
        <w:instrText xml:space="preserve"> HYPERLINK \l "_Toc29500" </w:instrText>
      </w:r>
      <w:r>
        <w:fldChar w:fldCharType="separate"/>
      </w:r>
      <w:r>
        <w:rPr>
          <w:rFonts w:eastAsia="黑体"/>
          <w:snapToGrid w:val="0"/>
          <w:sz w:val="28"/>
          <w:szCs w:val="28"/>
        </w:rPr>
        <w:t>一、建设项目基本情况</w:t>
      </w:r>
      <w:r>
        <w:rPr>
          <w:sz w:val="28"/>
          <w:szCs w:val="28"/>
        </w:rPr>
        <w:tab/>
      </w:r>
      <w:r>
        <w:rPr>
          <w:sz w:val="28"/>
          <w:szCs w:val="28"/>
        </w:rPr>
        <w:fldChar w:fldCharType="begin"/>
      </w:r>
      <w:r>
        <w:rPr>
          <w:sz w:val="28"/>
          <w:szCs w:val="28"/>
        </w:rPr>
        <w:instrText xml:space="preserve"> PAGEREF _Toc29500 </w:instrText>
      </w:r>
      <w:r>
        <w:rPr>
          <w:sz w:val="28"/>
          <w:szCs w:val="28"/>
        </w:rPr>
        <w:fldChar w:fldCharType="separate"/>
      </w:r>
      <w:r>
        <w:rPr>
          <w:sz w:val="28"/>
          <w:szCs w:val="28"/>
        </w:rPr>
        <w:t>1</w:t>
      </w:r>
      <w:r>
        <w:rPr>
          <w:sz w:val="28"/>
          <w:szCs w:val="28"/>
        </w:rPr>
        <w:fldChar w:fldCharType="end"/>
      </w:r>
      <w:r>
        <w:rPr>
          <w:sz w:val="28"/>
          <w:szCs w:val="28"/>
        </w:rPr>
        <w:fldChar w:fldCharType="end"/>
      </w:r>
    </w:p>
    <w:p w14:paraId="12293F14">
      <w:pPr>
        <w:pStyle w:val="59"/>
        <w:tabs>
          <w:tab w:val="right" w:leader="dot" w:pos="8844"/>
        </w:tabs>
        <w:spacing w:line="480" w:lineRule="auto"/>
        <w:rPr>
          <w:sz w:val="28"/>
          <w:szCs w:val="28"/>
        </w:rPr>
      </w:pPr>
      <w:r>
        <w:fldChar w:fldCharType="begin"/>
      </w:r>
      <w:r>
        <w:instrText xml:space="preserve"> HYPERLINK \l "_Toc21940" </w:instrText>
      </w:r>
      <w:r>
        <w:fldChar w:fldCharType="separate"/>
      </w:r>
      <w:r>
        <w:rPr>
          <w:rFonts w:eastAsia="黑体"/>
          <w:snapToGrid w:val="0"/>
          <w:sz w:val="28"/>
          <w:szCs w:val="28"/>
        </w:rPr>
        <w:t>二、建设项目工程分析</w:t>
      </w:r>
      <w:r>
        <w:rPr>
          <w:sz w:val="28"/>
          <w:szCs w:val="28"/>
        </w:rPr>
        <w:tab/>
      </w:r>
      <w:r>
        <w:rPr>
          <w:sz w:val="28"/>
          <w:szCs w:val="28"/>
        </w:rPr>
        <w:fldChar w:fldCharType="begin"/>
      </w:r>
      <w:r>
        <w:rPr>
          <w:sz w:val="28"/>
          <w:szCs w:val="28"/>
        </w:rPr>
        <w:instrText xml:space="preserve"> PAGEREF _Toc21940 </w:instrText>
      </w:r>
      <w:r>
        <w:rPr>
          <w:sz w:val="28"/>
          <w:szCs w:val="28"/>
        </w:rPr>
        <w:fldChar w:fldCharType="separate"/>
      </w:r>
      <w:r>
        <w:rPr>
          <w:sz w:val="28"/>
          <w:szCs w:val="28"/>
        </w:rPr>
        <w:t>26</w:t>
      </w:r>
      <w:r>
        <w:rPr>
          <w:sz w:val="28"/>
          <w:szCs w:val="28"/>
        </w:rPr>
        <w:fldChar w:fldCharType="end"/>
      </w:r>
      <w:r>
        <w:rPr>
          <w:sz w:val="28"/>
          <w:szCs w:val="28"/>
        </w:rPr>
        <w:fldChar w:fldCharType="end"/>
      </w:r>
    </w:p>
    <w:p w14:paraId="14AC9440">
      <w:pPr>
        <w:pStyle w:val="59"/>
        <w:tabs>
          <w:tab w:val="right" w:leader="dot" w:pos="8844"/>
        </w:tabs>
        <w:spacing w:line="480" w:lineRule="auto"/>
        <w:rPr>
          <w:sz w:val="28"/>
          <w:szCs w:val="28"/>
        </w:rPr>
      </w:pPr>
      <w:r>
        <w:fldChar w:fldCharType="begin"/>
      </w:r>
      <w:r>
        <w:instrText xml:space="preserve"> HYPERLINK \l "_Toc24964" </w:instrText>
      </w:r>
      <w:r>
        <w:fldChar w:fldCharType="separate"/>
      </w:r>
      <w:r>
        <w:rPr>
          <w:rFonts w:eastAsia="黑体"/>
          <w:snapToGrid w:val="0"/>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_Toc24964 </w:instrText>
      </w:r>
      <w:r>
        <w:rPr>
          <w:sz w:val="28"/>
          <w:szCs w:val="28"/>
        </w:rPr>
        <w:fldChar w:fldCharType="separate"/>
      </w:r>
      <w:r>
        <w:rPr>
          <w:sz w:val="28"/>
          <w:szCs w:val="28"/>
        </w:rPr>
        <w:t>51</w:t>
      </w:r>
      <w:r>
        <w:rPr>
          <w:sz w:val="28"/>
          <w:szCs w:val="28"/>
        </w:rPr>
        <w:fldChar w:fldCharType="end"/>
      </w:r>
      <w:r>
        <w:rPr>
          <w:sz w:val="28"/>
          <w:szCs w:val="28"/>
        </w:rPr>
        <w:fldChar w:fldCharType="end"/>
      </w:r>
    </w:p>
    <w:p w14:paraId="137607EB">
      <w:pPr>
        <w:pStyle w:val="59"/>
        <w:tabs>
          <w:tab w:val="right" w:leader="dot" w:pos="8844"/>
        </w:tabs>
        <w:spacing w:line="480" w:lineRule="auto"/>
        <w:rPr>
          <w:sz w:val="28"/>
          <w:szCs w:val="28"/>
        </w:rPr>
      </w:pPr>
      <w:r>
        <w:fldChar w:fldCharType="begin"/>
      </w:r>
      <w:r>
        <w:instrText xml:space="preserve"> HYPERLINK \l "_Toc21914" </w:instrText>
      </w:r>
      <w:r>
        <w:fldChar w:fldCharType="separate"/>
      </w:r>
      <w:r>
        <w:rPr>
          <w:rFonts w:eastAsia="黑体"/>
          <w:snapToGrid w:val="0"/>
          <w:sz w:val="28"/>
          <w:szCs w:val="28"/>
        </w:rPr>
        <w:t>四、主要环境影响和保护措施</w:t>
      </w:r>
      <w:r>
        <w:rPr>
          <w:sz w:val="28"/>
          <w:szCs w:val="28"/>
        </w:rPr>
        <w:tab/>
      </w:r>
      <w:r>
        <w:rPr>
          <w:sz w:val="28"/>
          <w:szCs w:val="28"/>
        </w:rPr>
        <w:fldChar w:fldCharType="begin"/>
      </w:r>
      <w:r>
        <w:rPr>
          <w:sz w:val="28"/>
          <w:szCs w:val="28"/>
        </w:rPr>
        <w:instrText xml:space="preserve"> PAGEREF _Toc21914 </w:instrText>
      </w:r>
      <w:r>
        <w:rPr>
          <w:sz w:val="28"/>
          <w:szCs w:val="28"/>
        </w:rPr>
        <w:fldChar w:fldCharType="separate"/>
      </w:r>
      <w:r>
        <w:rPr>
          <w:sz w:val="28"/>
          <w:szCs w:val="28"/>
        </w:rPr>
        <w:t>58</w:t>
      </w:r>
      <w:r>
        <w:rPr>
          <w:sz w:val="28"/>
          <w:szCs w:val="28"/>
        </w:rPr>
        <w:fldChar w:fldCharType="end"/>
      </w:r>
      <w:r>
        <w:rPr>
          <w:sz w:val="28"/>
          <w:szCs w:val="28"/>
        </w:rPr>
        <w:fldChar w:fldCharType="end"/>
      </w:r>
    </w:p>
    <w:p w14:paraId="5A02252A">
      <w:pPr>
        <w:pStyle w:val="59"/>
        <w:tabs>
          <w:tab w:val="right" w:leader="dot" w:pos="8844"/>
        </w:tabs>
        <w:spacing w:line="480" w:lineRule="auto"/>
        <w:rPr>
          <w:sz w:val="28"/>
          <w:szCs w:val="28"/>
        </w:rPr>
      </w:pPr>
      <w:r>
        <w:fldChar w:fldCharType="begin"/>
      </w:r>
      <w:r>
        <w:instrText xml:space="preserve"> HYPERLINK \l "_Toc11957" </w:instrText>
      </w:r>
      <w:r>
        <w:fldChar w:fldCharType="separate"/>
      </w:r>
      <w:r>
        <w:rPr>
          <w:rFonts w:eastAsia="黑体"/>
          <w:snapToGrid w:val="0"/>
          <w:sz w:val="28"/>
          <w:szCs w:val="28"/>
        </w:rPr>
        <w:t>五、环境保护措施监督检查清单</w:t>
      </w:r>
      <w:r>
        <w:rPr>
          <w:sz w:val="28"/>
          <w:szCs w:val="28"/>
        </w:rPr>
        <w:tab/>
      </w:r>
      <w:r>
        <w:rPr>
          <w:sz w:val="28"/>
          <w:szCs w:val="28"/>
        </w:rPr>
        <w:fldChar w:fldCharType="begin"/>
      </w:r>
      <w:r>
        <w:rPr>
          <w:sz w:val="28"/>
          <w:szCs w:val="28"/>
        </w:rPr>
        <w:instrText xml:space="preserve"> PAGEREF _Toc11957 </w:instrText>
      </w:r>
      <w:r>
        <w:rPr>
          <w:sz w:val="28"/>
          <w:szCs w:val="28"/>
        </w:rPr>
        <w:fldChar w:fldCharType="separate"/>
      </w:r>
      <w:r>
        <w:rPr>
          <w:sz w:val="28"/>
          <w:szCs w:val="28"/>
        </w:rPr>
        <w:t>89</w:t>
      </w:r>
      <w:r>
        <w:rPr>
          <w:sz w:val="28"/>
          <w:szCs w:val="28"/>
        </w:rPr>
        <w:fldChar w:fldCharType="end"/>
      </w:r>
      <w:r>
        <w:rPr>
          <w:sz w:val="28"/>
          <w:szCs w:val="28"/>
        </w:rPr>
        <w:fldChar w:fldCharType="end"/>
      </w:r>
    </w:p>
    <w:p w14:paraId="19DE7DBA">
      <w:pPr>
        <w:pStyle w:val="59"/>
        <w:tabs>
          <w:tab w:val="right" w:leader="dot" w:pos="8844"/>
        </w:tabs>
        <w:spacing w:line="480" w:lineRule="auto"/>
        <w:rPr>
          <w:sz w:val="28"/>
          <w:szCs w:val="28"/>
        </w:rPr>
      </w:pPr>
      <w:r>
        <w:fldChar w:fldCharType="begin"/>
      </w:r>
      <w:r>
        <w:instrText xml:space="preserve"> HYPERLINK \l "_Toc17513" </w:instrText>
      </w:r>
      <w:r>
        <w:fldChar w:fldCharType="separate"/>
      </w:r>
      <w:r>
        <w:rPr>
          <w:rFonts w:eastAsia="黑体"/>
          <w:snapToGrid w:val="0"/>
          <w:sz w:val="28"/>
          <w:szCs w:val="28"/>
        </w:rPr>
        <w:t>六、结论</w:t>
      </w:r>
      <w:r>
        <w:rPr>
          <w:sz w:val="28"/>
          <w:szCs w:val="28"/>
        </w:rPr>
        <w:tab/>
      </w:r>
      <w:r>
        <w:rPr>
          <w:sz w:val="28"/>
          <w:szCs w:val="28"/>
        </w:rPr>
        <w:fldChar w:fldCharType="begin"/>
      </w:r>
      <w:r>
        <w:rPr>
          <w:sz w:val="28"/>
          <w:szCs w:val="28"/>
        </w:rPr>
        <w:instrText xml:space="preserve"> PAGEREF _Toc17513 </w:instrText>
      </w:r>
      <w:r>
        <w:rPr>
          <w:sz w:val="28"/>
          <w:szCs w:val="28"/>
        </w:rPr>
        <w:fldChar w:fldCharType="separate"/>
      </w:r>
      <w:r>
        <w:rPr>
          <w:sz w:val="28"/>
          <w:szCs w:val="28"/>
        </w:rPr>
        <w:t>91</w:t>
      </w:r>
      <w:r>
        <w:rPr>
          <w:sz w:val="28"/>
          <w:szCs w:val="28"/>
        </w:rPr>
        <w:fldChar w:fldCharType="end"/>
      </w:r>
      <w:r>
        <w:rPr>
          <w:sz w:val="28"/>
          <w:szCs w:val="28"/>
        </w:rPr>
        <w:fldChar w:fldCharType="end"/>
      </w:r>
    </w:p>
    <w:p w14:paraId="19B2A274">
      <w:pPr>
        <w:pStyle w:val="59"/>
        <w:tabs>
          <w:tab w:val="right" w:leader="dot" w:pos="8844"/>
        </w:tabs>
        <w:spacing w:line="480" w:lineRule="auto"/>
        <w:rPr>
          <w:sz w:val="24"/>
          <w:szCs w:val="24"/>
        </w:rPr>
      </w:pPr>
      <w:r>
        <w:fldChar w:fldCharType="begin"/>
      </w:r>
      <w:r>
        <w:instrText xml:space="preserve"> HYPERLINK \l "_Toc3395" </w:instrText>
      </w:r>
      <w:r>
        <w:fldChar w:fldCharType="separate"/>
      </w:r>
      <w:r>
        <w:rPr>
          <w:rFonts w:eastAsia="方正小标宋_GBK"/>
          <w:snapToGrid w:val="0"/>
          <w:sz w:val="28"/>
          <w:szCs w:val="28"/>
        </w:rPr>
        <w:t>建设项目污染物排放量汇总表</w:t>
      </w:r>
      <w:r>
        <w:rPr>
          <w:sz w:val="28"/>
          <w:szCs w:val="28"/>
        </w:rPr>
        <w:tab/>
      </w:r>
      <w:r>
        <w:rPr>
          <w:sz w:val="28"/>
          <w:szCs w:val="28"/>
        </w:rPr>
        <w:fldChar w:fldCharType="begin"/>
      </w:r>
      <w:r>
        <w:rPr>
          <w:sz w:val="28"/>
          <w:szCs w:val="28"/>
        </w:rPr>
        <w:instrText xml:space="preserve"> PAGEREF _Toc3395 </w:instrText>
      </w:r>
      <w:r>
        <w:rPr>
          <w:sz w:val="28"/>
          <w:szCs w:val="28"/>
        </w:rPr>
        <w:fldChar w:fldCharType="separate"/>
      </w:r>
      <w:r>
        <w:rPr>
          <w:sz w:val="28"/>
          <w:szCs w:val="28"/>
        </w:rPr>
        <w:t>92</w:t>
      </w:r>
      <w:r>
        <w:rPr>
          <w:sz w:val="28"/>
          <w:szCs w:val="28"/>
        </w:rPr>
        <w:fldChar w:fldCharType="end"/>
      </w:r>
      <w:r>
        <w:rPr>
          <w:sz w:val="28"/>
          <w:szCs w:val="28"/>
        </w:rPr>
        <w:fldChar w:fldCharType="end"/>
      </w:r>
    </w:p>
    <w:p w14:paraId="5AEA2C88">
      <w:pPr>
        <w:pStyle w:val="15"/>
        <w:spacing w:line="480" w:lineRule="auto"/>
        <w:rPr>
          <w:rFonts w:eastAsia="仿宋_GB2312"/>
          <w:sz w:val="24"/>
          <w:szCs w:val="24"/>
        </w:rPr>
        <w:sectPr>
          <w:footerReference r:id="rId5" w:type="default"/>
          <w:pgSz w:w="11906" w:h="16838"/>
          <w:pgMar w:top="1701" w:right="1531" w:bottom="1701" w:left="1531" w:header="851" w:footer="1077" w:gutter="0"/>
          <w:pgNumType w:start="1"/>
          <w:cols w:space="720" w:num="1"/>
          <w:docGrid w:linePitch="312" w:charSpace="0"/>
        </w:sectPr>
      </w:pPr>
      <w:r>
        <w:rPr>
          <w:rFonts w:eastAsia="仿宋_GB2312"/>
          <w:sz w:val="24"/>
          <w:szCs w:val="24"/>
        </w:rPr>
        <w:fldChar w:fldCharType="end"/>
      </w:r>
    </w:p>
    <w:p w14:paraId="7F8B68CC">
      <w:pPr>
        <w:pStyle w:val="15"/>
        <w:spacing w:line="336" w:lineRule="auto"/>
        <w:rPr>
          <w:b/>
          <w:bCs/>
          <w:sz w:val="24"/>
          <w:szCs w:val="24"/>
        </w:rPr>
      </w:pPr>
      <w:r>
        <w:rPr>
          <w:b/>
          <w:bCs/>
          <w:sz w:val="24"/>
          <w:szCs w:val="24"/>
        </w:rPr>
        <w:t>附件：</w:t>
      </w:r>
    </w:p>
    <w:p w14:paraId="5A8F7D68">
      <w:pPr>
        <w:pStyle w:val="15"/>
        <w:spacing w:line="336" w:lineRule="auto"/>
        <w:rPr>
          <w:sz w:val="24"/>
          <w:szCs w:val="24"/>
        </w:rPr>
      </w:pPr>
      <w:r>
        <w:rPr>
          <w:sz w:val="24"/>
          <w:szCs w:val="24"/>
        </w:rPr>
        <w:t>附件1  投资备案证</w:t>
      </w:r>
    </w:p>
    <w:p w14:paraId="2AEE5A2E">
      <w:pPr>
        <w:pStyle w:val="15"/>
        <w:spacing w:line="336" w:lineRule="auto"/>
        <w:rPr>
          <w:sz w:val="24"/>
          <w:szCs w:val="24"/>
        </w:rPr>
      </w:pPr>
      <w:r>
        <w:rPr>
          <w:sz w:val="24"/>
          <w:szCs w:val="24"/>
        </w:rPr>
        <w:t>附件2</w:t>
      </w:r>
      <w:r>
        <w:rPr>
          <w:rFonts w:hint="eastAsia"/>
          <w:sz w:val="24"/>
          <w:szCs w:val="24"/>
        </w:rPr>
        <w:t xml:space="preserve">  租地</w:t>
      </w:r>
      <w:r>
        <w:rPr>
          <w:sz w:val="24"/>
          <w:szCs w:val="24"/>
        </w:rPr>
        <w:t>协议</w:t>
      </w:r>
    </w:p>
    <w:p w14:paraId="5EC253A5">
      <w:pPr>
        <w:pStyle w:val="15"/>
        <w:spacing w:line="336" w:lineRule="auto"/>
        <w:rPr>
          <w:sz w:val="24"/>
          <w:szCs w:val="24"/>
        </w:rPr>
      </w:pPr>
      <w:r>
        <w:rPr>
          <w:sz w:val="24"/>
          <w:szCs w:val="24"/>
        </w:rPr>
        <w:t xml:space="preserve">附件3  </w:t>
      </w:r>
      <w:r>
        <w:rPr>
          <w:rFonts w:hint="eastAsia"/>
          <w:sz w:val="24"/>
          <w:szCs w:val="24"/>
        </w:rPr>
        <w:t>入园同意书</w:t>
      </w:r>
    </w:p>
    <w:p w14:paraId="719AE054">
      <w:pPr>
        <w:pStyle w:val="15"/>
        <w:spacing w:line="336" w:lineRule="auto"/>
        <w:rPr>
          <w:sz w:val="24"/>
          <w:szCs w:val="24"/>
        </w:rPr>
      </w:pPr>
      <w:r>
        <w:rPr>
          <w:sz w:val="24"/>
          <w:szCs w:val="24"/>
        </w:rPr>
        <w:t xml:space="preserve">附件4  </w:t>
      </w:r>
      <w:r>
        <w:rPr>
          <w:rFonts w:hint="eastAsia"/>
          <w:sz w:val="24"/>
          <w:szCs w:val="24"/>
        </w:rPr>
        <w:t>尾矿成分检测报告</w:t>
      </w:r>
    </w:p>
    <w:p w14:paraId="18F10122">
      <w:pPr>
        <w:pStyle w:val="15"/>
        <w:spacing w:line="336" w:lineRule="auto"/>
        <w:rPr>
          <w:sz w:val="24"/>
          <w:szCs w:val="24"/>
        </w:rPr>
      </w:pPr>
      <w:r>
        <w:rPr>
          <w:sz w:val="24"/>
          <w:szCs w:val="24"/>
        </w:rPr>
        <w:t>附件</w:t>
      </w:r>
      <w:r>
        <w:rPr>
          <w:rFonts w:hint="eastAsia"/>
          <w:sz w:val="24"/>
          <w:szCs w:val="24"/>
        </w:rPr>
        <w:t>5</w:t>
      </w:r>
      <w:r>
        <w:rPr>
          <w:sz w:val="24"/>
          <w:szCs w:val="24"/>
        </w:rPr>
        <w:t xml:space="preserve">  </w:t>
      </w:r>
      <w:r>
        <w:rPr>
          <w:rFonts w:hint="eastAsia"/>
          <w:sz w:val="24"/>
          <w:szCs w:val="24"/>
        </w:rPr>
        <w:t>尾矿固废鉴别报告</w:t>
      </w:r>
    </w:p>
    <w:p w14:paraId="2C1D8DED">
      <w:pPr>
        <w:pStyle w:val="15"/>
        <w:spacing w:line="336" w:lineRule="auto"/>
        <w:rPr>
          <w:sz w:val="24"/>
          <w:szCs w:val="24"/>
        </w:rPr>
      </w:pPr>
      <w:r>
        <w:rPr>
          <w:sz w:val="24"/>
          <w:szCs w:val="24"/>
        </w:rPr>
        <w:t>附件</w:t>
      </w:r>
      <w:r>
        <w:rPr>
          <w:rFonts w:hint="eastAsia"/>
          <w:sz w:val="24"/>
          <w:szCs w:val="24"/>
        </w:rPr>
        <w:t>6</w:t>
      </w:r>
      <w:r>
        <w:rPr>
          <w:sz w:val="24"/>
          <w:szCs w:val="24"/>
        </w:rPr>
        <w:t xml:space="preserve">  </w:t>
      </w:r>
      <w:r>
        <w:rPr>
          <w:rFonts w:hint="eastAsia"/>
          <w:sz w:val="24"/>
          <w:szCs w:val="24"/>
        </w:rPr>
        <w:t>生物发酵剂成分监测报告</w:t>
      </w:r>
    </w:p>
    <w:p w14:paraId="6ADE060C">
      <w:pPr>
        <w:pStyle w:val="15"/>
        <w:spacing w:line="336" w:lineRule="auto"/>
        <w:rPr>
          <w:sz w:val="24"/>
          <w:szCs w:val="24"/>
        </w:rPr>
      </w:pPr>
      <w:r>
        <w:rPr>
          <w:sz w:val="24"/>
          <w:szCs w:val="24"/>
        </w:rPr>
        <w:t>附件</w:t>
      </w:r>
      <w:r>
        <w:rPr>
          <w:rFonts w:hint="eastAsia"/>
          <w:sz w:val="24"/>
          <w:szCs w:val="24"/>
        </w:rPr>
        <w:t>7</w:t>
      </w:r>
      <w:r>
        <w:rPr>
          <w:sz w:val="24"/>
          <w:szCs w:val="24"/>
        </w:rPr>
        <w:t xml:space="preserve">  </w:t>
      </w:r>
      <w:r>
        <w:rPr>
          <w:rFonts w:hint="eastAsia"/>
          <w:sz w:val="24"/>
          <w:szCs w:val="24"/>
        </w:rPr>
        <w:t>草炭成分监测报告</w:t>
      </w:r>
    </w:p>
    <w:p w14:paraId="160AF05D">
      <w:pPr>
        <w:pStyle w:val="15"/>
        <w:spacing w:line="336" w:lineRule="auto"/>
        <w:rPr>
          <w:sz w:val="24"/>
          <w:szCs w:val="24"/>
        </w:rPr>
      </w:pPr>
      <w:r>
        <w:rPr>
          <w:sz w:val="24"/>
          <w:szCs w:val="24"/>
        </w:rPr>
        <w:t>附件</w:t>
      </w:r>
      <w:r>
        <w:rPr>
          <w:rFonts w:hint="eastAsia"/>
          <w:sz w:val="24"/>
          <w:szCs w:val="24"/>
        </w:rPr>
        <w:t>8  云岭水泥脱销环评批复</w:t>
      </w:r>
    </w:p>
    <w:p w14:paraId="5342EF15">
      <w:pPr>
        <w:pStyle w:val="15"/>
        <w:spacing w:line="336" w:lineRule="auto"/>
        <w:rPr>
          <w:sz w:val="24"/>
          <w:szCs w:val="24"/>
        </w:rPr>
      </w:pPr>
      <w:r>
        <w:rPr>
          <w:rFonts w:hint="eastAsia"/>
          <w:sz w:val="24"/>
          <w:szCs w:val="24"/>
        </w:rPr>
        <w:t>附件9</w:t>
      </w:r>
      <w:r>
        <w:rPr>
          <w:sz w:val="24"/>
          <w:szCs w:val="24"/>
        </w:rPr>
        <w:t xml:space="preserve">  </w:t>
      </w:r>
      <w:r>
        <w:rPr>
          <w:rFonts w:hint="eastAsia"/>
          <w:sz w:val="24"/>
          <w:szCs w:val="24"/>
        </w:rPr>
        <w:t>云岭水泥脱销项目验收批复</w:t>
      </w:r>
    </w:p>
    <w:p w14:paraId="64086294">
      <w:pPr>
        <w:pStyle w:val="15"/>
        <w:spacing w:line="336" w:lineRule="auto"/>
        <w:rPr>
          <w:sz w:val="24"/>
          <w:szCs w:val="24"/>
        </w:rPr>
      </w:pPr>
      <w:r>
        <w:rPr>
          <w:sz w:val="24"/>
          <w:szCs w:val="24"/>
        </w:rPr>
        <w:t>附件</w:t>
      </w:r>
      <w:r>
        <w:rPr>
          <w:rFonts w:hint="eastAsia"/>
          <w:sz w:val="24"/>
          <w:szCs w:val="24"/>
        </w:rPr>
        <w:t>10</w:t>
      </w:r>
      <w:r>
        <w:rPr>
          <w:sz w:val="24"/>
          <w:szCs w:val="24"/>
        </w:rPr>
        <w:t xml:space="preserve">  </w:t>
      </w:r>
      <w:r>
        <w:rPr>
          <w:rFonts w:hint="eastAsia"/>
          <w:sz w:val="24"/>
          <w:szCs w:val="24"/>
        </w:rPr>
        <w:t>规划环评审查意见</w:t>
      </w:r>
    </w:p>
    <w:p w14:paraId="4BB09AD0">
      <w:pPr>
        <w:pStyle w:val="15"/>
        <w:spacing w:line="336" w:lineRule="auto"/>
        <w:rPr>
          <w:sz w:val="24"/>
          <w:szCs w:val="24"/>
        </w:rPr>
      </w:pPr>
      <w:r>
        <w:rPr>
          <w:rFonts w:hint="eastAsia"/>
          <w:sz w:val="24"/>
          <w:szCs w:val="24"/>
        </w:rPr>
        <w:t>附件11  营业执照（青思生物）</w:t>
      </w:r>
    </w:p>
    <w:p w14:paraId="2883538B">
      <w:pPr>
        <w:pStyle w:val="15"/>
        <w:spacing w:line="336" w:lineRule="auto"/>
        <w:rPr>
          <w:sz w:val="24"/>
          <w:szCs w:val="24"/>
        </w:rPr>
      </w:pPr>
      <w:r>
        <w:rPr>
          <w:rFonts w:hint="eastAsia"/>
          <w:sz w:val="24"/>
          <w:szCs w:val="24"/>
        </w:rPr>
        <w:t>附件12  项目一次性建成承诺书</w:t>
      </w:r>
    </w:p>
    <w:p w14:paraId="081E49E2">
      <w:pPr>
        <w:pStyle w:val="15"/>
        <w:spacing w:line="336" w:lineRule="auto"/>
        <w:rPr>
          <w:sz w:val="24"/>
          <w:szCs w:val="24"/>
        </w:rPr>
      </w:pPr>
      <w:r>
        <w:rPr>
          <w:rFonts w:hint="eastAsia"/>
          <w:sz w:val="24"/>
          <w:szCs w:val="24"/>
        </w:rPr>
        <w:t>附件13  网络公示证明材料</w:t>
      </w:r>
    </w:p>
    <w:p w14:paraId="08C7F5AA">
      <w:pPr>
        <w:pStyle w:val="15"/>
        <w:spacing w:line="336" w:lineRule="auto"/>
        <w:rPr>
          <w:rFonts w:hint="eastAsia"/>
          <w:sz w:val="24"/>
          <w:szCs w:val="24"/>
        </w:rPr>
      </w:pPr>
      <w:r>
        <w:rPr>
          <w:rFonts w:hint="eastAsia"/>
          <w:sz w:val="24"/>
          <w:szCs w:val="24"/>
        </w:rPr>
        <w:t>附件14  委托书</w:t>
      </w:r>
    </w:p>
    <w:p w14:paraId="405C7D0B">
      <w:pPr>
        <w:pStyle w:val="15"/>
        <w:spacing w:line="336" w:lineRule="auto"/>
        <w:rPr>
          <w:rFonts w:hint="eastAsia"/>
          <w:sz w:val="24"/>
          <w:szCs w:val="24"/>
        </w:rPr>
      </w:pPr>
      <w:r>
        <w:rPr>
          <w:rFonts w:hint="eastAsia"/>
          <w:sz w:val="24"/>
          <w:szCs w:val="24"/>
        </w:rPr>
        <w:t>附件15  质量控制记录表</w:t>
      </w:r>
    </w:p>
    <w:p w14:paraId="187EECBD">
      <w:pPr>
        <w:pStyle w:val="15"/>
        <w:spacing w:line="336" w:lineRule="auto"/>
        <w:rPr>
          <w:rFonts w:hint="eastAsia"/>
          <w:sz w:val="24"/>
          <w:szCs w:val="24"/>
        </w:rPr>
      </w:pPr>
      <w:r>
        <w:rPr>
          <w:rFonts w:hint="eastAsia"/>
          <w:sz w:val="24"/>
          <w:szCs w:val="24"/>
        </w:rPr>
        <w:t>附件16  项目进度表</w:t>
      </w:r>
    </w:p>
    <w:p w14:paraId="6DF3367C">
      <w:pPr>
        <w:pStyle w:val="15"/>
        <w:spacing w:line="336" w:lineRule="auto"/>
        <w:rPr>
          <w:rFonts w:hint="eastAsia"/>
          <w:sz w:val="24"/>
          <w:szCs w:val="24"/>
        </w:rPr>
      </w:pPr>
      <w:r>
        <w:rPr>
          <w:rFonts w:hint="eastAsia"/>
          <w:sz w:val="24"/>
          <w:szCs w:val="24"/>
        </w:rPr>
        <w:t>附件17  评审意见及修改对照</w:t>
      </w:r>
    </w:p>
    <w:p w14:paraId="11A80C99">
      <w:pPr>
        <w:pStyle w:val="15"/>
        <w:spacing w:line="336" w:lineRule="auto"/>
        <w:rPr>
          <w:rFonts w:hint="eastAsia"/>
          <w:sz w:val="24"/>
          <w:szCs w:val="24"/>
        </w:rPr>
      </w:pPr>
    </w:p>
    <w:p w14:paraId="4AB356CB">
      <w:pPr>
        <w:pStyle w:val="15"/>
        <w:spacing w:line="336" w:lineRule="auto"/>
        <w:rPr>
          <w:rFonts w:hint="eastAsia"/>
          <w:sz w:val="24"/>
          <w:szCs w:val="24"/>
        </w:rPr>
      </w:pPr>
    </w:p>
    <w:p w14:paraId="7914C43C">
      <w:pPr>
        <w:pStyle w:val="15"/>
        <w:spacing w:line="336" w:lineRule="auto"/>
        <w:rPr>
          <w:rFonts w:hint="eastAsia"/>
          <w:sz w:val="24"/>
          <w:szCs w:val="24"/>
        </w:rPr>
      </w:pPr>
    </w:p>
    <w:p w14:paraId="1C782D5E">
      <w:pPr>
        <w:widowControl/>
        <w:jc w:val="left"/>
        <w:rPr>
          <w:kern w:val="0"/>
          <w:sz w:val="24"/>
        </w:rPr>
      </w:pPr>
      <w:r>
        <w:rPr>
          <w:sz w:val="24"/>
        </w:rPr>
        <w:br w:type="page"/>
      </w:r>
    </w:p>
    <w:p w14:paraId="13BA6776">
      <w:pPr>
        <w:pStyle w:val="15"/>
        <w:spacing w:line="336" w:lineRule="auto"/>
        <w:rPr>
          <w:sz w:val="24"/>
          <w:szCs w:val="24"/>
        </w:rPr>
      </w:pPr>
    </w:p>
    <w:p w14:paraId="7F2B4E5D">
      <w:pPr>
        <w:pStyle w:val="15"/>
        <w:spacing w:line="336" w:lineRule="auto"/>
        <w:rPr>
          <w:b/>
          <w:bCs/>
          <w:sz w:val="24"/>
          <w:szCs w:val="24"/>
        </w:rPr>
      </w:pPr>
      <w:r>
        <w:rPr>
          <w:b/>
          <w:bCs/>
          <w:sz w:val="24"/>
          <w:szCs w:val="24"/>
        </w:rPr>
        <w:t>附图：</w:t>
      </w:r>
    </w:p>
    <w:p w14:paraId="307E9A9B">
      <w:pPr>
        <w:pStyle w:val="15"/>
        <w:spacing w:line="336" w:lineRule="auto"/>
        <w:rPr>
          <w:sz w:val="24"/>
          <w:szCs w:val="24"/>
        </w:rPr>
      </w:pPr>
      <w:r>
        <w:rPr>
          <w:sz w:val="24"/>
          <w:szCs w:val="24"/>
        </w:rPr>
        <w:t>附图1  项目地理位置图</w:t>
      </w:r>
    </w:p>
    <w:p w14:paraId="5A0AC198">
      <w:pPr>
        <w:pStyle w:val="15"/>
        <w:spacing w:line="336" w:lineRule="auto"/>
        <w:rPr>
          <w:sz w:val="24"/>
          <w:szCs w:val="24"/>
        </w:rPr>
      </w:pPr>
      <w:r>
        <w:rPr>
          <w:sz w:val="24"/>
          <w:szCs w:val="24"/>
        </w:rPr>
        <w:t>附图2  项目区水系图</w:t>
      </w:r>
    </w:p>
    <w:p w14:paraId="5B65093D">
      <w:pPr>
        <w:pStyle w:val="15"/>
        <w:spacing w:line="336" w:lineRule="auto"/>
        <w:rPr>
          <w:sz w:val="24"/>
          <w:szCs w:val="24"/>
        </w:rPr>
      </w:pPr>
      <w:r>
        <w:rPr>
          <w:rFonts w:hint="eastAsia"/>
          <w:sz w:val="24"/>
          <w:szCs w:val="24"/>
        </w:rPr>
        <w:t>附图3-1  项目总平面布置图</w:t>
      </w:r>
    </w:p>
    <w:p w14:paraId="1F9CCC50">
      <w:pPr>
        <w:pStyle w:val="15"/>
        <w:spacing w:line="336" w:lineRule="auto"/>
        <w:rPr>
          <w:sz w:val="24"/>
          <w:szCs w:val="24"/>
        </w:rPr>
      </w:pPr>
      <w:r>
        <w:rPr>
          <w:rFonts w:hint="eastAsia"/>
          <w:sz w:val="24"/>
          <w:szCs w:val="24"/>
        </w:rPr>
        <w:t>附图3-2  与云南建工云岭水泥厂平面关系图</w:t>
      </w:r>
    </w:p>
    <w:p w14:paraId="0E765DBB">
      <w:pPr>
        <w:pStyle w:val="15"/>
        <w:spacing w:line="336" w:lineRule="auto"/>
        <w:rPr>
          <w:sz w:val="24"/>
          <w:szCs w:val="24"/>
        </w:rPr>
      </w:pPr>
      <w:r>
        <w:rPr>
          <w:sz w:val="24"/>
          <w:szCs w:val="24"/>
        </w:rPr>
        <w:t>附图4  项目区保护目标分布图</w:t>
      </w:r>
    </w:p>
    <w:p w14:paraId="1B98B018">
      <w:pPr>
        <w:pStyle w:val="15"/>
        <w:spacing w:line="336" w:lineRule="auto"/>
        <w:rPr>
          <w:sz w:val="24"/>
          <w:szCs w:val="24"/>
        </w:rPr>
      </w:pPr>
      <w:r>
        <w:rPr>
          <w:sz w:val="24"/>
          <w:szCs w:val="24"/>
        </w:rPr>
        <w:t>附图5</w:t>
      </w:r>
      <w:r>
        <w:rPr>
          <w:rFonts w:hint="eastAsia"/>
          <w:sz w:val="24"/>
          <w:szCs w:val="24"/>
        </w:rPr>
        <w:t>-1</w:t>
      </w:r>
      <w:r>
        <w:rPr>
          <w:sz w:val="24"/>
          <w:szCs w:val="24"/>
        </w:rPr>
        <w:t xml:space="preserve">  </w:t>
      </w:r>
      <w:r>
        <w:rPr>
          <w:rFonts w:hint="eastAsia"/>
          <w:sz w:val="24"/>
          <w:szCs w:val="24"/>
        </w:rPr>
        <w:t>与园区用地规划关系图</w:t>
      </w:r>
    </w:p>
    <w:p w14:paraId="14E0884C">
      <w:pPr>
        <w:pStyle w:val="15"/>
        <w:spacing w:line="336" w:lineRule="auto"/>
        <w:rPr>
          <w:sz w:val="24"/>
          <w:szCs w:val="24"/>
        </w:rPr>
      </w:pPr>
      <w:r>
        <w:rPr>
          <w:rFonts w:hint="eastAsia"/>
          <w:sz w:val="24"/>
          <w:szCs w:val="24"/>
        </w:rPr>
        <w:t>附图5-2  与园区功能分区规划关系图</w:t>
      </w:r>
    </w:p>
    <w:p w14:paraId="3EBFDD44">
      <w:pPr>
        <w:pStyle w:val="15"/>
        <w:spacing w:line="336" w:lineRule="auto"/>
        <w:rPr>
          <w:sz w:val="24"/>
          <w:szCs w:val="24"/>
        </w:rPr>
      </w:pPr>
      <w:r>
        <w:rPr>
          <w:sz w:val="24"/>
          <w:szCs w:val="24"/>
        </w:rPr>
        <w:t>附图</w:t>
      </w:r>
      <w:r>
        <w:rPr>
          <w:rFonts w:hint="eastAsia"/>
          <w:sz w:val="24"/>
          <w:szCs w:val="24"/>
        </w:rPr>
        <w:t>6</w:t>
      </w:r>
      <w:r>
        <w:rPr>
          <w:sz w:val="24"/>
          <w:szCs w:val="24"/>
        </w:rPr>
        <w:t xml:space="preserve">  </w:t>
      </w:r>
      <w:r>
        <w:rPr>
          <w:rFonts w:hint="eastAsia"/>
          <w:sz w:val="24"/>
          <w:szCs w:val="24"/>
        </w:rPr>
        <w:t>与牛栏江流域（云南段）水环境保护分区关系图</w:t>
      </w:r>
    </w:p>
    <w:p w14:paraId="67E09B9F">
      <w:pPr>
        <w:pStyle w:val="15"/>
        <w:spacing w:line="336" w:lineRule="auto"/>
        <w:rPr>
          <w:sz w:val="24"/>
          <w:szCs w:val="24"/>
        </w:rPr>
      </w:pPr>
      <w:r>
        <w:rPr>
          <w:rFonts w:hint="eastAsia"/>
          <w:sz w:val="24"/>
          <w:szCs w:val="24"/>
        </w:rPr>
        <w:t>附图7  与牛栏江（寻甸段）水环境保护分区关系图</w:t>
      </w:r>
    </w:p>
    <w:p w14:paraId="6C0CD983">
      <w:pPr>
        <w:pStyle w:val="15"/>
        <w:spacing w:line="336" w:lineRule="auto"/>
        <w:rPr>
          <w:sz w:val="24"/>
          <w:szCs w:val="24"/>
        </w:rPr>
      </w:pPr>
      <w:r>
        <w:rPr>
          <w:rFonts w:hint="eastAsia"/>
          <w:sz w:val="24"/>
          <w:szCs w:val="24"/>
        </w:rPr>
        <w:t>附图8  项目与分区管控单元关系图</w:t>
      </w:r>
    </w:p>
    <w:p w14:paraId="6C6F27A2">
      <w:pPr>
        <w:pStyle w:val="15"/>
        <w:spacing w:line="336" w:lineRule="auto"/>
        <w:rPr>
          <w:sz w:val="24"/>
          <w:szCs w:val="24"/>
        </w:rPr>
      </w:pPr>
      <w:r>
        <w:rPr>
          <w:rFonts w:hint="eastAsia"/>
          <w:sz w:val="24"/>
          <w:szCs w:val="24"/>
        </w:rPr>
        <w:t>附图9  与生态保护红线关系图</w:t>
      </w:r>
    </w:p>
    <w:p w14:paraId="13A9B0D0">
      <w:pPr>
        <w:pStyle w:val="15"/>
        <w:spacing w:line="336" w:lineRule="auto"/>
        <w:rPr>
          <w:sz w:val="24"/>
          <w:szCs w:val="24"/>
        </w:rPr>
      </w:pPr>
      <w:r>
        <w:rPr>
          <w:rFonts w:hint="eastAsia"/>
          <w:sz w:val="24"/>
          <w:szCs w:val="24"/>
        </w:rPr>
        <w:t>附图10  项目分区防渗图</w:t>
      </w:r>
    </w:p>
    <w:p w14:paraId="573B5E9B">
      <w:pPr>
        <w:pStyle w:val="15"/>
        <w:spacing w:line="336" w:lineRule="auto"/>
        <w:rPr>
          <w:sz w:val="24"/>
          <w:szCs w:val="24"/>
        </w:rPr>
      </w:pPr>
    </w:p>
    <w:p w14:paraId="16C80948">
      <w:pPr>
        <w:pStyle w:val="15"/>
        <w:spacing w:line="336" w:lineRule="auto"/>
        <w:rPr>
          <w:sz w:val="24"/>
          <w:szCs w:val="24"/>
        </w:rPr>
        <w:sectPr>
          <w:pgSz w:w="11906" w:h="16838"/>
          <w:pgMar w:top="1701" w:right="1531" w:bottom="1701" w:left="1531" w:header="851" w:footer="1077" w:gutter="0"/>
          <w:pgNumType w:start="1"/>
          <w:cols w:space="720" w:num="1"/>
          <w:docGrid w:linePitch="312" w:charSpace="0"/>
        </w:sectPr>
      </w:pPr>
    </w:p>
    <w:p w14:paraId="36C3A3E3">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2" w:name="_Toc29500"/>
      <w:r>
        <w:rPr>
          <w:rFonts w:ascii="Times New Roman" w:hAnsi="Times New Roman" w:eastAsia="黑体"/>
          <w:snapToGrid w:val="0"/>
          <w:sz w:val="30"/>
          <w:szCs w:val="30"/>
        </w:rPr>
        <w:t>一、建设项目基本情况</w:t>
      </w:r>
      <w:bookmarkEnd w:id="2"/>
    </w:p>
    <w:tbl>
      <w:tblPr>
        <w:tblStyle w:val="23"/>
        <w:tblW w:w="92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2"/>
        <w:gridCol w:w="794"/>
        <w:gridCol w:w="2333"/>
        <w:gridCol w:w="2212"/>
        <w:gridCol w:w="3032"/>
      </w:tblGrid>
      <w:tr w14:paraId="5204F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22CE1E92">
            <w:pPr>
              <w:adjustRightInd w:val="0"/>
              <w:snapToGrid w:val="0"/>
              <w:jc w:val="center"/>
              <w:rPr>
                <w:sz w:val="24"/>
              </w:rPr>
            </w:pPr>
            <w:r>
              <w:rPr>
                <w:sz w:val="24"/>
              </w:rPr>
              <w:t>建设项目名称</w:t>
            </w:r>
          </w:p>
        </w:tc>
        <w:tc>
          <w:tcPr>
            <w:tcW w:w="7577" w:type="dxa"/>
            <w:gridSpan w:val="3"/>
            <w:vAlign w:val="center"/>
          </w:tcPr>
          <w:p w14:paraId="6824FCD3">
            <w:pPr>
              <w:adjustRightInd w:val="0"/>
              <w:snapToGrid w:val="0"/>
              <w:jc w:val="center"/>
              <w:rPr>
                <w:sz w:val="24"/>
              </w:rPr>
            </w:pPr>
            <w:r>
              <w:rPr>
                <w:rFonts w:hint="eastAsia"/>
                <w:sz w:val="24"/>
              </w:rPr>
              <w:t>青思生物科技（寻甸）有限责任公司低变质褐煤、磷矿石浮选尾矿综合利用项目</w:t>
            </w:r>
          </w:p>
        </w:tc>
      </w:tr>
      <w:tr w14:paraId="478B9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2F7E02BA">
            <w:pPr>
              <w:adjustRightInd w:val="0"/>
              <w:snapToGrid w:val="0"/>
              <w:jc w:val="center"/>
              <w:rPr>
                <w:sz w:val="24"/>
              </w:rPr>
            </w:pPr>
            <w:r>
              <w:rPr>
                <w:sz w:val="24"/>
              </w:rPr>
              <w:t>项目代码</w:t>
            </w:r>
          </w:p>
        </w:tc>
        <w:tc>
          <w:tcPr>
            <w:tcW w:w="7577" w:type="dxa"/>
            <w:gridSpan w:val="3"/>
            <w:vAlign w:val="center"/>
          </w:tcPr>
          <w:p w14:paraId="1D5E502A">
            <w:pPr>
              <w:adjustRightInd w:val="0"/>
              <w:snapToGrid w:val="0"/>
              <w:jc w:val="center"/>
              <w:rPr>
                <w:sz w:val="24"/>
              </w:rPr>
            </w:pPr>
            <w:r>
              <w:rPr>
                <w:rFonts w:hint="eastAsia"/>
                <w:sz w:val="24"/>
              </w:rPr>
              <w:t>2510-530129-04-01-685356</w:t>
            </w:r>
          </w:p>
        </w:tc>
      </w:tr>
      <w:tr w14:paraId="326E3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22CAD39D">
            <w:pPr>
              <w:adjustRightInd w:val="0"/>
              <w:snapToGrid w:val="0"/>
              <w:jc w:val="center"/>
              <w:rPr>
                <w:sz w:val="24"/>
              </w:rPr>
            </w:pPr>
            <w:r>
              <w:rPr>
                <w:sz w:val="24"/>
              </w:rPr>
              <w:t>建设单位联系人</w:t>
            </w:r>
          </w:p>
        </w:tc>
        <w:tc>
          <w:tcPr>
            <w:tcW w:w="2333" w:type="dxa"/>
            <w:vAlign w:val="center"/>
          </w:tcPr>
          <w:p w14:paraId="5A0FB8B0">
            <w:pPr>
              <w:adjustRightInd w:val="0"/>
              <w:snapToGrid w:val="0"/>
              <w:jc w:val="center"/>
              <w:rPr>
                <w:rFonts w:hint="default" w:eastAsia="宋体"/>
                <w:sz w:val="24"/>
                <w:lang w:val="en-US" w:eastAsia="zh-CN"/>
              </w:rPr>
            </w:pPr>
          </w:p>
        </w:tc>
        <w:tc>
          <w:tcPr>
            <w:tcW w:w="2212" w:type="dxa"/>
            <w:vAlign w:val="center"/>
          </w:tcPr>
          <w:p w14:paraId="267B5307">
            <w:pPr>
              <w:adjustRightInd w:val="0"/>
              <w:snapToGrid w:val="0"/>
              <w:jc w:val="center"/>
              <w:rPr>
                <w:sz w:val="24"/>
              </w:rPr>
            </w:pPr>
            <w:r>
              <w:rPr>
                <w:sz w:val="24"/>
              </w:rPr>
              <w:t>联系方式</w:t>
            </w:r>
          </w:p>
        </w:tc>
        <w:tc>
          <w:tcPr>
            <w:tcW w:w="3032" w:type="dxa"/>
            <w:vAlign w:val="center"/>
          </w:tcPr>
          <w:p w14:paraId="49269244">
            <w:pPr>
              <w:adjustRightInd w:val="0"/>
              <w:snapToGrid w:val="0"/>
              <w:jc w:val="center"/>
              <w:rPr>
                <w:sz w:val="24"/>
              </w:rPr>
            </w:pPr>
          </w:p>
        </w:tc>
      </w:tr>
      <w:tr w14:paraId="1B938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306C9FEE">
            <w:pPr>
              <w:adjustRightInd w:val="0"/>
              <w:snapToGrid w:val="0"/>
              <w:jc w:val="center"/>
              <w:rPr>
                <w:sz w:val="24"/>
              </w:rPr>
            </w:pPr>
            <w:r>
              <w:rPr>
                <w:sz w:val="24"/>
              </w:rPr>
              <w:t>建设地点</w:t>
            </w:r>
          </w:p>
        </w:tc>
        <w:tc>
          <w:tcPr>
            <w:tcW w:w="7577" w:type="dxa"/>
            <w:gridSpan w:val="3"/>
            <w:vAlign w:val="center"/>
          </w:tcPr>
          <w:p w14:paraId="3322C244">
            <w:pPr>
              <w:adjustRightInd w:val="0"/>
              <w:snapToGrid w:val="0"/>
              <w:jc w:val="center"/>
              <w:rPr>
                <w:sz w:val="24"/>
              </w:rPr>
            </w:pPr>
            <w:r>
              <w:rPr>
                <w:sz w:val="24"/>
                <w:u w:val="single"/>
              </w:rPr>
              <w:t>昆明</w:t>
            </w:r>
            <w:r>
              <w:rPr>
                <w:sz w:val="24"/>
              </w:rPr>
              <w:t>市</w:t>
            </w:r>
            <w:r>
              <w:rPr>
                <w:rFonts w:hint="eastAsia"/>
                <w:sz w:val="24"/>
                <w:u w:val="single"/>
              </w:rPr>
              <w:t>寻甸</w:t>
            </w:r>
            <w:r>
              <w:rPr>
                <w:rFonts w:hint="eastAsia"/>
                <w:sz w:val="24"/>
              </w:rPr>
              <w:t>县</w:t>
            </w:r>
            <w:r>
              <w:rPr>
                <w:rFonts w:hint="eastAsia"/>
                <w:sz w:val="24"/>
                <w:u w:val="single"/>
              </w:rPr>
              <w:t>金所</w:t>
            </w:r>
            <w:r>
              <w:rPr>
                <w:sz w:val="24"/>
              </w:rPr>
              <w:t>街道</w:t>
            </w:r>
            <w:r>
              <w:rPr>
                <w:sz w:val="24"/>
                <w:u w:val="single"/>
              </w:rPr>
              <w:t xml:space="preserve">  </w:t>
            </w:r>
            <w:r>
              <w:rPr>
                <w:rFonts w:hint="eastAsia"/>
                <w:sz w:val="24"/>
                <w:u w:val="single"/>
              </w:rPr>
              <w:t>金所工业园区云南建工云岭水泥有限公司</w:t>
            </w:r>
            <w:r>
              <w:rPr>
                <w:sz w:val="24"/>
                <w:u w:val="single"/>
              </w:rPr>
              <w:t xml:space="preserve">  </w:t>
            </w:r>
          </w:p>
        </w:tc>
      </w:tr>
      <w:tr w14:paraId="0746F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4A1D2B70">
            <w:pPr>
              <w:adjustRightInd w:val="0"/>
              <w:snapToGrid w:val="0"/>
              <w:jc w:val="center"/>
              <w:rPr>
                <w:sz w:val="24"/>
              </w:rPr>
            </w:pPr>
            <w:r>
              <w:rPr>
                <w:sz w:val="24"/>
              </w:rPr>
              <w:t>地理坐标</w:t>
            </w:r>
          </w:p>
        </w:tc>
        <w:tc>
          <w:tcPr>
            <w:tcW w:w="7577" w:type="dxa"/>
            <w:gridSpan w:val="3"/>
            <w:vAlign w:val="center"/>
          </w:tcPr>
          <w:p w14:paraId="0E5F7A8C">
            <w:pPr>
              <w:jc w:val="center"/>
              <w:rPr>
                <w:sz w:val="24"/>
              </w:rPr>
            </w:pPr>
            <w:r>
              <w:rPr>
                <w:sz w:val="24"/>
              </w:rPr>
              <w:t>2</w:t>
            </w:r>
            <w:r>
              <w:rPr>
                <w:rFonts w:hint="eastAsia"/>
                <w:sz w:val="24"/>
              </w:rPr>
              <w:t>5</w:t>
            </w:r>
            <w:r>
              <w:rPr>
                <w:sz w:val="24"/>
              </w:rPr>
              <w:t>度</w:t>
            </w:r>
            <w:r>
              <w:rPr>
                <w:rFonts w:hint="eastAsia"/>
                <w:sz w:val="24"/>
              </w:rPr>
              <w:t>33</w:t>
            </w:r>
            <w:r>
              <w:rPr>
                <w:sz w:val="24"/>
              </w:rPr>
              <w:t>分</w:t>
            </w:r>
            <w:r>
              <w:rPr>
                <w:rFonts w:hint="eastAsia"/>
                <w:sz w:val="24"/>
              </w:rPr>
              <w:t>50.905</w:t>
            </w:r>
            <w:r>
              <w:rPr>
                <w:sz w:val="24"/>
              </w:rPr>
              <w:t>秒，10</w:t>
            </w:r>
            <w:r>
              <w:rPr>
                <w:rFonts w:hint="eastAsia"/>
                <w:sz w:val="24"/>
              </w:rPr>
              <w:t>3</w:t>
            </w:r>
            <w:r>
              <w:rPr>
                <w:sz w:val="24"/>
              </w:rPr>
              <w:t>度</w:t>
            </w:r>
            <w:r>
              <w:rPr>
                <w:rFonts w:hint="eastAsia"/>
                <w:sz w:val="24"/>
              </w:rPr>
              <w:t>11</w:t>
            </w:r>
            <w:r>
              <w:rPr>
                <w:sz w:val="24"/>
              </w:rPr>
              <w:t>分</w:t>
            </w:r>
            <w:r>
              <w:rPr>
                <w:rFonts w:hint="eastAsia"/>
                <w:sz w:val="24"/>
              </w:rPr>
              <w:t>26.124</w:t>
            </w:r>
            <w:r>
              <w:rPr>
                <w:sz w:val="24"/>
              </w:rPr>
              <w:t>秒</w:t>
            </w:r>
          </w:p>
        </w:tc>
      </w:tr>
      <w:tr w14:paraId="0A5FA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86" w:type="dxa"/>
            <w:gridSpan w:val="2"/>
            <w:tcMar>
              <w:top w:w="16" w:type="dxa"/>
              <w:left w:w="16" w:type="dxa"/>
              <w:right w:w="16" w:type="dxa"/>
            </w:tcMar>
            <w:vAlign w:val="center"/>
          </w:tcPr>
          <w:p w14:paraId="2A094FA0">
            <w:pPr>
              <w:adjustRightInd w:val="0"/>
              <w:snapToGrid w:val="0"/>
              <w:jc w:val="center"/>
              <w:rPr>
                <w:sz w:val="24"/>
              </w:rPr>
            </w:pPr>
            <w:r>
              <w:rPr>
                <w:sz w:val="24"/>
              </w:rPr>
              <w:t>国民经济</w:t>
            </w:r>
          </w:p>
          <w:p w14:paraId="14B7EB93">
            <w:pPr>
              <w:adjustRightInd w:val="0"/>
              <w:snapToGrid w:val="0"/>
              <w:jc w:val="center"/>
              <w:rPr>
                <w:sz w:val="24"/>
              </w:rPr>
            </w:pPr>
            <w:r>
              <w:rPr>
                <w:sz w:val="24"/>
              </w:rPr>
              <w:t>行业类别</w:t>
            </w:r>
          </w:p>
        </w:tc>
        <w:tc>
          <w:tcPr>
            <w:tcW w:w="2333" w:type="dxa"/>
            <w:vAlign w:val="center"/>
          </w:tcPr>
          <w:p w14:paraId="1F72218C">
            <w:pPr>
              <w:adjustRightInd w:val="0"/>
              <w:snapToGrid w:val="0"/>
              <w:jc w:val="center"/>
              <w:rPr>
                <w:sz w:val="24"/>
              </w:rPr>
            </w:pPr>
            <w:r>
              <w:rPr>
                <w:rFonts w:hint="eastAsia"/>
                <w:sz w:val="24"/>
              </w:rPr>
              <w:t>N7723固体废物治理</w:t>
            </w:r>
          </w:p>
        </w:tc>
        <w:tc>
          <w:tcPr>
            <w:tcW w:w="2212" w:type="dxa"/>
            <w:vAlign w:val="center"/>
          </w:tcPr>
          <w:p w14:paraId="4F9D6061">
            <w:pPr>
              <w:adjustRightInd w:val="0"/>
              <w:snapToGrid w:val="0"/>
              <w:jc w:val="center"/>
              <w:rPr>
                <w:sz w:val="24"/>
              </w:rPr>
            </w:pPr>
            <w:bookmarkStart w:id="3" w:name="_Hlk49843745"/>
            <w:r>
              <w:rPr>
                <w:sz w:val="24"/>
              </w:rPr>
              <w:t>建设项目</w:t>
            </w:r>
          </w:p>
          <w:p w14:paraId="1E0A9131">
            <w:pPr>
              <w:adjustRightInd w:val="0"/>
              <w:snapToGrid w:val="0"/>
              <w:jc w:val="center"/>
              <w:rPr>
                <w:sz w:val="24"/>
              </w:rPr>
            </w:pPr>
            <w:r>
              <w:rPr>
                <w:sz w:val="24"/>
              </w:rPr>
              <w:t>行业类别</w:t>
            </w:r>
            <w:bookmarkEnd w:id="3"/>
          </w:p>
        </w:tc>
        <w:tc>
          <w:tcPr>
            <w:tcW w:w="3032" w:type="dxa"/>
            <w:vAlign w:val="center"/>
          </w:tcPr>
          <w:p w14:paraId="63E21383">
            <w:pPr>
              <w:adjustRightInd w:val="0"/>
              <w:snapToGrid w:val="0"/>
              <w:rPr>
                <w:sz w:val="24"/>
              </w:rPr>
            </w:pPr>
            <w:r>
              <w:rPr>
                <w:rFonts w:hint="eastAsia"/>
                <w:sz w:val="24"/>
              </w:rPr>
              <w:t>四十七生态保护和环境治理业103</w:t>
            </w:r>
            <w:r>
              <w:rPr>
                <w:sz w:val="24"/>
              </w:rPr>
              <w:t>、</w:t>
            </w:r>
            <w:r>
              <w:rPr>
                <w:rFonts w:hint="eastAsia"/>
                <w:sz w:val="24"/>
              </w:rPr>
              <w:t>一般工业固体废物、建筑施工废弃物处置及综合利用</w:t>
            </w:r>
          </w:p>
        </w:tc>
      </w:tr>
      <w:tr w14:paraId="7E30D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86" w:type="dxa"/>
            <w:gridSpan w:val="2"/>
            <w:tcMar>
              <w:top w:w="16" w:type="dxa"/>
              <w:left w:w="16" w:type="dxa"/>
              <w:right w:w="16" w:type="dxa"/>
            </w:tcMar>
            <w:vAlign w:val="center"/>
          </w:tcPr>
          <w:p w14:paraId="574D9165">
            <w:pPr>
              <w:adjustRightInd w:val="0"/>
              <w:snapToGrid w:val="0"/>
              <w:jc w:val="center"/>
              <w:rPr>
                <w:sz w:val="24"/>
              </w:rPr>
            </w:pPr>
            <w:r>
              <w:rPr>
                <w:sz w:val="24"/>
              </w:rPr>
              <w:t>建设性质</w:t>
            </w:r>
          </w:p>
        </w:tc>
        <w:tc>
          <w:tcPr>
            <w:tcW w:w="2333" w:type="dxa"/>
            <w:vAlign w:val="center"/>
          </w:tcPr>
          <w:p w14:paraId="25F96C76">
            <w:pPr>
              <w:jc w:val="left"/>
              <w:rPr>
                <w:sz w:val="24"/>
              </w:rPr>
            </w:pPr>
            <w:r>
              <w:rPr>
                <w:sz w:val="24"/>
              </w:rPr>
              <w:sym w:font="Wingdings 2" w:char="0052"/>
            </w:r>
            <w:r>
              <w:rPr>
                <w:sz w:val="24"/>
              </w:rPr>
              <w:t>新建（迁建）</w:t>
            </w:r>
          </w:p>
          <w:p w14:paraId="3D315367">
            <w:pPr>
              <w:jc w:val="left"/>
              <w:rPr>
                <w:sz w:val="24"/>
              </w:rPr>
            </w:pPr>
            <w:r>
              <w:rPr>
                <w:sz w:val="24"/>
              </w:rPr>
              <w:sym w:font="Wingdings 2" w:char="00A3"/>
            </w:r>
            <w:r>
              <w:rPr>
                <w:sz w:val="24"/>
              </w:rPr>
              <w:t>改建</w:t>
            </w:r>
          </w:p>
          <w:p w14:paraId="4BB68CD1">
            <w:pPr>
              <w:jc w:val="left"/>
              <w:rPr>
                <w:sz w:val="24"/>
              </w:rPr>
            </w:pPr>
            <w:r>
              <w:rPr>
                <w:sz w:val="24"/>
              </w:rPr>
              <w:sym w:font="Wingdings 2" w:char="00A3"/>
            </w:r>
            <w:r>
              <w:rPr>
                <w:sz w:val="24"/>
              </w:rPr>
              <w:t>扩建</w:t>
            </w:r>
          </w:p>
          <w:p w14:paraId="2656B140">
            <w:pPr>
              <w:jc w:val="left"/>
              <w:rPr>
                <w:sz w:val="24"/>
              </w:rPr>
            </w:pPr>
            <w:r>
              <w:rPr>
                <w:sz w:val="24"/>
              </w:rPr>
              <w:sym w:font="Wingdings 2" w:char="00A3"/>
            </w:r>
            <w:r>
              <w:rPr>
                <w:sz w:val="24"/>
              </w:rPr>
              <w:t>技术改造</w:t>
            </w:r>
          </w:p>
        </w:tc>
        <w:tc>
          <w:tcPr>
            <w:tcW w:w="2212" w:type="dxa"/>
            <w:vAlign w:val="center"/>
          </w:tcPr>
          <w:p w14:paraId="4CA7C754">
            <w:pPr>
              <w:adjustRightInd w:val="0"/>
              <w:snapToGrid w:val="0"/>
              <w:jc w:val="center"/>
              <w:rPr>
                <w:sz w:val="24"/>
              </w:rPr>
            </w:pPr>
            <w:r>
              <w:rPr>
                <w:sz w:val="24"/>
              </w:rPr>
              <w:t>建设项目</w:t>
            </w:r>
          </w:p>
          <w:p w14:paraId="115E9161">
            <w:pPr>
              <w:adjustRightInd w:val="0"/>
              <w:snapToGrid w:val="0"/>
              <w:jc w:val="center"/>
              <w:rPr>
                <w:sz w:val="24"/>
              </w:rPr>
            </w:pPr>
            <w:r>
              <w:rPr>
                <w:sz w:val="24"/>
              </w:rPr>
              <w:t>申报情形</w:t>
            </w:r>
          </w:p>
        </w:tc>
        <w:tc>
          <w:tcPr>
            <w:tcW w:w="3032" w:type="dxa"/>
            <w:vAlign w:val="center"/>
          </w:tcPr>
          <w:p w14:paraId="728BF00A">
            <w:pPr>
              <w:jc w:val="left"/>
              <w:rPr>
                <w:sz w:val="24"/>
              </w:rPr>
            </w:pPr>
            <w:r>
              <w:rPr>
                <w:sz w:val="24"/>
              </w:rPr>
              <w:sym w:font="Wingdings 2" w:char="0052"/>
            </w:r>
            <w:r>
              <w:rPr>
                <w:sz w:val="24"/>
              </w:rPr>
              <w:t xml:space="preserve">首次申报项目             </w:t>
            </w:r>
          </w:p>
          <w:p w14:paraId="32133A2E">
            <w:pPr>
              <w:jc w:val="left"/>
              <w:rPr>
                <w:sz w:val="24"/>
              </w:rPr>
            </w:pPr>
            <w:r>
              <w:rPr>
                <w:sz w:val="24"/>
              </w:rPr>
              <w:sym w:font="Wingdings 2" w:char="00A3"/>
            </w:r>
            <w:r>
              <w:rPr>
                <w:sz w:val="24"/>
              </w:rPr>
              <w:t>不予批准后再次申报项目</w:t>
            </w:r>
          </w:p>
          <w:p w14:paraId="4D0818FA">
            <w:pPr>
              <w:jc w:val="left"/>
              <w:rPr>
                <w:sz w:val="24"/>
              </w:rPr>
            </w:pPr>
            <w:r>
              <w:rPr>
                <w:sz w:val="24"/>
              </w:rPr>
              <w:sym w:font="Wingdings 2" w:char="00A3"/>
            </w:r>
            <w:r>
              <w:rPr>
                <w:sz w:val="24"/>
              </w:rPr>
              <w:t xml:space="preserve">超五年重新审核项目     </w:t>
            </w:r>
          </w:p>
          <w:p w14:paraId="2A76F5E1">
            <w:pPr>
              <w:jc w:val="left"/>
              <w:rPr>
                <w:sz w:val="24"/>
              </w:rPr>
            </w:pPr>
            <w:r>
              <w:rPr>
                <w:sz w:val="24"/>
              </w:rPr>
              <w:sym w:font="Wingdings 2" w:char="00A3"/>
            </w:r>
            <w:r>
              <w:rPr>
                <w:sz w:val="24"/>
              </w:rPr>
              <w:t>重大变动重新报批项目</w:t>
            </w:r>
          </w:p>
        </w:tc>
      </w:tr>
      <w:tr w14:paraId="54556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86" w:type="dxa"/>
            <w:gridSpan w:val="2"/>
            <w:tcMar>
              <w:top w:w="16" w:type="dxa"/>
              <w:left w:w="16" w:type="dxa"/>
              <w:right w:w="16" w:type="dxa"/>
            </w:tcMar>
            <w:vAlign w:val="center"/>
          </w:tcPr>
          <w:p w14:paraId="7946F42C">
            <w:pPr>
              <w:adjustRightInd w:val="0"/>
              <w:snapToGrid w:val="0"/>
              <w:jc w:val="center"/>
              <w:rPr>
                <w:sz w:val="24"/>
              </w:rPr>
            </w:pPr>
            <w:r>
              <w:rPr>
                <w:sz w:val="24"/>
              </w:rPr>
              <w:t>项目审批（核准/</w:t>
            </w:r>
          </w:p>
          <w:p w14:paraId="161759CA">
            <w:pPr>
              <w:adjustRightInd w:val="0"/>
              <w:snapToGrid w:val="0"/>
              <w:jc w:val="center"/>
              <w:rPr>
                <w:sz w:val="24"/>
              </w:rPr>
            </w:pPr>
            <w:r>
              <w:rPr>
                <w:sz w:val="24"/>
              </w:rPr>
              <w:t>备案）部门（选填）</w:t>
            </w:r>
          </w:p>
        </w:tc>
        <w:tc>
          <w:tcPr>
            <w:tcW w:w="2333" w:type="dxa"/>
            <w:vAlign w:val="center"/>
          </w:tcPr>
          <w:p w14:paraId="3C1E0214">
            <w:pPr>
              <w:adjustRightInd w:val="0"/>
              <w:snapToGrid w:val="0"/>
              <w:jc w:val="center"/>
              <w:rPr>
                <w:sz w:val="24"/>
              </w:rPr>
            </w:pPr>
            <w:r>
              <w:rPr>
                <w:rFonts w:hint="eastAsia"/>
                <w:sz w:val="24"/>
              </w:rPr>
              <w:t>寻甸县发展和改革局</w:t>
            </w:r>
          </w:p>
        </w:tc>
        <w:tc>
          <w:tcPr>
            <w:tcW w:w="2212" w:type="dxa"/>
            <w:vAlign w:val="center"/>
          </w:tcPr>
          <w:p w14:paraId="49DE23AB">
            <w:pPr>
              <w:adjustRightInd w:val="0"/>
              <w:snapToGrid w:val="0"/>
              <w:jc w:val="center"/>
              <w:rPr>
                <w:sz w:val="24"/>
              </w:rPr>
            </w:pPr>
            <w:r>
              <w:rPr>
                <w:sz w:val="24"/>
              </w:rPr>
              <w:t>项目审批（核准/</w:t>
            </w:r>
          </w:p>
          <w:p w14:paraId="57316CDF">
            <w:pPr>
              <w:adjustRightInd w:val="0"/>
              <w:snapToGrid w:val="0"/>
              <w:jc w:val="center"/>
              <w:rPr>
                <w:sz w:val="24"/>
              </w:rPr>
            </w:pPr>
            <w:r>
              <w:rPr>
                <w:sz w:val="24"/>
              </w:rPr>
              <w:t>备案）文号（选填）</w:t>
            </w:r>
          </w:p>
        </w:tc>
        <w:tc>
          <w:tcPr>
            <w:tcW w:w="3032" w:type="dxa"/>
            <w:vAlign w:val="center"/>
          </w:tcPr>
          <w:p w14:paraId="2C9A5FA5">
            <w:pPr>
              <w:adjustRightInd w:val="0"/>
              <w:snapToGrid w:val="0"/>
              <w:jc w:val="center"/>
              <w:rPr>
                <w:sz w:val="24"/>
              </w:rPr>
            </w:pPr>
            <w:r>
              <w:rPr>
                <w:rFonts w:hint="eastAsia"/>
                <w:sz w:val="24"/>
              </w:rPr>
              <w:t>2510-530129-04-01-685356</w:t>
            </w:r>
          </w:p>
        </w:tc>
      </w:tr>
      <w:tr w14:paraId="631FA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1F75D78F">
            <w:pPr>
              <w:adjustRightInd w:val="0"/>
              <w:snapToGrid w:val="0"/>
              <w:jc w:val="center"/>
              <w:rPr>
                <w:sz w:val="24"/>
              </w:rPr>
            </w:pPr>
            <w:r>
              <w:rPr>
                <w:sz w:val="24"/>
              </w:rPr>
              <w:t>总投资（万元）</w:t>
            </w:r>
          </w:p>
        </w:tc>
        <w:tc>
          <w:tcPr>
            <w:tcW w:w="2333" w:type="dxa"/>
            <w:vAlign w:val="center"/>
          </w:tcPr>
          <w:p w14:paraId="401C318A">
            <w:pPr>
              <w:adjustRightInd w:val="0"/>
              <w:snapToGrid w:val="0"/>
              <w:jc w:val="center"/>
              <w:rPr>
                <w:sz w:val="24"/>
              </w:rPr>
            </w:pPr>
            <w:r>
              <w:rPr>
                <w:rFonts w:hint="eastAsia"/>
                <w:sz w:val="24"/>
              </w:rPr>
              <w:t>663</w:t>
            </w:r>
          </w:p>
        </w:tc>
        <w:tc>
          <w:tcPr>
            <w:tcW w:w="2212" w:type="dxa"/>
            <w:tcMar>
              <w:top w:w="16" w:type="dxa"/>
              <w:left w:w="16" w:type="dxa"/>
              <w:right w:w="16" w:type="dxa"/>
            </w:tcMar>
            <w:vAlign w:val="center"/>
          </w:tcPr>
          <w:p w14:paraId="76E9810C">
            <w:pPr>
              <w:adjustRightInd w:val="0"/>
              <w:snapToGrid w:val="0"/>
              <w:jc w:val="center"/>
              <w:rPr>
                <w:sz w:val="24"/>
              </w:rPr>
            </w:pPr>
            <w:r>
              <w:rPr>
                <w:sz w:val="24"/>
              </w:rPr>
              <w:t>环保投资（万元）</w:t>
            </w:r>
          </w:p>
        </w:tc>
        <w:tc>
          <w:tcPr>
            <w:tcW w:w="3032" w:type="dxa"/>
            <w:vAlign w:val="center"/>
          </w:tcPr>
          <w:p w14:paraId="775E2DFD">
            <w:pPr>
              <w:adjustRightInd w:val="0"/>
              <w:snapToGrid w:val="0"/>
              <w:jc w:val="center"/>
              <w:rPr>
                <w:sz w:val="24"/>
              </w:rPr>
            </w:pPr>
            <w:r>
              <w:rPr>
                <w:rFonts w:hint="eastAsia"/>
                <w:sz w:val="24"/>
              </w:rPr>
              <w:t>47.05</w:t>
            </w:r>
          </w:p>
        </w:tc>
      </w:tr>
      <w:tr w14:paraId="211C5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1894C65C">
            <w:pPr>
              <w:adjustRightInd w:val="0"/>
              <w:snapToGrid w:val="0"/>
              <w:jc w:val="center"/>
              <w:rPr>
                <w:sz w:val="24"/>
              </w:rPr>
            </w:pPr>
            <w:r>
              <w:rPr>
                <w:sz w:val="24"/>
              </w:rPr>
              <w:t>环保投资占比（%）</w:t>
            </w:r>
          </w:p>
        </w:tc>
        <w:tc>
          <w:tcPr>
            <w:tcW w:w="2333" w:type="dxa"/>
            <w:vAlign w:val="center"/>
          </w:tcPr>
          <w:p w14:paraId="1121D965">
            <w:pPr>
              <w:adjustRightInd w:val="0"/>
              <w:snapToGrid w:val="0"/>
              <w:jc w:val="center"/>
              <w:rPr>
                <w:sz w:val="24"/>
              </w:rPr>
            </w:pPr>
            <w:r>
              <w:rPr>
                <w:rFonts w:hint="eastAsia"/>
                <w:sz w:val="24"/>
              </w:rPr>
              <w:t>7.1</w:t>
            </w:r>
          </w:p>
        </w:tc>
        <w:tc>
          <w:tcPr>
            <w:tcW w:w="2212" w:type="dxa"/>
            <w:tcMar>
              <w:top w:w="16" w:type="dxa"/>
              <w:left w:w="16" w:type="dxa"/>
              <w:right w:w="16" w:type="dxa"/>
            </w:tcMar>
            <w:vAlign w:val="center"/>
          </w:tcPr>
          <w:p w14:paraId="30572F94">
            <w:pPr>
              <w:adjustRightInd w:val="0"/>
              <w:snapToGrid w:val="0"/>
              <w:jc w:val="center"/>
              <w:rPr>
                <w:sz w:val="24"/>
              </w:rPr>
            </w:pPr>
            <w:r>
              <w:rPr>
                <w:sz w:val="24"/>
              </w:rPr>
              <w:t>施工工期</w:t>
            </w:r>
          </w:p>
        </w:tc>
        <w:tc>
          <w:tcPr>
            <w:tcW w:w="3032" w:type="dxa"/>
            <w:vAlign w:val="center"/>
          </w:tcPr>
          <w:p w14:paraId="7639EA36">
            <w:pPr>
              <w:adjustRightInd w:val="0"/>
              <w:snapToGrid w:val="0"/>
              <w:jc w:val="center"/>
              <w:rPr>
                <w:sz w:val="24"/>
              </w:rPr>
            </w:pPr>
            <w:r>
              <w:rPr>
                <w:rFonts w:hint="eastAsia"/>
                <w:sz w:val="24"/>
              </w:rPr>
              <w:t>3</w:t>
            </w:r>
            <w:r>
              <w:rPr>
                <w:sz w:val="24"/>
              </w:rPr>
              <w:t>个月</w:t>
            </w:r>
          </w:p>
        </w:tc>
      </w:tr>
      <w:tr w14:paraId="5B87B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343EFA19">
            <w:pPr>
              <w:adjustRightInd w:val="0"/>
              <w:snapToGrid w:val="0"/>
              <w:jc w:val="center"/>
              <w:rPr>
                <w:sz w:val="24"/>
              </w:rPr>
            </w:pPr>
            <w:r>
              <w:rPr>
                <w:sz w:val="24"/>
              </w:rPr>
              <w:t>是否开工建设</w:t>
            </w:r>
          </w:p>
        </w:tc>
        <w:tc>
          <w:tcPr>
            <w:tcW w:w="2333" w:type="dxa"/>
            <w:vAlign w:val="center"/>
          </w:tcPr>
          <w:p w14:paraId="6FEA9D70">
            <w:pPr>
              <w:adjustRightInd w:val="0"/>
              <w:snapToGrid w:val="0"/>
              <w:rPr>
                <w:sz w:val="24"/>
              </w:rPr>
            </w:pPr>
            <w:r>
              <w:rPr>
                <w:sz w:val="24"/>
              </w:rPr>
              <w:sym w:font="Wingdings 2" w:char="0052"/>
            </w:r>
            <w:r>
              <w:rPr>
                <w:sz w:val="24"/>
              </w:rPr>
              <w:t>否</w:t>
            </w:r>
          </w:p>
          <w:p w14:paraId="60EBD046">
            <w:pPr>
              <w:adjustRightInd w:val="0"/>
              <w:snapToGrid w:val="0"/>
              <w:rPr>
                <w:sz w:val="24"/>
              </w:rPr>
            </w:pPr>
            <w:r>
              <w:rPr>
                <w:sz w:val="24"/>
              </w:rPr>
              <w:sym w:font="Wingdings 2" w:char="00A3"/>
            </w:r>
            <w:r>
              <w:rPr>
                <w:sz w:val="24"/>
              </w:rPr>
              <w:t>是：</w:t>
            </w:r>
            <w:r>
              <w:rPr>
                <w:sz w:val="24"/>
                <w:u w:val="single"/>
              </w:rPr>
              <w:t xml:space="preserve">             </w:t>
            </w:r>
          </w:p>
        </w:tc>
        <w:tc>
          <w:tcPr>
            <w:tcW w:w="2212" w:type="dxa"/>
            <w:tcMar>
              <w:top w:w="16" w:type="dxa"/>
              <w:left w:w="16" w:type="dxa"/>
              <w:right w:w="16" w:type="dxa"/>
            </w:tcMar>
            <w:vAlign w:val="center"/>
          </w:tcPr>
          <w:p w14:paraId="4458A902">
            <w:pPr>
              <w:adjustRightInd w:val="0"/>
              <w:snapToGrid w:val="0"/>
              <w:jc w:val="center"/>
              <w:rPr>
                <w:spacing w:val="-6"/>
                <w:sz w:val="24"/>
              </w:rPr>
            </w:pPr>
            <w:r>
              <w:rPr>
                <w:spacing w:val="-6"/>
                <w:sz w:val="24"/>
              </w:rPr>
              <w:t>用地（用海）</w:t>
            </w:r>
          </w:p>
          <w:p w14:paraId="284A136B">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3032" w:type="dxa"/>
            <w:vAlign w:val="center"/>
          </w:tcPr>
          <w:p w14:paraId="1D587C15">
            <w:pPr>
              <w:adjustRightInd w:val="0"/>
              <w:snapToGrid w:val="0"/>
              <w:jc w:val="center"/>
              <w:rPr>
                <w:sz w:val="24"/>
              </w:rPr>
            </w:pPr>
            <w:r>
              <w:rPr>
                <w:rFonts w:hint="eastAsia"/>
                <w:sz w:val="24"/>
              </w:rPr>
              <w:t>4014</w:t>
            </w:r>
          </w:p>
        </w:tc>
      </w:tr>
      <w:tr w14:paraId="72F32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63B2DF39">
            <w:pPr>
              <w:autoSpaceDE w:val="0"/>
              <w:autoSpaceDN w:val="0"/>
              <w:adjustRightInd w:val="0"/>
              <w:snapToGrid w:val="0"/>
              <w:jc w:val="center"/>
              <w:rPr>
                <w:kern w:val="0"/>
                <w:sz w:val="24"/>
              </w:rPr>
            </w:pPr>
            <w:r>
              <w:rPr>
                <w:kern w:val="0"/>
                <w:sz w:val="24"/>
              </w:rPr>
              <w:t>专项评价设置情况</w:t>
            </w:r>
          </w:p>
        </w:tc>
        <w:tc>
          <w:tcPr>
            <w:tcW w:w="8371" w:type="dxa"/>
            <w:gridSpan w:val="4"/>
            <w:vAlign w:val="center"/>
          </w:tcPr>
          <w:p w14:paraId="03530ABC">
            <w:pPr>
              <w:autoSpaceDE w:val="0"/>
              <w:autoSpaceDN w:val="0"/>
              <w:adjustRightInd w:val="0"/>
              <w:snapToGrid w:val="0"/>
              <w:spacing w:line="288" w:lineRule="auto"/>
              <w:ind w:firstLine="480" w:firstLineChars="200"/>
              <w:rPr>
                <w:kern w:val="0"/>
                <w:sz w:val="24"/>
              </w:rPr>
            </w:pPr>
            <w:r>
              <w:rPr>
                <w:kern w:val="0"/>
                <w:sz w:val="24"/>
              </w:rPr>
              <w:t>项目专项评价判定情况如下表所示。</w:t>
            </w:r>
          </w:p>
          <w:p w14:paraId="6EB68745">
            <w:pPr>
              <w:pStyle w:val="56"/>
            </w:pPr>
            <w:r>
              <w:t>表1-1 项目专项评价判定表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91"/>
              <w:gridCol w:w="3255"/>
              <w:gridCol w:w="3283"/>
              <w:gridCol w:w="813"/>
            </w:tblGrid>
            <w:tr w14:paraId="2105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0DE05EDD">
                  <w:pPr>
                    <w:pStyle w:val="72"/>
                    <w:rPr>
                      <w:b w:val="0"/>
                      <w:color w:val="auto"/>
                    </w:rPr>
                  </w:pPr>
                  <w:r>
                    <w:rPr>
                      <w:b w:val="0"/>
                      <w:color w:val="auto"/>
                    </w:rPr>
                    <w:t>专项评价类比</w:t>
                  </w:r>
                </w:p>
              </w:tc>
              <w:tc>
                <w:tcPr>
                  <w:tcW w:w="1999" w:type="pct"/>
                  <w:vAlign w:val="center"/>
                </w:tcPr>
                <w:p w14:paraId="0858F6AA">
                  <w:pPr>
                    <w:pStyle w:val="72"/>
                    <w:rPr>
                      <w:b w:val="0"/>
                      <w:color w:val="auto"/>
                    </w:rPr>
                  </w:pPr>
                  <w:r>
                    <w:rPr>
                      <w:b w:val="0"/>
                      <w:color w:val="auto"/>
                    </w:rPr>
                    <w:t>设置原则</w:t>
                  </w:r>
                </w:p>
              </w:tc>
              <w:tc>
                <w:tcPr>
                  <w:tcW w:w="2016" w:type="pct"/>
                  <w:vAlign w:val="center"/>
                </w:tcPr>
                <w:p w14:paraId="05079E3D">
                  <w:pPr>
                    <w:pStyle w:val="72"/>
                    <w:rPr>
                      <w:b w:val="0"/>
                      <w:color w:val="auto"/>
                    </w:rPr>
                  </w:pPr>
                  <w:r>
                    <w:rPr>
                      <w:b w:val="0"/>
                      <w:color w:val="auto"/>
                    </w:rPr>
                    <w:t>本项目情况</w:t>
                  </w:r>
                </w:p>
              </w:tc>
              <w:tc>
                <w:tcPr>
                  <w:tcW w:w="497" w:type="pct"/>
                  <w:vAlign w:val="center"/>
                </w:tcPr>
                <w:p w14:paraId="0A3448FE">
                  <w:pPr>
                    <w:pStyle w:val="72"/>
                    <w:rPr>
                      <w:b w:val="0"/>
                      <w:color w:val="auto"/>
                    </w:rPr>
                  </w:pPr>
                  <w:r>
                    <w:rPr>
                      <w:b w:val="0"/>
                      <w:color w:val="auto"/>
                    </w:rPr>
                    <w:t>是否设置专项评价</w:t>
                  </w:r>
                </w:p>
              </w:tc>
            </w:tr>
            <w:tr w14:paraId="2EB1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1C50B4DC">
                  <w:pPr>
                    <w:pStyle w:val="72"/>
                    <w:rPr>
                      <w:b w:val="0"/>
                      <w:color w:val="auto"/>
                    </w:rPr>
                  </w:pPr>
                  <w:r>
                    <w:rPr>
                      <w:b w:val="0"/>
                      <w:color w:val="auto"/>
                    </w:rPr>
                    <w:t>大气</w:t>
                  </w:r>
                </w:p>
              </w:tc>
              <w:tc>
                <w:tcPr>
                  <w:tcW w:w="1999" w:type="pct"/>
                  <w:vAlign w:val="center"/>
                </w:tcPr>
                <w:p w14:paraId="1740A137">
                  <w:pPr>
                    <w:pStyle w:val="72"/>
                    <w:rPr>
                      <w:b w:val="0"/>
                      <w:color w:val="auto"/>
                    </w:rPr>
                  </w:pPr>
                  <w:r>
                    <w:rPr>
                      <w:b w:val="0"/>
                      <w:color w:val="auto"/>
                    </w:rPr>
                    <w:t>排放废气含有毒有害污染物</w:t>
                  </w:r>
                  <w:r>
                    <w:rPr>
                      <w:b w:val="0"/>
                      <w:color w:val="auto"/>
                      <w:vertAlign w:val="superscript"/>
                    </w:rPr>
                    <w:t>1</w:t>
                  </w:r>
                  <w:r>
                    <w:rPr>
                      <w:b w:val="0"/>
                      <w:color w:val="auto"/>
                    </w:rPr>
                    <w:t>、二噁英、苯并[a]芘、氰化物、氯气且厂界500m范围内有环境空气保护目标</w:t>
                  </w:r>
                  <w:r>
                    <w:rPr>
                      <w:b w:val="0"/>
                      <w:color w:val="auto"/>
                      <w:vertAlign w:val="superscript"/>
                    </w:rPr>
                    <w:t>2</w:t>
                  </w:r>
                  <w:r>
                    <w:rPr>
                      <w:b w:val="0"/>
                      <w:color w:val="auto"/>
                    </w:rPr>
                    <w:t>的建设项目。</w:t>
                  </w:r>
                </w:p>
              </w:tc>
              <w:tc>
                <w:tcPr>
                  <w:tcW w:w="2016" w:type="pct"/>
                  <w:vAlign w:val="center"/>
                </w:tcPr>
                <w:p w14:paraId="31C2E78B">
                  <w:pPr>
                    <w:pStyle w:val="72"/>
                    <w:rPr>
                      <w:b w:val="0"/>
                      <w:color w:val="auto"/>
                    </w:rPr>
                  </w:pPr>
                  <w:r>
                    <w:rPr>
                      <w:b w:val="0"/>
                      <w:color w:val="auto"/>
                    </w:rPr>
                    <w:t>项目排放废气主要为颗粒物</w:t>
                  </w:r>
                  <w:r>
                    <w:rPr>
                      <w:rFonts w:hint="eastAsia"/>
                      <w:b w:val="0"/>
                      <w:color w:val="auto"/>
                    </w:rPr>
                    <w:t>、异味，</w:t>
                  </w:r>
                  <w:r>
                    <w:rPr>
                      <w:b w:val="0"/>
                      <w:color w:val="auto"/>
                    </w:rPr>
                    <w:t>不排放含有毒有害污染物、二噁英、苯并[a]芘、氰化物、氯气等废气。</w:t>
                  </w:r>
                </w:p>
              </w:tc>
              <w:tc>
                <w:tcPr>
                  <w:tcW w:w="497" w:type="pct"/>
                  <w:vAlign w:val="center"/>
                </w:tcPr>
                <w:p w14:paraId="258379D4">
                  <w:pPr>
                    <w:pStyle w:val="72"/>
                    <w:rPr>
                      <w:b w:val="0"/>
                      <w:color w:val="auto"/>
                    </w:rPr>
                  </w:pPr>
                  <w:r>
                    <w:rPr>
                      <w:rFonts w:hint="eastAsia"/>
                      <w:b w:val="0"/>
                      <w:color w:val="auto"/>
                    </w:rPr>
                    <w:t>否</w:t>
                  </w:r>
                </w:p>
              </w:tc>
            </w:tr>
            <w:tr w14:paraId="28CD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6247DFDC">
                  <w:pPr>
                    <w:pStyle w:val="72"/>
                    <w:rPr>
                      <w:b w:val="0"/>
                      <w:color w:val="auto"/>
                    </w:rPr>
                  </w:pPr>
                  <w:r>
                    <w:rPr>
                      <w:b w:val="0"/>
                      <w:color w:val="auto"/>
                    </w:rPr>
                    <w:t>地表水</w:t>
                  </w:r>
                </w:p>
              </w:tc>
              <w:tc>
                <w:tcPr>
                  <w:tcW w:w="1999" w:type="pct"/>
                  <w:vAlign w:val="center"/>
                </w:tcPr>
                <w:p w14:paraId="1E230995">
                  <w:pPr>
                    <w:pStyle w:val="72"/>
                    <w:rPr>
                      <w:b w:val="0"/>
                      <w:color w:val="auto"/>
                    </w:rPr>
                  </w:pPr>
                  <w:r>
                    <w:rPr>
                      <w:b w:val="0"/>
                      <w:color w:val="auto"/>
                    </w:rPr>
                    <w:t>新增工业废水直排建设项目（槽罐车外送污水处理厂的除外）；新增废水直排的污水集中处理厂。</w:t>
                  </w:r>
                </w:p>
              </w:tc>
              <w:tc>
                <w:tcPr>
                  <w:tcW w:w="2016" w:type="pct"/>
                  <w:vAlign w:val="center"/>
                </w:tcPr>
                <w:p w14:paraId="6F0E1B13">
                  <w:pPr>
                    <w:pStyle w:val="72"/>
                    <w:rPr>
                      <w:b w:val="0"/>
                      <w:color w:val="auto"/>
                    </w:rPr>
                  </w:pPr>
                  <w:r>
                    <w:rPr>
                      <w:b w:val="0"/>
                      <w:color w:val="auto"/>
                    </w:rPr>
                    <w:t>本项目</w:t>
                  </w:r>
                  <w:r>
                    <w:rPr>
                      <w:rFonts w:hint="eastAsia"/>
                      <w:b w:val="0"/>
                      <w:color w:val="auto"/>
                    </w:rPr>
                    <w:t>生产中渗滤液回用不外排</w:t>
                  </w:r>
                  <w:r>
                    <w:rPr>
                      <w:b w:val="0"/>
                      <w:color w:val="auto"/>
                    </w:rPr>
                    <w:t>，</w:t>
                  </w:r>
                  <w:r>
                    <w:rPr>
                      <w:rFonts w:hint="eastAsia"/>
                      <w:b w:val="0"/>
                      <w:color w:val="auto"/>
                    </w:rPr>
                    <w:t>生活污水</w:t>
                  </w:r>
                  <w:r>
                    <w:rPr>
                      <w:b w:val="0"/>
                      <w:color w:val="auto"/>
                    </w:rPr>
                    <w:t>不外排</w:t>
                  </w:r>
                  <w:r>
                    <w:rPr>
                      <w:rFonts w:hint="eastAsia"/>
                      <w:b w:val="0"/>
                      <w:color w:val="auto"/>
                    </w:rPr>
                    <w:t>。</w:t>
                  </w:r>
                </w:p>
              </w:tc>
              <w:tc>
                <w:tcPr>
                  <w:tcW w:w="497" w:type="pct"/>
                  <w:vAlign w:val="center"/>
                </w:tcPr>
                <w:p w14:paraId="4373826D">
                  <w:pPr>
                    <w:pStyle w:val="72"/>
                    <w:rPr>
                      <w:b w:val="0"/>
                      <w:color w:val="auto"/>
                    </w:rPr>
                  </w:pPr>
                  <w:r>
                    <w:rPr>
                      <w:b w:val="0"/>
                      <w:color w:val="auto"/>
                    </w:rPr>
                    <w:t>否</w:t>
                  </w:r>
                </w:p>
              </w:tc>
            </w:tr>
            <w:tr w14:paraId="24A2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073E68FF">
                  <w:pPr>
                    <w:pStyle w:val="72"/>
                    <w:rPr>
                      <w:b w:val="0"/>
                      <w:color w:val="auto"/>
                    </w:rPr>
                  </w:pPr>
                  <w:r>
                    <w:rPr>
                      <w:b w:val="0"/>
                      <w:color w:val="auto"/>
                    </w:rPr>
                    <w:t>环境风险</w:t>
                  </w:r>
                </w:p>
              </w:tc>
              <w:tc>
                <w:tcPr>
                  <w:tcW w:w="1999" w:type="pct"/>
                  <w:vAlign w:val="center"/>
                </w:tcPr>
                <w:p w14:paraId="1CEEBE53">
                  <w:pPr>
                    <w:pStyle w:val="72"/>
                    <w:rPr>
                      <w:b w:val="0"/>
                      <w:color w:val="auto"/>
                    </w:rPr>
                  </w:pPr>
                  <w:r>
                    <w:rPr>
                      <w:b w:val="0"/>
                      <w:color w:val="auto"/>
                    </w:rPr>
                    <w:t>有毒有害和易燃易爆危险物质存储量超过临界量</w:t>
                  </w:r>
                  <w:r>
                    <w:rPr>
                      <w:b w:val="0"/>
                      <w:color w:val="auto"/>
                      <w:vertAlign w:val="superscript"/>
                    </w:rPr>
                    <w:t>3</w:t>
                  </w:r>
                  <w:r>
                    <w:rPr>
                      <w:b w:val="0"/>
                      <w:color w:val="auto"/>
                    </w:rPr>
                    <w:t>的建设项目。</w:t>
                  </w:r>
                </w:p>
              </w:tc>
              <w:tc>
                <w:tcPr>
                  <w:tcW w:w="2016" w:type="pct"/>
                  <w:vAlign w:val="center"/>
                </w:tcPr>
                <w:p w14:paraId="0645F118">
                  <w:pPr>
                    <w:pStyle w:val="72"/>
                    <w:rPr>
                      <w:b w:val="0"/>
                      <w:color w:val="auto"/>
                    </w:rPr>
                  </w:pPr>
                  <w:r>
                    <w:rPr>
                      <w:rFonts w:hint="eastAsia"/>
                      <w:b w:val="0"/>
                      <w:color w:val="auto"/>
                    </w:rPr>
                    <w:t>本项目有毒有害和易燃易爆危险物质存储量根据《建设项目环境风险评价技术导则》（</w:t>
                  </w:r>
                  <w:r>
                    <w:rPr>
                      <w:b w:val="0"/>
                      <w:color w:val="auto"/>
                    </w:rPr>
                    <w:t>HJ169-2018</w:t>
                  </w:r>
                  <w:r>
                    <w:rPr>
                      <w:rFonts w:hint="eastAsia"/>
                      <w:b w:val="0"/>
                      <w:color w:val="auto"/>
                    </w:rPr>
                    <w:t>）计算，</w:t>
                  </w:r>
                  <w:r>
                    <w:rPr>
                      <w:b w:val="0"/>
                      <w:color w:val="auto"/>
                    </w:rPr>
                    <w:t>Q</w:t>
                  </w:r>
                  <w:r>
                    <w:rPr>
                      <w:rFonts w:hint="eastAsia"/>
                      <w:b w:val="0"/>
                      <w:color w:val="auto"/>
                    </w:rPr>
                    <w:t>值未超过临界量，无需开展风险专题评价。</w:t>
                  </w:r>
                </w:p>
              </w:tc>
              <w:tc>
                <w:tcPr>
                  <w:tcW w:w="497" w:type="pct"/>
                  <w:vAlign w:val="center"/>
                </w:tcPr>
                <w:p w14:paraId="18FA9B8E">
                  <w:pPr>
                    <w:pStyle w:val="72"/>
                    <w:rPr>
                      <w:b w:val="0"/>
                      <w:color w:val="auto"/>
                    </w:rPr>
                  </w:pPr>
                  <w:r>
                    <w:rPr>
                      <w:b w:val="0"/>
                      <w:color w:val="auto"/>
                    </w:rPr>
                    <w:t>否</w:t>
                  </w:r>
                </w:p>
              </w:tc>
            </w:tr>
            <w:tr w14:paraId="2D36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79858893">
                  <w:pPr>
                    <w:pStyle w:val="72"/>
                    <w:rPr>
                      <w:b w:val="0"/>
                      <w:color w:val="auto"/>
                    </w:rPr>
                  </w:pPr>
                  <w:r>
                    <w:rPr>
                      <w:b w:val="0"/>
                      <w:color w:val="auto"/>
                    </w:rPr>
                    <w:t>生态</w:t>
                  </w:r>
                </w:p>
              </w:tc>
              <w:tc>
                <w:tcPr>
                  <w:tcW w:w="1999" w:type="pct"/>
                  <w:vAlign w:val="center"/>
                </w:tcPr>
                <w:p w14:paraId="0730A467">
                  <w:pPr>
                    <w:pStyle w:val="72"/>
                    <w:rPr>
                      <w:b w:val="0"/>
                      <w:color w:val="auto"/>
                    </w:rPr>
                  </w:pPr>
                  <w:r>
                    <w:rPr>
                      <w:b w:val="0"/>
                      <w:color w:val="auto"/>
                    </w:rPr>
                    <w:t>取水口下游500米范围内有重要水生生物的自然产卵场、索饵场、越冬场和洄游通道的新增河道取水的污染类建设项目。</w:t>
                  </w:r>
                </w:p>
              </w:tc>
              <w:tc>
                <w:tcPr>
                  <w:tcW w:w="2016" w:type="pct"/>
                  <w:vAlign w:val="center"/>
                </w:tcPr>
                <w:p w14:paraId="6D447D54">
                  <w:pPr>
                    <w:pStyle w:val="72"/>
                    <w:rPr>
                      <w:b w:val="0"/>
                      <w:color w:val="auto"/>
                    </w:rPr>
                  </w:pPr>
                  <w:r>
                    <w:rPr>
                      <w:b w:val="0"/>
                      <w:color w:val="auto"/>
                    </w:rPr>
                    <w:t>本项目不涉及此项情况。</w:t>
                  </w:r>
                </w:p>
              </w:tc>
              <w:tc>
                <w:tcPr>
                  <w:tcW w:w="497" w:type="pct"/>
                  <w:vAlign w:val="center"/>
                </w:tcPr>
                <w:p w14:paraId="5EF28823">
                  <w:pPr>
                    <w:pStyle w:val="72"/>
                    <w:rPr>
                      <w:b w:val="0"/>
                      <w:color w:val="auto"/>
                    </w:rPr>
                  </w:pPr>
                  <w:r>
                    <w:rPr>
                      <w:b w:val="0"/>
                      <w:color w:val="auto"/>
                    </w:rPr>
                    <w:t>否</w:t>
                  </w:r>
                </w:p>
              </w:tc>
            </w:tr>
            <w:tr w14:paraId="05AE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746486D2">
                  <w:pPr>
                    <w:pStyle w:val="72"/>
                    <w:rPr>
                      <w:b w:val="0"/>
                      <w:color w:val="auto"/>
                    </w:rPr>
                  </w:pPr>
                  <w:r>
                    <w:rPr>
                      <w:b w:val="0"/>
                      <w:color w:val="auto"/>
                    </w:rPr>
                    <w:t>海洋</w:t>
                  </w:r>
                </w:p>
              </w:tc>
              <w:tc>
                <w:tcPr>
                  <w:tcW w:w="1999" w:type="pct"/>
                  <w:vAlign w:val="center"/>
                </w:tcPr>
                <w:p w14:paraId="0A525B68">
                  <w:pPr>
                    <w:pStyle w:val="72"/>
                    <w:rPr>
                      <w:b w:val="0"/>
                      <w:color w:val="auto"/>
                    </w:rPr>
                  </w:pPr>
                  <w:r>
                    <w:rPr>
                      <w:b w:val="0"/>
                      <w:color w:val="auto"/>
                    </w:rPr>
                    <w:t>直接向海排放污染物的海洋工程建设项目。</w:t>
                  </w:r>
                </w:p>
              </w:tc>
              <w:tc>
                <w:tcPr>
                  <w:tcW w:w="2016" w:type="pct"/>
                  <w:vAlign w:val="center"/>
                </w:tcPr>
                <w:p w14:paraId="14D93BE8">
                  <w:pPr>
                    <w:pStyle w:val="72"/>
                    <w:rPr>
                      <w:b w:val="0"/>
                      <w:color w:val="auto"/>
                    </w:rPr>
                  </w:pPr>
                  <w:r>
                    <w:rPr>
                      <w:b w:val="0"/>
                      <w:color w:val="auto"/>
                    </w:rPr>
                    <w:t>项目不属于海洋工程建设项目，不向海洋排放污染物。</w:t>
                  </w:r>
                </w:p>
              </w:tc>
              <w:tc>
                <w:tcPr>
                  <w:tcW w:w="497" w:type="pct"/>
                  <w:vAlign w:val="center"/>
                </w:tcPr>
                <w:p w14:paraId="75405A2B">
                  <w:pPr>
                    <w:pStyle w:val="72"/>
                    <w:rPr>
                      <w:b w:val="0"/>
                      <w:color w:val="auto"/>
                    </w:rPr>
                  </w:pPr>
                  <w:r>
                    <w:rPr>
                      <w:b w:val="0"/>
                      <w:color w:val="auto"/>
                    </w:rPr>
                    <w:t>否</w:t>
                  </w:r>
                </w:p>
              </w:tc>
            </w:tr>
            <w:tr w14:paraId="745A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000" w:type="pct"/>
                  <w:gridSpan w:val="4"/>
                  <w:vAlign w:val="center"/>
                </w:tcPr>
                <w:p w14:paraId="740E6315">
                  <w:pPr>
                    <w:pStyle w:val="72"/>
                    <w:jc w:val="left"/>
                    <w:rPr>
                      <w:b w:val="0"/>
                      <w:color w:val="auto"/>
                    </w:rPr>
                  </w:pPr>
                  <w:r>
                    <w:rPr>
                      <w:b w:val="0"/>
                      <w:color w:val="auto"/>
                    </w:rPr>
                    <w:t>注：1.废气中有毒有害污染物指纳入《有毒有害大气污染物名录》的污染物（不包括无排放标准的污染物）。</w:t>
                  </w:r>
                </w:p>
                <w:p w14:paraId="11672F1A">
                  <w:pPr>
                    <w:pStyle w:val="72"/>
                    <w:jc w:val="left"/>
                    <w:rPr>
                      <w:b w:val="0"/>
                      <w:color w:val="auto"/>
                    </w:rPr>
                  </w:pPr>
                  <w:r>
                    <w:rPr>
                      <w:b w:val="0"/>
                      <w:color w:val="auto"/>
                    </w:rPr>
                    <w:t>2.环境空气保护目标指自然保护区、风景名胜区、居住区、文化区和农村地区中人群较集中的区域。</w:t>
                  </w:r>
                </w:p>
                <w:p w14:paraId="56D963BE">
                  <w:pPr>
                    <w:pStyle w:val="72"/>
                    <w:jc w:val="left"/>
                    <w:rPr>
                      <w:b w:val="0"/>
                      <w:color w:val="auto"/>
                    </w:rPr>
                  </w:pPr>
                  <w:r>
                    <w:rPr>
                      <w:b w:val="0"/>
                      <w:color w:val="auto"/>
                    </w:rPr>
                    <w:t>3.临界量及其计算方法可参考《建设项目环境风险评价技术导则》（HJ 169）附录B、附录C。</w:t>
                  </w:r>
                </w:p>
              </w:tc>
            </w:tr>
          </w:tbl>
          <w:p w14:paraId="2D0C3F54">
            <w:pPr>
              <w:autoSpaceDE w:val="0"/>
              <w:autoSpaceDN w:val="0"/>
              <w:adjustRightInd w:val="0"/>
              <w:snapToGrid w:val="0"/>
              <w:jc w:val="center"/>
              <w:rPr>
                <w:kern w:val="0"/>
                <w:sz w:val="24"/>
              </w:rPr>
            </w:pPr>
            <w:r>
              <w:rPr>
                <w:kern w:val="0"/>
                <w:sz w:val="24"/>
              </w:rPr>
              <w:t>综上所述，本项目不设置专项评价。</w:t>
            </w:r>
          </w:p>
        </w:tc>
      </w:tr>
      <w:tr w14:paraId="71A56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63080423">
            <w:pPr>
              <w:autoSpaceDE w:val="0"/>
              <w:autoSpaceDN w:val="0"/>
              <w:adjustRightInd w:val="0"/>
              <w:snapToGrid w:val="0"/>
              <w:jc w:val="center"/>
              <w:rPr>
                <w:kern w:val="0"/>
                <w:sz w:val="24"/>
              </w:rPr>
            </w:pPr>
            <w:r>
              <w:rPr>
                <w:sz w:val="24"/>
              </w:rPr>
              <w:t>规划情况</w:t>
            </w:r>
          </w:p>
        </w:tc>
        <w:tc>
          <w:tcPr>
            <w:tcW w:w="8371" w:type="dxa"/>
            <w:gridSpan w:val="4"/>
            <w:vAlign w:val="center"/>
          </w:tcPr>
          <w:p w14:paraId="6DC29DD3">
            <w:pPr>
              <w:spacing w:line="360" w:lineRule="auto"/>
              <w:jc w:val="left"/>
              <w:rPr>
                <w:sz w:val="24"/>
              </w:rPr>
            </w:pPr>
            <w:r>
              <w:rPr>
                <w:b/>
                <w:bCs/>
                <w:sz w:val="24"/>
              </w:rPr>
              <w:t>1、规划名称：</w:t>
            </w:r>
            <w:r>
              <w:rPr>
                <w:sz w:val="24"/>
              </w:rPr>
              <w:t>《云南寻甸产业园区总体规划修编（2021-2035）》；</w:t>
            </w:r>
          </w:p>
          <w:p w14:paraId="3A5CA044">
            <w:pPr>
              <w:autoSpaceDE w:val="0"/>
              <w:autoSpaceDN w:val="0"/>
              <w:adjustRightInd w:val="0"/>
              <w:snapToGrid w:val="0"/>
              <w:spacing w:line="360" w:lineRule="auto"/>
              <w:rPr>
                <w:sz w:val="24"/>
                <w:lang w:val="zh-CN"/>
              </w:rPr>
            </w:pPr>
            <w:r>
              <w:rPr>
                <w:b/>
                <w:bCs/>
                <w:sz w:val="24"/>
              </w:rPr>
              <w:t>2、审查机关：</w:t>
            </w:r>
            <w:r>
              <w:rPr>
                <w:sz w:val="24"/>
              </w:rPr>
              <w:t>昆明市人民政府；</w:t>
            </w:r>
          </w:p>
          <w:p w14:paraId="552381A7">
            <w:pPr>
              <w:autoSpaceDE w:val="0"/>
              <w:autoSpaceDN w:val="0"/>
              <w:adjustRightInd w:val="0"/>
              <w:snapToGrid w:val="0"/>
              <w:spacing w:line="360" w:lineRule="auto"/>
              <w:rPr>
                <w:kern w:val="0"/>
                <w:sz w:val="24"/>
              </w:rPr>
            </w:pPr>
            <w:r>
              <w:rPr>
                <w:b/>
                <w:bCs/>
                <w:sz w:val="24"/>
              </w:rPr>
              <w:t>3、审查文件名称及文号：</w:t>
            </w:r>
            <w:r>
              <w:rPr>
                <w:sz w:val="24"/>
              </w:rPr>
              <w:t>昆明市人民政府关于</w:t>
            </w:r>
            <w:r>
              <w:rPr>
                <w:bCs/>
                <w:sz w:val="24"/>
              </w:rPr>
              <w:t>《云南寻甸产业园区总体规划修编（2021—2035年）》的批复（昆政复〔2023〕63号）</w:t>
            </w:r>
            <w:r>
              <w:rPr>
                <w:sz w:val="24"/>
              </w:rPr>
              <w:t>。</w:t>
            </w:r>
          </w:p>
        </w:tc>
      </w:tr>
      <w:tr w14:paraId="6DFC2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92" w:type="dxa"/>
            <w:vAlign w:val="center"/>
          </w:tcPr>
          <w:p w14:paraId="1F0876B4">
            <w:pPr>
              <w:adjustRightInd w:val="0"/>
              <w:snapToGrid w:val="0"/>
              <w:jc w:val="center"/>
              <w:rPr>
                <w:sz w:val="24"/>
              </w:rPr>
            </w:pPr>
            <w:r>
              <w:rPr>
                <w:sz w:val="24"/>
              </w:rPr>
              <w:t>规划环境影响</w:t>
            </w:r>
          </w:p>
          <w:p w14:paraId="771E0A13">
            <w:pPr>
              <w:adjustRightInd w:val="0"/>
              <w:snapToGrid w:val="0"/>
              <w:jc w:val="center"/>
              <w:rPr>
                <w:kern w:val="0"/>
                <w:sz w:val="24"/>
              </w:rPr>
            </w:pPr>
            <w:r>
              <w:rPr>
                <w:sz w:val="24"/>
              </w:rPr>
              <w:t>评价情况</w:t>
            </w:r>
          </w:p>
        </w:tc>
        <w:tc>
          <w:tcPr>
            <w:tcW w:w="8371" w:type="dxa"/>
            <w:gridSpan w:val="4"/>
            <w:vAlign w:val="center"/>
          </w:tcPr>
          <w:p w14:paraId="415E503C">
            <w:pPr>
              <w:autoSpaceDE w:val="0"/>
              <w:autoSpaceDN w:val="0"/>
              <w:adjustRightInd w:val="0"/>
              <w:snapToGrid w:val="0"/>
              <w:spacing w:line="360" w:lineRule="auto"/>
              <w:rPr>
                <w:bCs/>
                <w:sz w:val="24"/>
              </w:rPr>
            </w:pPr>
            <w:r>
              <w:rPr>
                <w:b/>
                <w:bCs/>
                <w:sz w:val="24"/>
              </w:rPr>
              <w:t>1、规划环境影响评价文件名称：</w:t>
            </w:r>
            <w:r>
              <w:rPr>
                <w:bCs/>
                <w:sz w:val="24"/>
              </w:rPr>
              <w:t>《云南寻甸产业园区总体规划修编（2021-2035）环境影响报告书》；</w:t>
            </w:r>
          </w:p>
          <w:p w14:paraId="48AF6224">
            <w:pPr>
              <w:autoSpaceDE w:val="0"/>
              <w:autoSpaceDN w:val="0"/>
              <w:adjustRightInd w:val="0"/>
              <w:snapToGrid w:val="0"/>
              <w:spacing w:line="360" w:lineRule="auto"/>
              <w:rPr>
                <w:bCs/>
                <w:sz w:val="24"/>
              </w:rPr>
            </w:pPr>
            <w:r>
              <w:rPr>
                <w:b/>
                <w:bCs/>
                <w:sz w:val="24"/>
              </w:rPr>
              <w:t>2、审查机关：</w:t>
            </w:r>
            <w:r>
              <w:rPr>
                <w:sz w:val="24"/>
              </w:rPr>
              <w:t>昆明市生态环境局；</w:t>
            </w:r>
          </w:p>
          <w:p w14:paraId="6D61DB06">
            <w:pPr>
              <w:autoSpaceDE w:val="0"/>
              <w:autoSpaceDN w:val="0"/>
              <w:adjustRightInd w:val="0"/>
              <w:snapToGrid w:val="0"/>
              <w:spacing w:line="360" w:lineRule="auto"/>
              <w:rPr>
                <w:kern w:val="0"/>
                <w:sz w:val="24"/>
              </w:rPr>
            </w:pPr>
            <w:r>
              <w:rPr>
                <w:b/>
                <w:bCs/>
                <w:sz w:val="24"/>
              </w:rPr>
              <w:t>3、审查文件名称及文号：</w:t>
            </w:r>
            <w:r>
              <w:rPr>
                <w:sz w:val="24"/>
              </w:rPr>
              <w:t>昆明市生态环境局关于</w:t>
            </w:r>
            <w:r>
              <w:rPr>
                <w:bCs/>
                <w:sz w:val="24"/>
              </w:rPr>
              <w:t>《云南寻甸产业园区总体规划修编（2021-2035）环境影响报告书》审查意见的函（昆环审[2023]5号）</w:t>
            </w:r>
            <w:r>
              <w:rPr>
                <w:sz w:val="24"/>
              </w:rPr>
              <w:t>。</w:t>
            </w:r>
          </w:p>
        </w:tc>
      </w:tr>
      <w:tr w14:paraId="10833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24C3EB1C">
            <w:pPr>
              <w:autoSpaceDE w:val="0"/>
              <w:autoSpaceDN w:val="0"/>
              <w:adjustRightInd w:val="0"/>
              <w:snapToGrid w:val="0"/>
              <w:jc w:val="center"/>
              <w:rPr>
                <w:kern w:val="0"/>
                <w:szCs w:val="21"/>
              </w:rPr>
            </w:pPr>
            <w:r>
              <w:rPr>
                <w:kern w:val="0"/>
                <w:sz w:val="24"/>
              </w:rPr>
              <w:t>规划及规划环境影响评价符合性分析</w:t>
            </w:r>
          </w:p>
        </w:tc>
        <w:tc>
          <w:tcPr>
            <w:tcW w:w="8371" w:type="dxa"/>
            <w:gridSpan w:val="4"/>
            <w:vAlign w:val="center"/>
          </w:tcPr>
          <w:p w14:paraId="681FE9E1">
            <w:pPr>
              <w:adjustRightInd w:val="0"/>
              <w:snapToGrid w:val="0"/>
              <w:spacing w:line="360" w:lineRule="auto"/>
              <w:ind w:firstLine="482" w:firstLineChars="200"/>
              <w:rPr>
                <w:b/>
                <w:sz w:val="24"/>
              </w:rPr>
            </w:pPr>
            <w:r>
              <w:rPr>
                <w:b/>
                <w:sz w:val="24"/>
              </w:rPr>
              <w:t>1、与</w:t>
            </w:r>
            <w:r>
              <w:rPr>
                <w:b/>
                <w:sz w:val="24"/>
                <w:lang w:val="zh-CN"/>
              </w:rPr>
              <w:t>《云南寻甸产业园区总体规划修编（2021-2035）》</w:t>
            </w:r>
            <w:r>
              <w:rPr>
                <w:b/>
                <w:sz w:val="24"/>
              </w:rPr>
              <w:t>的符合性分析</w:t>
            </w:r>
          </w:p>
          <w:p w14:paraId="08B314DC">
            <w:pPr>
              <w:adjustRightInd w:val="0"/>
              <w:snapToGrid w:val="0"/>
              <w:spacing w:line="360" w:lineRule="auto"/>
              <w:ind w:firstLine="482" w:firstLineChars="200"/>
              <w:rPr>
                <w:b/>
                <w:bCs/>
                <w:sz w:val="24"/>
              </w:rPr>
            </w:pPr>
            <w:r>
              <w:rPr>
                <w:b/>
                <w:bCs/>
                <w:sz w:val="24"/>
                <w:lang w:val="zh-CN"/>
              </w:rPr>
              <w:t>（</w:t>
            </w:r>
            <w:r>
              <w:rPr>
                <w:b/>
                <w:bCs/>
                <w:sz w:val="24"/>
              </w:rPr>
              <w:t>1</w:t>
            </w:r>
            <w:r>
              <w:rPr>
                <w:b/>
                <w:bCs/>
                <w:sz w:val="24"/>
                <w:lang w:val="zh-CN"/>
              </w:rPr>
              <w:t>）</w:t>
            </w:r>
            <w:r>
              <w:rPr>
                <w:b/>
                <w:bCs/>
                <w:sz w:val="24"/>
              </w:rPr>
              <w:t>规划简介</w:t>
            </w:r>
          </w:p>
          <w:p w14:paraId="12037A77">
            <w:pPr>
              <w:spacing w:line="360" w:lineRule="auto"/>
              <w:ind w:firstLine="480" w:firstLineChars="200"/>
              <w:rPr>
                <w:sz w:val="24"/>
                <w:lang w:val="zh-CN"/>
              </w:rPr>
            </w:pPr>
            <w:r>
              <w:rPr>
                <w:sz w:val="24"/>
                <w:lang w:val="zh-CN"/>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14:paraId="1FF17434">
            <w:pPr>
              <w:adjustRightInd w:val="0"/>
              <w:snapToGrid w:val="0"/>
              <w:spacing w:line="360" w:lineRule="auto"/>
              <w:ind w:firstLine="482" w:firstLineChars="200"/>
              <w:rPr>
                <w:b/>
                <w:bCs/>
                <w:sz w:val="24"/>
              </w:rPr>
            </w:pPr>
            <w:r>
              <w:rPr>
                <w:b/>
                <w:bCs/>
                <w:sz w:val="24"/>
                <w:lang w:val="zh-CN"/>
              </w:rPr>
              <w:t>（</w:t>
            </w:r>
            <w:r>
              <w:rPr>
                <w:b/>
                <w:bCs/>
                <w:sz w:val="24"/>
              </w:rPr>
              <w:t>2</w:t>
            </w:r>
            <w:r>
              <w:rPr>
                <w:b/>
                <w:bCs/>
                <w:sz w:val="24"/>
                <w:lang w:val="zh-CN"/>
              </w:rPr>
              <w:t>）</w:t>
            </w:r>
            <w:r>
              <w:rPr>
                <w:b/>
                <w:bCs/>
                <w:sz w:val="24"/>
              </w:rPr>
              <w:t>规划相关内容</w:t>
            </w:r>
          </w:p>
          <w:p w14:paraId="47194508">
            <w:pPr>
              <w:spacing w:line="360" w:lineRule="auto"/>
              <w:ind w:firstLine="480" w:firstLineChars="200"/>
              <w:rPr>
                <w:sz w:val="24"/>
              </w:rPr>
            </w:pPr>
            <w:r>
              <w:rPr>
                <w:sz w:val="24"/>
              </w:rPr>
              <w:t>1）园区总体布局规划</w:t>
            </w:r>
          </w:p>
          <w:p w14:paraId="7B6237BB">
            <w:pPr>
              <w:spacing w:line="360" w:lineRule="auto"/>
              <w:ind w:firstLine="480" w:firstLineChars="200"/>
              <w:jc w:val="left"/>
              <w:rPr>
                <w:sz w:val="24"/>
              </w:rPr>
            </w:pPr>
            <w:r>
              <w:rPr>
                <w:sz w:val="24"/>
              </w:rPr>
              <w:t>根据云南寻甸产业园现状工业的分布情况，统筹规划，形成</w:t>
            </w:r>
            <w:r>
              <w:rPr>
                <w:rFonts w:hint="eastAsia"/>
                <w:sz w:val="24"/>
              </w:rPr>
              <w:t>“</w:t>
            </w:r>
            <w:r>
              <w:rPr>
                <w:sz w:val="24"/>
              </w:rPr>
              <w:t>一园三片多组团</w:t>
            </w:r>
            <w:r>
              <w:rPr>
                <w:rFonts w:hint="eastAsia"/>
                <w:sz w:val="24"/>
              </w:rPr>
              <w:t>”</w:t>
            </w:r>
            <w:r>
              <w:rPr>
                <w:sz w:val="24"/>
              </w:rPr>
              <w:t>的总体格局。</w:t>
            </w:r>
          </w:p>
          <w:p w14:paraId="4C30AD2C">
            <w:pPr>
              <w:spacing w:line="360" w:lineRule="auto"/>
              <w:ind w:firstLine="480" w:firstLineChars="200"/>
              <w:jc w:val="left"/>
              <w:rPr>
                <w:sz w:val="24"/>
              </w:rPr>
            </w:pPr>
            <w:r>
              <w:rPr>
                <w:sz w:val="24"/>
              </w:rPr>
              <w:t>一园：云南寻甸产业园区；</w:t>
            </w:r>
          </w:p>
          <w:p w14:paraId="06B9CEE2">
            <w:pPr>
              <w:spacing w:line="360" w:lineRule="auto"/>
              <w:ind w:firstLine="480" w:firstLineChars="200"/>
              <w:jc w:val="left"/>
              <w:rPr>
                <w:sz w:val="24"/>
              </w:rPr>
            </w:pPr>
            <w:r>
              <w:rPr>
                <w:sz w:val="24"/>
              </w:rPr>
              <w:t>三片：羊街片区、金所（天生桥）片区（其中天生桥拟设置为化工园区）、倘甸片区；</w:t>
            </w:r>
          </w:p>
          <w:p w14:paraId="061D5C1E">
            <w:pPr>
              <w:spacing w:line="360" w:lineRule="auto"/>
              <w:ind w:firstLine="480" w:firstLineChars="200"/>
              <w:jc w:val="left"/>
              <w:rPr>
                <w:sz w:val="24"/>
              </w:rPr>
            </w:pPr>
            <w:r>
              <w:rPr>
                <w:sz w:val="24"/>
              </w:rPr>
              <w:t>多组团：依托昆明国际林业产业园、农特产品加工园区、先锋能源基地等园中园，促进产业集聚发展，形成一二三产融合发展的产业体系。</w:t>
            </w:r>
          </w:p>
          <w:p w14:paraId="58CA10D8">
            <w:pPr>
              <w:spacing w:line="360" w:lineRule="auto"/>
              <w:ind w:firstLine="480" w:firstLineChars="200"/>
              <w:rPr>
                <w:sz w:val="24"/>
              </w:rPr>
            </w:pPr>
            <w:r>
              <w:rPr>
                <w:sz w:val="24"/>
              </w:rPr>
              <w:t>2）规划时序</w:t>
            </w:r>
          </w:p>
          <w:p w14:paraId="234024AC">
            <w:pPr>
              <w:spacing w:line="360" w:lineRule="auto"/>
              <w:ind w:firstLine="480" w:firstLineChars="200"/>
              <w:jc w:val="left"/>
              <w:rPr>
                <w:sz w:val="24"/>
              </w:rPr>
            </w:pPr>
            <w:r>
              <w:rPr>
                <w:sz w:val="24"/>
              </w:rPr>
              <w:t>本次规划的期限为2021～2035年。其中：近期为2021年~2025年，远期为2026年~2035年。</w:t>
            </w:r>
          </w:p>
          <w:p w14:paraId="4FA1AF15">
            <w:pPr>
              <w:spacing w:line="360" w:lineRule="auto"/>
              <w:ind w:firstLine="480" w:firstLineChars="200"/>
              <w:rPr>
                <w:sz w:val="24"/>
              </w:rPr>
            </w:pPr>
            <w:r>
              <w:rPr>
                <w:sz w:val="24"/>
              </w:rPr>
              <w:t>3）规划范围</w:t>
            </w:r>
          </w:p>
          <w:p w14:paraId="11E3D8F8">
            <w:pPr>
              <w:spacing w:line="360" w:lineRule="auto"/>
              <w:ind w:firstLine="480" w:firstLineChars="200"/>
              <w:jc w:val="left"/>
              <w:rPr>
                <w:sz w:val="24"/>
              </w:rPr>
            </w:pPr>
            <w:r>
              <w:rPr>
                <w:sz w:val="24"/>
              </w:rPr>
              <w:t>①近期开发范围（2025年）</w:t>
            </w:r>
          </w:p>
          <w:p w14:paraId="0C35BF8F">
            <w:pPr>
              <w:spacing w:line="360" w:lineRule="auto"/>
              <w:ind w:firstLine="480" w:firstLineChars="200"/>
              <w:rPr>
                <w:sz w:val="24"/>
              </w:rPr>
            </w:pPr>
            <w:r>
              <w:rPr>
                <w:sz w:val="24"/>
              </w:rPr>
              <w:t>至2025年，近期开发范围根据园区实际发展需求，控制为1096.71公顷，包括三个工业发展片区，其中金所片区681.52公顷；羊街片区231.58公顷；倘甸片区183.62公顷。</w:t>
            </w:r>
          </w:p>
          <w:p w14:paraId="6BE8739B">
            <w:pPr>
              <w:spacing w:line="360" w:lineRule="auto"/>
              <w:ind w:firstLine="480" w:firstLineChars="200"/>
              <w:jc w:val="left"/>
              <w:rPr>
                <w:sz w:val="24"/>
              </w:rPr>
            </w:pPr>
            <w:r>
              <w:rPr>
                <w:sz w:val="24"/>
              </w:rPr>
              <w:t>②园区远期规划范围（2035年）</w:t>
            </w:r>
          </w:p>
          <w:p w14:paraId="63EB074C">
            <w:pPr>
              <w:spacing w:line="360" w:lineRule="auto"/>
              <w:ind w:firstLine="480" w:firstLineChars="200"/>
              <w:jc w:val="left"/>
              <w:rPr>
                <w:sz w:val="24"/>
              </w:rPr>
            </w:pPr>
            <w:r>
              <w:rPr>
                <w:sz w:val="24"/>
              </w:rPr>
              <w:t>至2035年，远期规划面积根据园区实际发展需求，控制为1214.59公顷，包括三个工业发展片区，其中金所片区681.52公顷；羊街片区263.39公顷；倘甸片区269.69 公顷。</w:t>
            </w:r>
          </w:p>
          <w:p w14:paraId="2E3EBE30">
            <w:pPr>
              <w:spacing w:line="360" w:lineRule="auto"/>
              <w:ind w:firstLine="480" w:firstLineChars="200"/>
              <w:rPr>
                <w:sz w:val="24"/>
              </w:rPr>
            </w:pPr>
            <w:r>
              <w:rPr>
                <w:sz w:val="24"/>
              </w:rPr>
              <w:t>4）园区定位</w:t>
            </w:r>
          </w:p>
          <w:p w14:paraId="03C7F04C">
            <w:pPr>
              <w:spacing w:line="360" w:lineRule="auto"/>
              <w:ind w:firstLine="480" w:firstLineChars="200"/>
              <w:jc w:val="left"/>
              <w:rPr>
                <w:sz w:val="24"/>
              </w:rPr>
            </w:pPr>
            <w:r>
              <w:rPr>
                <w:sz w:val="24"/>
              </w:rPr>
              <w:t>①总体定位</w:t>
            </w:r>
          </w:p>
          <w:p w14:paraId="064AC20F">
            <w:pPr>
              <w:spacing w:line="360" w:lineRule="auto"/>
              <w:ind w:firstLine="480" w:firstLineChars="200"/>
              <w:jc w:val="left"/>
              <w:rPr>
                <w:sz w:val="24"/>
              </w:rPr>
            </w:pPr>
            <w:r>
              <w:rPr>
                <w:sz w:val="24"/>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14:paraId="3399AF3E">
            <w:pPr>
              <w:spacing w:line="360" w:lineRule="auto"/>
              <w:ind w:firstLine="480" w:firstLineChars="200"/>
              <w:jc w:val="left"/>
              <w:rPr>
                <w:sz w:val="24"/>
              </w:rPr>
            </w:pPr>
            <w:r>
              <w:rPr>
                <w:sz w:val="24"/>
              </w:rPr>
              <w:t>“3”支柱产业包括：非烟轻工（一主）、绿色化工及先进装备制造（两辅）；</w:t>
            </w:r>
          </w:p>
          <w:p w14:paraId="60FEABCA">
            <w:pPr>
              <w:spacing w:line="360" w:lineRule="auto"/>
              <w:ind w:firstLine="480" w:firstLineChars="200"/>
              <w:jc w:val="left"/>
              <w:rPr>
                <w:sz w:val="24"/>
              </w:rPr>
            </w:pPr>
            <w:r>
              <w:rPr>
                <w:sz w:val="24"/>
              </w:rPr>
              <w:t>“2”传统产业包括：生物医药、绿色建材；</w:t>
            </w:r>
          </w:p>
          <w:p w14:paraId="055544BE">
            <w:pPr>
              <w:spacing w:line="360" w:lineRule="auto"/>
              <w:ind w:firstLine="480" w:firstLineChars="200"/>
              <w:rPr>
                <w:sz w:val="24"/>
              </w:rPr>
            </w:pPr>
            <w:r>
              <w:rPr>
                <w:sz w:val="24"/>
              </w:rPr>
              <w:t>“2”服务业：生产性服务、生活性服务。</w:t>
            </w:r>
          </w:p>
          <w:p w14:paraId="21159220">
            <w:pPr>
              <w:spacing w:line="360" w:lineRule="auto"/>
              <w:ind w:firstLine="480" w:firstLineChars="200"/>
              <w:rPr>
                <w:sz w:val="24"/>
              </w:rPr>
            </w:pPr>
            <w:r>
              <w:rPr>
                <w:sz w:val="24"/>
              </w:rPr>
              <w:t>②分园定位</w:t>
            </w:r>
          </w:p>
          <w:p w14:paraId="327BD7B2">
            <w:pPr>
              <w:spacing w:line="360" w:lineRule="auto"/>
              <w:ind w:firstLine="480" w:firstLineChars="200"/>
              <w:jc w:val="left"/>
              <w:rPr>
                <w:sz w:val="24"/>
              </w:rPr>
            </w:pPr>
            <w:r>
              <w:rPr>
                <w:sz w:val="24"/>
              </w:rPr>
              <w:t>金所片区金所组团（</w:t>
            </w:r>
            <w:r>
              <w:rPr>
                <w:b/>
                <w:sz w:val="24"/>
              </w:rPr>
              <w:t>6</w:t>
            </w:r>
            <w:r>
              <w:rPr>
                <w:sz w:val="24"/>
              </w:rPr>
              <w:t>分区）：先进装备制造产业区、非烟轻工产业区、绿色建材产业区、绿色化工产业区、公共服务配套区、中转物流区；</w:t>
            </w:r>
          </w:p>
          <w:p w14:paraId="78357383">
            <w:pPr>
              <w:spacing w:line="360" w:lineRule="auto"/>
              <w:ind w:firstLine="480" w:firstLineChars="200"/>
              <w:jc w:val="left"/>
              <w:rPr>
                <w:sz w:val="24"/>
              </w:rPr>
            </w:pPr>
            <w:r>
              <w:rPr>
                <w:sz w:val="24"/>
              </w:rPr>
              <w:t>金所片区天生桥组团（本次拟设置为化工园区）（</w:t>
            </w:r>
            <w:r>
              <w:rPr>
                <w:b/>
                <w:sz w:val="24"/>
              </w:rPr>
              <w:t>2</w:t>
            </w:r>
            <w:r>
              <w:rPr>
                <w:sz w:val="24"/>
              </w:rPr>
              <w:t>分区）：绿色化工产业区、先进装备制造产业区；</w:t>
            </w:r>
          </w:p>
          <w:p w14:paraId="5C016FDA">
            <w:pPr>
              <w:spacing w:line="360" w:lineRule="auto"/>
              <w:ind w:firstLine="480" w:firstLineChars="200"/>
              <w:jc w:val="left"/>
              <w:rPr>
                <w:sz w:val="24"/>
              </w:rPr>
            </w:pPr>
            <w:r>
              <w:rPr>
                <w:sz w:val="24"/>
              </w:rPr>
              <w:t>羊街片区（</w:t>
            </w:r>
            <w:r>
              <w:rPr>
                <w:b/>
                <w:sz w:val="24"/>
              </w:rPr>
              <w:t>3</w:t>
            </w:r>
            <w:r>
              <w:rPr>
                <w:sz w:val="24"/>
              </w:rPr>
              <w:t>分区）：先进装备制造产业区、非烟轻工产业区、商贸物流及冷链加工区；</w:t>
            </w:r>
          </w:p>
          <w:p w14:paraId="2987BDEB">
            <w:pPr>
              <w:spacing w:line="360" w:lineRule="auto"/>
              <w:ind w:firstLine="480" w:firstLineChars="200"/>
              <w:jc w:val="left"/>
              <w:rPr>
                <w:sz w:val="24"/>
              </w:rPr>
            </w:pPr>
            <w:r>
              <w:rPr>
                <w:sz w:val="24"/>
              </w:rPr>
              <w:t>倘甸片区（</w:t>
            </w:r>
            <w:r>
              <w:rPr>
                <w:b/>
                <w:sz w:val="24"/>
              </w:rPr>
              <w:t>4</w:t>
            </w:r>
            <w:r>
              <w:rPr>
                <w:sz w:val="24"/>
              </w:rPr>
              <w:t>分区）：生物医疗产业区、先进装备制造产业区、非烟轻工产业区、公共服务配套区。</w:t>
            </w:r>
          </w:p>
          <w:p w14:paraId="5D20EC67">
            <w:pPr>
              <w:adjustRightInd w:val="0"/>
              <w:snapToGrid w:val="0"/>
              <w:spacing w:line="360" w:lineRule="auto"/>
              <w:ind w:firstLine="482" w:firstLineChars="200"/>
              <w:rPr>
                <w:b/>
                <w:bCs/>
                <w:sz w:val="24"/>
                <w:lang w:val="zh-CN"/>
              </w:rPr>
            </w:pPr>
            <w:r>
              <w:rPr>
                <w:b/>
                <w:bCs/>
                <w:sz w:val="24"/>
                <w:lang w:val="zh-CN"/>
              </w:rPr>
              <w:t>（</w:t>
            </w:r>
            <w:r>
              <w:rPr>
                <w:b/>
                <w:bCs/>
                <w:sz w:val="24"/>
              </w:rPr>
              <w:t>3</w:t>
            </w:r>
            <w:r>
              <w:rPr>
                <w:b/>
                <w:bCs/>
                <w:sz w:val="24"/>
                <w:lang w:val="zh-CN"/>
              </w:rPr>
              <w:t>）相符性分析</w:t>
            </w:r>
          </w:p>
          <w:p w14:paraId="0BD1799F">
            <w:pPr>
              <w:adjustRightInd w:val="0"/>
              <w:snapToGrid w:val="0"/>
              <w:spacing w:line="360" w:lineRule="auto"/>
              <w:ind w:firstLine="480" w:firstLineChars="200"/>
              <w:rPr>
                <w:sz w:val="24"/>
              </w:rPr>
            </w:pPr>
            <w:r>
              <w:rPr>
                <w:rFonts w:hint="eastAsia"/>
                <w:sz w:val="24"/>
              </w:rPr>
              <w:t>本项目位于</w:t>
            </w:r>
            <w:r>
              <w:rPr>
                <w:sz w:val="24"/>
              </w:rPr>
              <w:t>金所片区金所组团</w:t>
            </w:r>
            <w:r>
              <w:rPr>
                <w:rFonts w:hint="eastAsia"/>
                <w:sz w:val="24"/>
              </w:rPr>
              <w:t>中的</w:t>
            </w:r>
            <w:r>
              <w:rPr>
                <w:sz w:val="24"/>
              </w:rPr>
              <w:t>绿色化工产业区</w:t>
            </w:r>
            <w:r>
              <w:rPr>
                <w:rFonts w:hint="eastAsia"/>
                <w:sz w:val="24"/>
              </w:rPr>
              <w:t>（见附图5-2），化工产业集群主要依托天生桥组团重点布局磷化工产业，金所组团重点布局磷化工及煤化工产业。</w:t>
            </w:r>
          </w:p>
          <w:p w14:paraId="2FAB6691">
            <w:pPr>
              <w:adjustRightInd w:val="0"/>
              <w:snapToGrid w:val="0"/>
              <w:spacing w:line="360" w:lineRule="auto"/>
              <w:ind w:firstLine="480" w:firstLineChars="200"/>
              <w:rPr>
                <w:sz w:val="24"/>
              </w:rPr>
            </w:pPr>
            <w:r>
              <w:rPr>
                <w:sz w:val="24"/>
                <w:lang w:val="zh-CN"/>
              </w:rPr>
              <w:t>本项目为</w:t>
            </w:r>
            <w:r>
              <w:rPr>
                <w:rFonts w:hint="eastAsia"/>
                <w:sz w:val="24"/>
              </w:rPr>
              <w:t>一般工业固体废物综合利用项目</w:t>
            </w:r>
            <w:r>
              <w:rPr>
                <w:sz w:val="24"/>
                <w:lang w:val="zh-CN"/>
              </w:rPr>
              <w:t>，</w:t>
            </w:r>
            <w:r>
              <w:rPr>
                <w:rFonts w:hint="eastAsia"/>
                <w:sz w:val="24"/>
              </w:rPr>
              <w:t>位于</w:t>
            </w:r>
            <w:r>
              <w:rPr>
                <w:sz w:val="24"/>
                <w:lang w:val="zh-CN"/>
              </w:rPr>
              <w:t>金所工业园区云南建工云岭水泥有限公司</w:t>
            </w:r>
            <w:r>
              <w:rPr>
                <w:rFonts w:hint="eastAsia"/>
                <w:sz w:val="24"/>
              </w:rPr>
              <w:t>内进行建设</w:t>
            </w:r>
            <w:r>
              <w:rPr>
                <w:sz w:val="24"/>
                <w:lang w:val="zh-CN"/>
              </w:rPr>
              <w:t>，不新增用地，项目用地为工业用地</w:t>
            </w:r>
            <w:r>
              <w:rPr>
                <w:rFonts w:hint="eastAsia"/>
                <w:sz w:val="24"/>
                <w:lang w:val="zh-CN"/>
              </w:rPr>
              <w:t>，</w:t>
            </w:r>
            <w:r>
              <w:rPr>
                <w:rFonts w:hint="eastAsia"/>
                <w:sz w:val="24"/>
              </w:rPr>
              <w:t>不属于煤磷化工，项目采用园区内煤磷化工企业日常生产中产生的尾矿和低变质褐煤为原料生产有机肥，符合园区循环经济的发展理念，与园区的功能定位不冲突。且</w:t>
            </w:r>
            <w:r>
              <w:rPr>
                <w:sz w:val="24"/>
              </w:rPr>
              <w:t>202</w:t>
            </w:r>
            <w:r>
              <w:rPr>
                <w:rFonts w:hint="eastAsia"/>
                <w:sz w:val="24"/>
              </w:rPr>
              <w:t>5</w:t>
            </w:r>
            <w:r>
              <w:rPr>
                <w:sz w:val="24"/>
              </w:rPr>
              <w:t>年</w:t>
            </w:r>
            <w:r>
              <w:rPr>
                <w:rFonts w:hint="eastAsia"/>
                <w:sz w:val="24"/>
              </w:rPr>
              <w:t>12</w:t>
            </w:r>
            <w:r>
              <w:rPr>
                <w:sz w:val="24"/>
              </w:rPr>
              <w:t>月</w:t>
            </w:r>
            <w:r>
              <w:rPr>
                <w:rFonts w:hint="eastAsia"/>
                <w:sz w:val="24"/>
              </w:rPr>
              <w:t>26</w:t>
            </w:r>
            <w:r>
              <w:rPr>
                <w:sz w:val="24"/>
              </w:rPr>
              <w:t>日已取得</w:t>
            </w:r>
            <w:r>
              <w:rPr>
                <w:rFonts w:hint="eastAsia"/>
                <w:sz w:val="24"/>
              </w:rPr>
              <w:t>云南寻甸产业</w:t>
            </w:r>
            <w:r>
              <w:rPr>
                <w:sz w:val="24"/>
              </w:rPr>
              <w:t>园区管理委员会出具的</w:t>
            </w:r>
            <w:r>
              <w:rPr>
                <w:rFonts w:hint="eastAsia"/>
                <w:sz w:val="24"/>
              </w:rPr>
              <w:t>青思生物科技（寻甸）有限责任公司低变质褐煤、磷矿石浮选尾矿综合利用项目</w:t>
            </w:r>
            <w:r>
              <w:rPr>
                <w:sz w:val="24"/>
              </w:rPr>
              <w:t>入园申请同意书</w:t>
            </w:r>
            <w:r>
              <w:rPr>
                <w:sz w:val="24"/>
                <w:lang w:val="zh-CN"/>
              </w:rPr>
              <w:t>，</w:t>
            </w:r>
            <w:r>
              <w:rPr>
                <w:sz w:val="24"/>
              </w:rPr>
              <w:t>同意书中明确“项目符合园区产业发展要求，同意《</w:t>
            </w:r>
            <w:r>
              <w:rPr>
                <w:rFonts w:hint="eastAsia"/>
                <w:sz w:val="24"/>
              </w:rPr>
              <w:t>青思生物科技（寻甸）有限责任公司低变质褐煤、磷矿石浮选尾矿综合利用项目</w:t>
            </w:r>
            <w:r>
              <w:rPr>
                <w:sz w:val="24"/>
              </w:rPr>
              <w:t>》入驻寻甸产业园区金所片区”。</w:t>
            </w:r>
          </w:p>
          <w:p w14:paraId="10C5A65A">
            <w:pPr>
              <w:adjustRightInd w:val="0"/>
              <w:snapToGrid w:val="0"/>
              <w:spacing w:line="360" w:lineRule="auto"/>
              <w:ind w:firstLine="480" w:firstLineChars="200"/>
              <w:rPr>
                <w:sz w:val="24"/>
                <w:lang w:val="zh-CN"/>
              </w:rPr>
            </w:pPr>
            <w:bookmarkStart w:id="4" w:name="_Toc31449"/>
            <w:r>
              <w:rPr>
                <w:sz w:val="24"/>
              </w:rPr>
              <w:t>综上分析，本项目位于云南寻甸产业园区金所片区金所组团内，</w:t>
            </w:r>
            <w:r>
              <w:rPr>
                <w:sz w:val="24"/>
                <w:lang w:val="zh-CN"/>
              </w:rPr>
              <w:t>项目建设</w:t>
            </w:r>
            <w:r>
              <w:rPr>
                <w:sz w:val="24"/>
              </w:rPr>
              <w:t>与</w:t>
            </w:r>
            <w:r>
              <w:rPr>
                <w:sz w:val="24"/>
                <w:lang w:val="zh-CN"/>
              </w:rPr>
              <w:t>《云南寻甸产业园区总体规划修编（2021-2035）》</w:t>
            </w:r>
            <w:r>
              <w:rPr>
                <w:sz w:val="24"/>
              </w:rPr>
              <w:t>不冲突</w:t>
            </w:r>
            <w:r>
              <w:rPr>
                <w:sz w:val="24"/>
                <w:lang w:val="zh-CN"/>
              </w:rPr>
              <w:t>。</w:t>
            </w:r>
          </w:p>
          <w:p w14:paraId="63202D8E">
            <w:pPr>
              <w:numPr>
                <w:ilvl w:val="0"/>
                <w:numId w:val="1"/>
              </w:numPr>
              <w:adjustRightInd w:val="0"/>
              <w:snapToGrid w:val="0"/>
              <w:spacing w:line="360" w:lineRule="auto"/>
              <w:ind w:firstLine="482" w:firstLineChars="200"/>
              <w:rPr>
                <w:b/>
                <w:sz w:val="24"/>
              </w:rPr>
            </w:pPr>
            <w:r>
              <w:rPr>
                <w:b/>
                <w:sz w:val="24"/>
                <w:lang w:val="zh-CN" w:bidi="ar"/>
              </w:rPr>
              <w:t>与《云南寻甸产业园区总体规划修编（2021-2035）环境影响报告书》</w:t>
            </w:r>
            <w:r>
              <w:rPr>
                <w:b/>
                <w:sz w:val="24"/>
                <w:lang w:bidi="ar"/>
              </w:rPr>
              <w:t>及</w:t>
            </w:r>
            <w:r>
              <w:rPr>
                <w:b/>
                <w:sz w:val="24"/>
                <w:lang w:val="zh-CN" w:bidi="ar"/>
              </w:rPr>
              <w:t>审查意见（昆环审[2023]5号）</w:t>
            </w:r>
            <w:r>
              <w:rPr>
                <w:b/>
                <w:sz w:val="24"/>
                <w:lang w:bidi="ar"/>
              </w:rPr>
              <w:t>的</w:t>
            </w:r>
            <w:r>
              <w:rPr>
                <w:b/>
                <w:sz w:val="24"/>
                <w:lang w:val="zh-CN" w:bidi="ar"/>
              </w:rPr>
              <w:t>符合性分析</w:t>
            </w:r>
            <w:bookmarkEnd w:id="4"/>
          </w:p>
          <w:p w14:paraId="2A7493C1">
            <w:pPr>
              <w:adjustRightInd w:val="0"/>
              <w:snapToGrid w:val="0"/>
              <w:spacing w:line="360" w:lineRule="auto"/>
              <w:ind w:firstLine="482" w:firstLineChars="200"/>
              <w:rPr>
                <w:b/>
                <w:bCs/>
                <w:sz w:val="24"/>
              </w:rPr>
            </w:pPr>
            <w:r>
              <w:rPr>
                <w:b/>
                <w:bCs/>
                <w:sz w:val="24"/>
                <w:lang w:val="zh-CN"/>
              </w:rPr>
              <w:t>（</w:t>
            </w:r>
            <w:r>
              <w:rPr>
                <w:b/>
                <w:bCs/>
                <w:sz w:val="24"/>
              </w:rPr>
              <w:t>1</w:t>
            </w:r>
            <w:r>
              <w:rPr>
                <w:b/>
                <w:bCs/>
                <w:sz w:val="24"/>
                <w:lang w:val="zh-CN"/>
              </w:rPr>
              <w:t>）主要环境影响减缓措施</w:t>
            </w:r>
            <w:r>
              <w:rPr>
                <w:b/>
                <w:bCs/>
                <w:sz w:val="24"/>
              </w:rPr>
              <w:t>符合性分析</w:t>
            </w:r>
          </w:p>
          <w:p w14:paraId="33A19BAE">
            <w:pPr>
              <w:adjustRightInd w:val="0"/>
              <w:snapToGrid w:val="0"/>
              <w:spacing w:line="360" w:lineRule="auto"/>
              <w:ind w:firstLine="480" w:firstLineChars="200"/>
              <w:rPr>
                <w:sz w:val="24"/>
              </w:rPr>
            </w:pPr>
            <w:r>
              <w:rPr>
                <w:sz w:val="24"/>
                <w:lang w:val="zh-CN"/>
              </w:rPr>
              <w:t>根据《云南寻甸产业园区总体规划修编（2021-2035）环境影响报告书》及其环评审查意见，</w:t>
            </w:r>
            <w:r>
              <w:rPr>
                <w:sz w:val="24"/>
              </w:rPr>
              <w:t>本项目与</w:t>
            </w:r>
            <w:r>
              <w:rPr>
                <w:sz w:val="24"/>
                <w:lang w:val="zh-CN"/>
              </w:rPr>
              <w:t>园区的主要环境影响减缓措施</w:t>
            </w:r>
            <w:r>
              <w:rPr>
                <w:sz w:val="24"/>
              </w:rPr>
              <w:t>符合性分析</w:t>
            </w:r>
            <w:r>
              <w:rPr>
                <w:sz w:val="24"/>
                <w:lang w:val="zh-CN"/>
              </w:rPr>
              <w:t>如下</w:t>
            </w:r>
            <w:r>
              <w:rPr>
                <w:sz w:val="24"/>
              </w:rPr>
              <w:t>表所示。</w:t>
            </w:r>
          </w:p>
          <w:p w14:paraId="05D3B866">
            <w:pPr>
              <w:pStyle w:val="56"/>
            </w:pPr>
            <w:r>
              <w:t>表1-2  项目与规划环评中环境影响减缓措施相符性对比分析表</w:t>
            </w:r>
          </w:p>
          <w:tbl>
            <w:tblPr>
              <w:tblStyle w:val="23"/>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
            <w:tblGrid>
              <w:gridCol w:w="553"/>
              <w:gridCol w:w="4867"/>
              <w:gridCol w:w="1757"/>
              <w:gridCol w:w="794"/>
            </w:tblGrid>
            <w:tr w14:paraId="7E5D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1" w:hRule="atLeast"/>
                <w:jc w:val="center"/>
              </w:trPr>
              <w:tc>
                <w:tcPr>
                  <w:tcW w:w="346" w:type="pct"/>
                  <w:vAlign w:val="center"/>
                </w:tcPr>
                <w:p w14:paraId="0714519E">
                  <w:pPr>
                    <w:adjustRightInd w:val="0"/>
                    <w:snapToGrid w:val="0"/>
                    <w:jc w:val="center"/>
                    <w:rPr>
                      <w:b/>
                      <w:bCs/>
                      <w:szCs w:val="21"/>
                    </w:rPr>
                  </w:pPr>
                  <w:r>
                    <w:rPr>
                      <w:b/>
                      <w:bCs/>
                      <w:szCs w:val="21"/>
                    </w:rPr>
                    <w:t>类别</w:t>
                  </w:r>
                </w:p>
              </w:tc>
              <w:tc>
                <w:tcPr>
                  <w:tcW w:w="3052" w:type="pct"/>
                  <w:vAlign w:val="center"/>
                </w:tcPr>
                <w:p w14:paraId="01AE3372">
                  <w:pPr>
                    <w:adjustRightInd w:val="0"/>
                    <w:snapToGrid w:val="0"/>
                    <w:jc w:val="center"/>
                    <w:rPr>
                      <w:b/>
                      <w:bCs/>
                      <w:szCs w:val="21"/>
                    </w:rPr>
                  </w:pPr>
                  <w:r>
                    <w:rPr>
                      <w:b/>
                      <w:bCs/>
                      <w:szCs w:val="21"/>
                    </w:rPr>
                    <w:t>内容要求</w:t>
                  </w:r>
                </w:p>
              </w:tc>
              <w:tc>
                <w:tcPr>
                  <w:tcW w:w="1102" w:type="pct"/>
                  <w:vAlign w:val="center"/>
                </w:tcPr>
                <w:p w14:paraId="67894FBD">
                  <w:pPr>
                    <w:adjustRightInd w:val="0"/>
                    <w:snapToGrid w:val="0"/>
                    <w:jc w:val="center"/>
                    <w:rPr>
                      <w:b/>
                      <w:bCs/>
                      <w:szCs w:val="21"/>
                    </w:rPr>
                  </w:pPr>
                  <w:r>
                    <w:rPr>
                      <w:b/>
                      <w:bCs/>
                      <w:szCs w:val="21"/>
                    </w:rPr>
                    <w:t>项目建设内容</w:t>
                  </w:r>
                </w:p>
              </w:tc>
              <w:tc>
                <w:tcPr>
                  <w:tcW w:w="498" w:type="pct"/>
                  <w:vAlign w:val="center"/>
                </w:tcPr>
                <w:p w14:paraId="082710BB">
                  <w:pPr>
                    <w:adjustRightInd w:val="0"/>
                    <w:snapToGrid w:val="0"/>
                    <w:jc w:val="center"/>
                    <w:rPr>
                      <w:b/>
                      <w:bCs/>
                      <w:szCs w:val="21"/>
                    </w:rPr>
                  </w:pPr>
                  <w:r>
                    <w:rPr>
                      <w:b/>
                      <w:bCs/>
                      <w:szCs w:val="21"/>
                    </w:rPr>
                    <w:t>符合性</w:t>
                  </w:r>
                </w:p>
              </w:tc>
            </w:tr>
            <w:tr w14:paraId="58D9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70A7F4FC">
                  <w:pPr>
                    <w:adjustRightInd w:val="0"/>
                    <w:snapToGrid w:val="0"/>
                    <w:jc w:val="center"/>
                    <w:rPr>
                      <w:szCs w:val="21"/>
                    </w:rPr>
                  </w:pPr>
                  <w:r>
                    <w:rPr>
                      <w:szCs w:val="21"/>
                      <w:lang w:val="zh-CN"/>
                    </w:rPr>
                    <w:t>水</w:t>
                  </w:r>
                  <w:r>
                    <w:rPr>
                      <w:szCs w:val="21"/>
                    </w:rPr>
                    <w:t>环境影响</w:t>
                  </w:r>
                  <w:r>
                    <w:rPr>
                      <w:szCs w:val="21"/>
                      <w:lang w:val="zh-CN"/>
                    </w:rPr>
                    <w:t>减缓措施</w:t>
                  </w:r>
                </w:p>
              </w:tc>
              <w:tc>
                <w:tcPr>
                  <w:tcW w:w="3052" w:type="pct"/>
                  <w:vAlign w:val="center"/>
                </w:tcPr>
                <w:p w14:paraId="2AEADEB3">
                  <w:pPr>
                    <w:autoSpaceDE w:val="0"/>
                    <w:autoSpaceDN w:val="0"/>
                    <w:adjustRightInd w:val="0"/>
                    <w:snapToGrid w:val="0"/>
                    <w:jc w:val="left"/>
                    <w:rPr>
                      <w:kern w:val="0"/>
                      <w:szCs w:val="21"/>
                    </w:rPr>
                  </w:pPr>
                  <w:r>
                    <w:rPr>
                      <w:kern w:val="0"/>
                      <w:szCs w:val="21"/>
                    </w:rPr>
                    <w:t>①根据《规划修编》实施对水环境的影响分析，规划建设覆盖规划区范围的“雨污分流”排水体制。各煤、磷、盐化工等企业内部自行收集初期雨水进行处理后回用，园区雨水经过雨水管网收集后汇入附近地表水体；金所组团现状煤磷盐化工企业及废水实现零排放企业按现状处置方式，即由企业处理达标后循环回用或经已建的排污管道排至摩洛河。</w:t>
                  </w:r>
                </w:p>
                <w:p w14:paraId="13749F04">
                  <w:pPr>
                    <w:autoSpaceDE w:val="0"/>
                    <w:autoSpaceDN w:val="0"/>
                    <w:adjustRightInd w:val="0"/>
                    <w:snapToGrid w:val="0"/>
                    <w:jc w:val="left"/>
                    <w:rPr>
                      <w:kern w:val="0"/>
                      <w:szCs w:val="21"/>
                    </w:rPr>
                  </w:pPr>
                  <w:r>
                    <w:rPr>
                      <w:kern w:val="0"/>
                      <w:szCs w:val="21"/>
                    </w:rPr>
                    <w:t>②园区严格按照规划要求，建设污水集中和分散处理设施，提高园区水资源利用率，减少污水排放。各组团后续入驻企业废水严格按照规划排水方案执行；园区内企事业单位等应增加再生水回用接口。企业内部循环利用+园区调配两级保障措施，按</w:t>
                  </w:r>
                  <w:r>
                    <w:rPr>
                      <w:rFonts w:hint="eastAsia"/>
                      <w:kern w:val="0"/>
                      <w:szCs w:val="21"/>
                    </w:rPr>
                    <w:t>分期</w:t>
                  </w:r>
                  <w:r>
                    <w:rPr>
                      <w:kern w:val="0"/>
                      <w:szCs w:val="21"/>
                    </w:rPr>
                    <w:t>发展要求分别建设污水处理回用系统，污水处理回用系统采取分质处理分级回用方式，回用于各类城市杂用水和工业补水等；</w:t>
                  </w:r>
                </w:p>
                <w:p w14:paraId="4C589F1C">
                  <w:pPr>
                    <w:adjustRightInd w:val="0"/>
                    <w:snapToGrid w:val="0"/>
                    <w:rPr>
                      <w:szCs w:val="21"/>
                    </w:rPr>
                  </w:pPr>
                  <w:r>
                    <w:rPr>
                      <w:kern w:val="0"/>
                      <w:szCs w:val="21"/>
                    </w:rPr>
                    <w:t>③严格各污水处理设施的管理、监测工作，确保污水处理设施外排污水长期稳定达标。新建、迁建项目应采用先进的生产工艺和污染防治技术，其清洁生产水平应达到国内先进水平以上；实行严格的清洁生产审计，全过程降低对水的消耗和污染；工业企业应严格控制用水量，加大工业用水的重复利用率，发展节水型工业。</w:t>
                  </w:r>
                </w:p>
              </w:tc>
              <w:tc>
                <w:tcPr>
                  <w:tcW w:w="1102" w:type="pct"/>
                  <w:vAlign w:val="center"/>
                </w:tcPr>
                <w:p w14:paraId="1BAD9A53">
                  <w:pPr>
                    <w:adjustRightInd w:val="0"/>
                    <w:snapToGrid w:val="0"/>
                    <w:rPr>
                      <w:szCs w:val="21"/>
                    </w:rPr>
                  </w:pPr>
                  <w:r>
                    <w:rPr>
                      <w:szCs w:val="21"/>
                    </w:rPr>
                    <w:t>本项目</w:t>
                  </w:r>
                  <w:r>
                    <w:rPr>
                      <w:rFonts w:hint="eastAsia"/>
                      <w:szCs w:val="21"/>
                    </w:rPr>
                    <w:t>生产过程中产生的渗滤液回用不外排</w:t>
                  </w:r>
                  <w:r>
                    <w:rPr>
                      <w:szCs w:val="21"/>
                    </w:rPr>
                    <w:t>；</w:t>
                  </w:r>
                  <w:r>
                    <w:rPr>
                      <w:rFonts w:hint="eastAsia"/>
                      <w:szCs w:val="21"/>
                    </w:rPr>
                    <w:t>员工不在项目区食宿，办公生活和如厕依托云南建工云岭水泥有限公司已建的设施，生活污水依托已建的污水处理设施进行处理。</w:t>
                  </w:r>
                </w:p>
              </w:tc>
              <w:tc>
                <w:tcPr>
                  <w:tcW w:w="498" w:type="pct"/>
                  <w:vAlign w:val="center"/>
                </w:tcPr>
                <w:p w14:paraId="1389B5B9">
                  <w:pPr>
                    <w:jc w:val="center"/>
                    <w:rPr>
                      <w:szCs w:val="21"/>
                    </w:rPr>
                  </w:pPr>
                  <w:r>
                    <w:rPr>
                      <w:szCs w:val="21"/>
                    </w:rPr>
                    <w:t>符合</w:t>
                  </w:r>
                </w:p>
              </w:tc>
            </w:tr>
            <w:tr w14:paraId="64C2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03048D6E">
                  <w:pPr>
                    <w:adjustRightInd w:val="0"/>
                    <w:snapToGrid w:val="0"/>
                    <w:jc w:val="center"/>
                    <w:rPr>
                      <w:szCs w:val="21"/>
                      <w:lang w:val="zh-CN"/>
                    </w:rPr>
                  </w:pPr>
                  <w:r>
                    <w:rPr>
                      <w:szCs w:val="21"/>
                      <w:lang w:val="zh-CN"/>
                    </w:rPr>
                    <w:t>大气</w:t>
                  </w:r>
                  <w:r>
                    <w:rPr>
                      <w:szCs w:val="21"/>
                    </w:rPr>
                    <w:t>环境影响</w:t>
                  </w:r>
                  <w:r>
                    <w:rPr>
                      <w:szCs w:val="21"/>
                      <w:lang w:val="zh-CN"/>
                    </w:rPr>
                    <w:t>减缓措施</w:t>
                  </w:r>
                </w:p>
              </w:tc>
              <w:tc>
                <w:tcPr>
                  <w:tcW w:w="3052" w:type="pct"/>
                  <w:vAlign w:val="center"/>
                </w:tcPr>
                <w:p w14:paraId="209D807A">
                  <w:pPr>
                    <w:autoSpaceDE w:val="0"/>
                    <w:autoSpaceDN w:val="0"/>
                    <w:adjustRightInd w:val="0"/>
                    <w:snapToGrid w:val="0"/>
                    <w:jc w:val="left"/>
                    <w:rPr>
                      <w:kern w:val="0"/>
                      <w:szCs w:val="21"/>
                    </w:rPr>
                  </w:pPr>
                  <w:r>
                    <w:rPr>
                      <w:kern w:val="0"/>
                      <w:szCs w:val="21"/>
                    </w:rPr>
                    <w:t>①按规划及其他相关要求要求规划区工业及民用均使用清洁能源。对严重污染大气环境的工艺、设备和产品实行淘汰制度；</w:t>
                  </w:r>
                </w:p>
                <w:p w14:paraId="6FEB17FE">
                  <w:pPr>
                    <w:autoSpaceDE w:val="0"/>
                    <w:autoSpaceDN w:val="0"/>
                    <w:adjustRightInd w:val="0"/>
                    <w:snapToGrid w:val="0"/>
                    <w:jc w:val="left"/>
                    <w:rPr>
                      <w:kern w:val="0"/>
                      <w:szCs w:val="21"/>
                    </w:rPr>
                  </w:pPr>
                  <w:r>
                    <w:rPr>
                      <w:kern w:val="0"/>
                      <w:szCs w:val="21"/>
                    </w:rPr>
                    <w:t>②入驻的有大气污染源排放的项目环境影响评价文件中应将大气环境影响评价作为重点之一，深入分析项目入驻对区域大气环境的影响，明确环境空气污染防治措施并严格落实，要求作出明确的环境是否可行的结论；</w:t>
                  </w:r>
                </w:p>
                <w:p w14:paraId="327BF5CB">
                  <w:pPr>
                    <w:autoSpaceDE w:val="0"/>
                    <w:autoSpaceDN w:val="0"/>
                    <w:adjustRightInd w:val="0"/>
                    <w:snapToGrid w:val="0"/>
                    <w:jc w:val="left"/>
                    <w:rPr>
                      <w:kern w:val="0"/>
                      <w:szCs w:val="21"/>
                    </w:rPr>
                  </w:pPr>
                  <w:r>
                    <w:rPr>
                      <w:kern w:val="0"/>
                      <w:szCs w:val="21"/>
                    </w:rPr>
                    <w:t>③推行清洁能源，建议考虑集中供热，实施循环经济，并对大气污染物实行总量控制；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p>
                <w:p w14:paraId="3543DE41">
                  <w:pPr>
                    <w:jc w:val="left"/>
                    <w:rPr>
                      <w:szCs w:val="21"/>
                      <w:lang w:val="zh-CN"/>
                    </w:rPr>
                  </w:pPr>
                  <w:r>
                    <w:rPr>
                      <w:kern w:val="0"/>
                      <w:szCs w:val="21"/>
                    </w:rPr>
                    <w:t>④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1102" w:type="pct"/>
                  <w:vAlign w:val="center"/>
                </w:tcPr>
                <w:p w14:paraId="27596538">
                  <w:pPr>
                    <w:adjustRightInd w:val="0"/>
                    <w:snapToGrid w:val="0"/>
                    <w:rPr>
                      <w:szCs w:val="21"/>
                    </w:rPr>
                  </w:pPr>
                  <w:r>
                    <w:rPr>
                      <w:szCs w:val="21"/>
                    </w:rPr>
                    <w:t>本项目</w:t>
                  </w:r>
                  <w:r>
                    <w:rPr>
                      <w:rFonts w:hint="eastAsia"/>
                      <w:szCs w:val="21"/>
                    </w:rPr>
                    <w:t>为有机肥生产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szCs w:val="21"/>
                    </w:rPr>
                    <w:t>废气均经过有效的治理措施处理后</w:t>
                  </w:r>
                  <w:r>
                    <w:rPr>
                      <w:rFonts w:hint="eastAsia"/>
                      <w:szCs w:val="21"/>
                    </w:rPr>
                    <w:t>对周围环境影响不大。</w:t>
                  </w:r>
                </w:p>
              </w:tc>
              <w:tc>
                <w:tcPr>
                  <w:tcW w:w="498" w:type="pct"/>
                  <w:vAlign w:val="center"/>
                </w:tcPr>
                <w:p w14:paraId="13680BDC">
                  <w:pPr>
                    <w:adjustRightInd w:val="0"/>
                    <w:snapToGrid w:val="0"/>
                    <w:jc w:val="center"/>
                    <w:rPr>
                      <w:szCs w:val="21"/>
                    </w:rPr>
                  </w:pPr>
                  <w:r>
                    <w:rPr>
                      <w:szCs w:val="21"/>
                    </w:rPr>
                    <w:t>符合</w:t>
                  </w:r>
                </w:p>
              </w:tc>
            </w:tr>
            <w:tr w14:paraId="2EC4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547" w:hRule="atLeast"/>
                <w:jc w:val="center"/>
              </w:trPr>
              <w:tc>
                <w:tcPr>
                  <w:tcW w:w="346" w:type="pct"/>
                  <w:vAlign w:val="center"/>
                </w:tcPr>
                <w:p w14:paraId="17707942">
                  <w:pPr>
                    <w:adjustRightInd w:val="0"/>
                    <w:snapToGrid w:val="0"/>
                    <w:jc w:val="center"/>
                    <w:rPr>
                      <w:szCs w:val="21"/>
                    </w:rPr>
                  </w:pPr>
                  <w:r>
                    <w:rPr>
                      <w:szCs w:val="21"/>
                    </w:rPr>
                    <w:t>地下水环境影响</w:t>
                  </w:r>
                  <w:r>
                    <w:rPr>
                      <w:szCs w:val="21"/>
                      <w:lang w:val="zh-CN"/>
                    </w:rPr>
                    <w:t>减缓措施</w:t>
                  </w:r>
                </w:p>
              </w:tc>
              <w:tc>
                <w:tcPr>
                  <w:tcW w:w="3052" w:type="pct"/>
                  <w:vAlign w:val="center"/>
                </w:tcPr>
                <w:p w14:paraId="296F2E43">
                  <w:pPr>
                    <w:autoSpaceDE w:val="0"/>
                    <w:autoSpaceDN w:val="0"/>
                    <w:adjustRightInd w:val="0"/>
                    <w:snapToGrid w:val="0"/>
                    <w:rPr>
                      <w:kern w:val="0"/>
                      <w:szCs w:val="21"/>
                    </w:rPr>
                  </w:pPr>
                  <w:r>
                    <w:rPr>
                      <w:kern w:val="0"/>
                      <w:szCs w:val="21"/>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14:paraId="20DB9B27">
                  <w:pPr>
                    <w:adjustRightInd w:val="0"/>
                    <w:snapToGrid w:val="0"/>
                    <w:rPr>
                      <w:kern w:val="0"/>
                      <w:szCs w:val="21"/>
                    </w:rPr>
                  </w:pPr>
                  <w:r>
                    <w:rPr>
                      <w:kern w:val="0"/>
                      <w:szCs w:val="21"/>
                    </w:rPr>
                    <w:t>①杜绝高污染，高排水和淘汰落后工艺性质企业入园</w:t>
                  </w:r>
                </w:p>
                <w:p w14:paraId="1529147F">
                  <w:pPr>
                    <w:adjustRightInd w:val="0"/>
                    <w:snapToGrid w:val="0"/>
                    <w:rPr>
                      <w:kern w:val="0"/>
                      <w:szCs w:val="21"/>
                    </w:rPr>
                  </w:pPr>
                  <w:r>
                    <w:rPr>
                      <w:kern w:val="0"/>
                      <w:szCs w:val="21"/>
                    </w:rPr>
                    <w:t>②严禁入驻企业抽取地下水作为生产、生活用水。</w:t>
                  </w:r>
                </w:p>
                <w:p w14:paraId="10DF6C7F">
                  <w:pPr>
                    <w:adjustRightInd w:val="0"/>
                    <w:snapToGrid w:val="0"/>
                    <w:rPr>
                      <w:kern w:val="0"/>
                      <w:szCs w:val="21"/>
                    </w:rPr>
                  </w:pPr>
                  <w:r>
                    <w:rPr>
                      <w:kern w:val="0"/>
                      <w:szCs w:val="21"/>
                    </w:rPr>
                    <w:t>③规范各入驻企业废水处理设施、生产车间产污工段的地面应为硬化防渗地面，厂内污水沟应有相应防渗措施。</w:t>
                  </w:r>
                </w:p>
                <w:p w14:paraId="293716C0">
                  <w:pPr>
                    <w:adjustRightInd w:val="0"/>
                    <w:snapToGrid w:val="0"/>
                    <w:rPr>
                      <w:kern w:val="0"/>
                      <w:szCs w:val="21"/>
                    </w:rPr>
                  </w:pPr>
                  <w:r>
                    <w:rPr>
                      <w:kern w:val="0"/>
                      <w:szCs w:val="21"/>
                    </w:rPr>
                    <w:t>④生活垃圾临时堆存点和厂内固废临时堆存点，必须具有防风、防雨、防渗措施，严禁露天乱堆放。堆存点应做到上有雨棚、底有混凝土层防渗，周边至少有1.5~2m高的挡墙和环形截雨沟。</w:t>
                  </w:r>
                </w:p>
                <w:p w14:paraId="53793C6F">
                  <w:pPr>
                    <w:adjustRightInd w:val="0"/>
                    <w:snapToGrid w:val="0"/>
                    <w:rPr>
                      <w:kern w:val="0"/>
                      <w:szCs w:val="21"/>
                    </w:rPr>
                  </w:pPr>
                  <w:r>
                    <w:rPr>
                      <w:kern w:val="0"/>
                      <w:szCs w:val="21"/>
                    </w:rPr>
                    <w:t>⑤浸出毒性是I类一般工业固废和危险固废则需严格按国家有关规定、规范处理处置，杜绝乱堆放或混堆现象。</w:t>
                  </w:r>
                </w:p>
                <w:p w14:paraId="35C20BCB">
                  <w:pPr>
                    <w:adjustRightInd w:val="0"/>
                    <w:snapToGrid w:val="0"/>
                    <w:rPr>
                      <w:kern w:val="0"/>
                      <w:szCs w:val="21"/>
                    </w:rPr>
                  </w:pPr>
                  <w:r>
                    <w:rPr>
                      <w:kern w:val="0"/>
                      <w:szCs w:val="21"/>
                    </w:rPr>
                    <w:t>⑥严禁入园企业向地下渗坑、岩溶洼地排水、落水洞排污。严禁入驻企业在园区内新建永久性固废处置场，危险废物委托有资质单位进行清运处置。</w:t>
                  </w:r>
                </w:p>
                <w:p w14:paraId="7E12E221">
                  <w:pPr>
                    <w:adjustRightInd w:val="0"/>
                    <w:snapToGrid w:val="0"/>
                    <w:rPr>
                      <w:kern w:val="0"/>
                      <w:szCs w:val="21"/>
                    </w:rPr>
                  </w:pPr>
                  <w:r>
                    <w:rPr>
                      <w:kern w:val="0"/>
                      <w:szCs w:val="21"/>
                    </w:rPr>
                    <w:t>⑦杜绝各企业生产废水、生活污水及废油、废酸、固体废弃物任意乱排放进入岩溶(洼地、落水洞)环境或农田、水体中，保护地下水环境免受污染。</w:t>
                  </w:r>
                </w:p>
                <w:p w14:paraId="5D8B8BED">
                  <w:pPr>
                    <w:adjustRightInd w:val="0"/>
                    <w:snapToGrid w:val="0"/>
                    <w:rPr>
                      <w:kern w:val="0"/>
                      <w:szCs w:val="21"/>
                    </w:rPr>
                  </w:pPr>
                  <w:r>
                    <w:rPr>
                      <w:kern w:val="0"/>
                      <w:szCs w:val="21"/>
                    </w:rPr>
                    <w:t>⑧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14:paraId="28913045">
                  <w:pPr>
                    <w:adjustRightInd w:val="0"/>
                    <w:snapToGrid w:val="0"/>
                    <w:rPr>
                      <w:b/>
                      <w:bCs/>
                      <w:kern w:val="0"/>
                      <w:szCs w:val="21"/>
                    </w:rPr>
                  </w:pPr>
                  <w:r>
                    <w:rPr>
                      <w:kern w:val="0"/>
                      <w:szCs w:val="21"/>
                    </w:rPr>
                    <w:t>涉及重金属及危险化学品的企业在平面布局时需考虑场地地下水含水层分布情况，尽量使重大风险源、废水收集治理等可能出现渗漏风险的设施设置于泥岩隔水层之上。</w:t>
                  </w:r>
                </w:p>
                <w:p w14:paraId="32D4DC61">
                  <w:pPr>
                    <w:jc w:val="left"/>
                    <w:rPr>
                      <w:szCs w:val="21"/>
                      <w:lang w:val="zh-CN"/>
                    </w:rPr>
                  </w:pPr>
                  <w:r>
                    <w:rPr>
                      <w:kern w:val="0"/>
                      <w:szCs w:val="21"/>
                    </w:rPr>
                    <w:t>⑨企业场地、各生产车间及原料、废渣临时堆放场地、污水处理设施等区域按照国家标准或行业防渗技术规范、《环境影响评价技术导则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1102" w:type="pct"/>
                  <w:vAlign w:val="center"/>
                </w:tcPr>
                <w:p w14:paraId="2DCAAA5B">
                  <w:pPr>
                    <w:widowControl/>
                    <w:jc w:val="center"/>
                    <w:rPr>
                      <w:b/>
                      <w:bCs/>
                    </w:rPr>
                  </w:pPr>
                  <w:r>
                    <w:rPr>
                      <w:szCs w:val="21"/>
                    </w:rPr>
                    <w:t>本项目区内进行分区防渗，①重点防渗：</w:t>
                  </w:r>
                  <w:r>
                    <w:rPr>
                      <w:rFonts w:hint="eastAsia"/>
                      <w:szCs w:val="21"/>
                      <w:lang w:val="zh-CN"/>
                    </w:rPr>
                    <w:t>危废暂存库</w:t>
                  </w:r>
                  <w:r>
                    <w:rPr>
                      <w:szCs w:val="21"/>
                      <w:lang w:val="zh-CN"/>
                    </w:rPr>
                    <w:t>地面及</w:t>
                  </w:r>
                  <w:r>
                    <w:rPr>
                      <w:szCs w:val="21"/>
                    </w:rPr>
                    <w:t>四周墙裙脚</w:t>
                  </w:r>
                  <w:r>
                    <w:rPr>
                      <w:szCs w:val="21"/>
                      <w:lang w:val="zh-CN"/>
                    </w:rPr>
                    <w:t>采用“</w:t>
                  </w:r>
                  <w:r>
                    <w:rPr>
                      <w:szCs w:val="21"/>
                    </w:rPr>
                    <w:t>抗渗混凝土</w:t>
                  </w:r>
                  <w:r>
                    <w:rPr>
                      <w:szCs w:val="21"/>
                      <w:lang w:val="zh-CN"/>
                    </w:rPr>
                    <w:t>+2mm厚HDPE+环氧树脂”</w:t>
                  </w:r>
                  <w:r>
                    <w:rPr>
                      <w:szCs w:val="21"/>
                    </w:rPr>
                    <w:t>进行重点防渗处理</w:t>
                  </w:r>
                  <w:r>
                    <w:rPr>
                      <w:szCs w:val="21"/>
                      <w:lang w:val="zh-CN"/>
                    </w:rPr>
                    <w:t>，渗透系数≤10</w:t>
                  </w:r>
                  <w:r>
                    <w:rPr>
                      <w:szCs w:val="21"/>
                      <w:vertAlign w:val="superscript"/>
                      <w:lang w:val="zh-CN"/>
                    </w:rPr>
                    <w:t>-10</w:t>
                  </w:r>
                  <w:r>
                    <w:rPr>
                      <w:szCs w:val="21"/>
                      <w:lang w:val="zh-CN"/>
                    </w:rPr>
                    <w:t>cm/s</w:t>
                  </w:r>
                  <w:r>
                    <w:rPr>
                      <w:szCs w:val="21"/>
                    </w:rPr>
                    <w:t>，并按照要求设置规范的标识、标牌；</w:t>
                  </w:r>
                </w:p>
                <w:p w14:paraId="7DA69411">
                  <w:pPr>
                    <w:widowControl/>
                    <w:jc w:val="center"/>
                    <w:rPr>
                      <w:b/>
                      <w:bCs/>
                    </w:rPr>
                  </w:pPr>
                  <w:r>
                    <w:rPr>
                      <w:szCs w:val="21"/>
                    </w:rPr>
                    <w:t>②一般防渗区：</w:t>
                  </w:r>
                  <w:r>
                    <w:rPr>
                      <w:rStyle w:val="75"/>
                      <w:rFonts w:hint="eastAsia"/>
                      <w:color w:val="auto"/>
                    </w:rPr>
                    <w:t>原料库、一般固废暂存库、渗滤液收集池、发酵区</w:t>
                  </w:r>
                  <w:r>
                    <w:rPr>
                      <w:rStyle w:val="75"/>
                      <w:color w:val="auto"/>
                    </w:rPr>
                    <w:t>防渗技术要求达到等效黏土防渗层Mb≥1.5m，渗透系数≤10</w:t>
                  </w:r>
                  <w:r>
                    <w:rPr>
                      <w:rStyle w:val="75"/>
                      <w:color w:val="auto"/>
                      <w:vertAlign w:val="superscript"/>
                    </w:rPr>
                    <w:t>-7</w:t>
                  </w:r>
                  <w:r>
                    <w:rPr>
                      <w:rStyle w:val="75"/>
                      <w:color w:val="auto"/>
                    </w:rPr>
                    <w:t>cm/s</w:t>
                  </w:r>
                  <w:r>
                    <w:rPr>
                      <w:rStyle w:val="75"/>
                      <w:rFonts w:hint="eastAsia"/>
                      <w:color w:val="auto"/>
                    </w:rPr>
                    <w:t>；</w:t>
                  </w:r>
                </w:p>
                <w:p w14:paraId="755212CD">
                  <w:pPr>
                    <w:adjustRightInd w:val="0"/>
                    <w:snapToGrid w:val="0"/>
                    <w:rPr>
                      <w:szCs w:val="21"/>
                    </w:rPr>
                  </w:pPr>
                  <w:r>
                    <w:rPr>
                      <w:szCs w:val="21"/>
                    </w:rPr>
                    <w:t>③简单防渗区：</w:t>
                  </w:r>
                  <w:r>
                    <w:rPr>
                      <w:szCs w:val="21"/>
                      <w:lang w:val="zh-CN"/>
                    </w:rPr>
                    <w:t>除重点防渗区、一般防渗区外的其他区域，进行一般</w:t>
                  </w:r>
                  <w:r>
                    <w:rPr>
                      <w:szCs w:val="21"/>
                    </w:rPr>
                    <w:t>硬化处理。本项目不属于高污染、高排水及淘汰落后的生产工艺，用水为市政管网供水。</w:t>
                  </w:r>
                </w:p>
              </w:tc>
              <w:tc>
                <w:tcPr>
                  <w:tcW w:w="498" w:type="pct"/>
                  <w:vAlign w:val="center"/>
                </w:tcPr>
                <w:p w14:paraId="0B15A565">
                  <w:pPr>
                    <w:adjustRightInd w:val="0"/>
                    <w:snapToGrid w:val="0"/>
                    <w:jc w:val="center"/>
                    <w:rPr>
                      <w:szCs w:val="21"/>
                    </w:rPr>
                  </w:pPr>
                  <w:r>
                    <w:rPr>
                      <w:szCs w:val="21"/>
                    </w:rPr>
                    <w:t>符合</w:t>
                  </w:r>
                </w:p>
              </w:tc>
            </w:tr>
            <w:tr w14:paraId="52D2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47784DFF">
                  <w:pPr>
                    <w:adjustRightInd w:val="0"/>
                    <w:snapToGrid w:val="0"/>
                    <w:jc w:val="center"/>
                    <w:rPr>
                      <w:szCs w:val="21"/>
                    </w:rPr>
                  </w:pPr>
                  <w:r>
                    <w:rPr>
                      <w:szCs w:val="21"/>
                    </w:rPr>
                    <w:t>土壤环境影响</w:t>
                  </w:r>
                  <w:r>
                    <w:rPr>
                      <w:szCs w:val="21"/>
                      <w:lang w:val="zh-CN"/>
                    </w:rPr>
                    <w:t>减缓措施</w:t>
                  </w:r>
                </w:p>
              </w:tc>
              <w:tc>
                <w:tcPr>
                  <w:tcW w:w="3052" w:type="pct"/>
                  <w:vAlign w:val="center"/>
                </w:tcPr>
                <w:p w14:paraId="51C003C7">
                  <w:pPr>
                    <w:adjustRightInd w:val="0"/>
                    <w:snapToGrid w:val="0"/>
                    <w:rPr>
                      <w:kern w:val="0"/>
                      <w:szCs w:val="21"/>
                    </w:rPr>
                  </w:pPr>
                  <w:r>
                    <w:rPr>
                      <w:kern w:val="0"/>
                      <w:szCs w:val="21"/>
                    </w:rPr>
                    <w:t>①源头控制措施：选用合格的生产原料，从源头上控制污染物的产生。</w:t>
                  </w:r>
                </w:p>
                <w:p w14:paraId="22B36E85">
                  <w:pPr>
                    <w:adjustRightInd w:val="0"/>
                    <w:snapToGrid w:val="0"/>
                    <w:rPr>
                      <w:kern w:val="0"/>
                      <w:szCs w:val="21"/>
                    </w:rPr>
                  </w:pPr>
                  <w:r>
                    <w:rPr>
                      <w:kern w:val="0"/>
                      <w:szCs w:val="21"/>
                    </w:rPr>
                    <w:t>②末端控制措施：废气经处理后外排，减少废气中的污染物排放。</w:t>
                  </w:r>
                </w:p>
                <w:p w14:paraId="68BF6CA8">
                  <w:pPr>
                    <w:adjustRightInd w:val="0"/>
                    <w:snapToGrid w:val="0"/>
                    <w:rPr>
                      <w:kern w:val="0"/>
                      <w:szCs w:val="21"/>
                    </w:rPr>
                  </w:pPr>
                  <w:r>
                    <w:rPr>
                      <w:kern w:val="0"/>
                      <w:szCs w:val="21"/>
                    </w:rPr>
                    <w:t>③污染监控体系：实施覆盖生产区的土壤污染监控系统，及时发现污染、及时控制。</w:t>
                  </w:r>
                </w:p>
                <w:p w14:paraId="6BEE8056">
                  <w:pPr>
                    <w:adjustRightInd w:val="0"/>
                    <w:snapToGrid w:val="0"/>
                    <w:rPr>
                      <w:kern w:val="0"/>
                      <w:szCs w:val="21"/>
                    </w:rPr>
                  </w:pPr>
                  <w:r>
                    <w:rPr>
                      <w:kern w:val="0"/>
                      <w:szCs w:val="21"/>
                    </w:rPr>
                    <w:t>④应急响应措施：一旦发现污染事故，立即启动应急预案、采取应急措施控制土壤，并使污染的到治理。</w:t>
                  </w:r>
                </w:p>
                <w:p w14:paraId="29060A05">
                  <w:pPr>
                    <w:adjustRightInd w:val="0"/>
                    <w:snapToGrid w:val="0"/>
                    <w:rPr>
                      <w:kern w:val="0"/>
                      <w:szCs w:val="21"/>
                    </w:rPr>
                  </w:pPr>
                  <w:r>
                    <w:rPr>
                      <w:kern w:val="0"/>
                      <w:szCs w:val="21"/>
                    </w:rPr>
                    <w:t>⑤绿化措施：合理利用项目区的空余空间，加强项目区的绿化。</w:t>
                  </w:r>
                </w:p>
                <w:p w14:paraId="748BCAB2">
                  <w:pPr>
                    <w:adjustRightInd w:val="0"/>
                    <w:snapToGrid w:val="0"/>
                    <w:rPr>
                      <w:kern w:val="0"/>
                      <w:szCs w:val="21"/>
                    </w:rPr>
                  </w:pPr>
                  <w:r>
                    <w:rPr>
                      <w:kern w:val="0"/>
                      <w:szCs w:val="21"/>
                    </w:rPr>
                    <w:t>⑥加强对厂区周围土壤环境的定期监测，建立土壤环境质量动态监测系统，及时反馈污染控制信息。</w:t>
                  </w:r>
                </w:p>
                <w:p w14:paraId="035914FA">
                  <w:pPr>
                    <w:adjustRightInd w:val="0"/>
                    <w:snapToGrid w:val="0"/>
                    <w:rPr>
                      <w:kern w:val="0"/>
                      <w:szCs w:val="21"/>
                    </w:rPr>
                  </w:pPr>
                  <w:r>
                    <w:rPr>
                      <w:kern w:val="0"/>
                      <w:szCs w:val="21"/>
                    </w:rPr>
                    <w:t>⑦严格固体废物运输管理，避免在运输过程中的散落。一旦发生散落事件，及时清理收集，防止进入农田。</w:t>
                  </w:r>
                </w:p>
              </w:tc>
              <w:tc>
                <w:tcPr>
                  <w:tcW w:w="1102" w:type="pct"/>
                  <w:vAlign w:val="center"/>
                </w:tcPr>
                <w:p w14:paraId="3E164339">
                  <w:pPr>
                    <w:pStyle w:val="72"/>
                    <w:rPr>
                      <w:color w:val="auto"/>
                    </w:rPr>
                  </w:pPr>
                  <w:r>
                    <w:rPr>
                      <w:b w:val="0"/>
                      <w:bCs/>
                      <w:color w:val="auto"/>
                    </w:rPr>
                    <w:t>本项目为有机肥生产项目，生产过程中通过严格控制原料的含水率减少粉尘的产生，并设置雾炮机，所有生产工序均位于密闭的车间内，少量粉尘经雾炮机洒水降尘和车间阻隔后无组织排放；发酵过程中产生的异味通过喷洒生物除臭剂进行控制。</w:t>
                  </w:r>
                  <w:r>
                    <w:rPr>
                      <w:rFonts w:hint="eastAsia"/>
                      <w:b w:val="0"/>
                      <w:bCs/>
                      <w:color w:val="auto"/>
                    </w:rPr>
                    <w:t>采取分区防渗的措施可避免对土壤的污染。</w:t>
                  </w:r>
                </w:p>
              </w:tc>
              <w:tc>
                <w:tcPr>
                  <w:tcW w:w="498" w:type="pct"/>
                  <w:vAlign w:val="center"/>
                </w:tcPr>
                <w:p w14:paraId="18A2545F">
                  <w:pPr>
                    <w:adjustRightInd w:val="0"/>
                    <w:snapToGrid w:val="0"/>
                    <w:jc w:val="center"/>
                    <w:rPr>
                      <w:szCs w:val="21"/>
                    </w:rPr>
                  </w:pPr>
                  <w:r>
                    <w:rPr>
                      <w:szCs w:val="21"/>
                    </w:rPr>
                    <w:t>符合</w:t>
                  </w:r>
                </w:p>
              </w:tc>
            </w:tr>
            <w:tr w14:paraId="0D91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50BE10D9">
                  <w:pPr>
                    <w:adjustRightInd w:val="0"/>
                    <w:snapToGrid w:val="0"/>
                    <w:jc w:val="center"/>
                    <w:rPr>
                      <w:szCs w:val="21"/>
                      <w:lang w:val="zh-CN"/>
                    </w:rPr>
                  </w:pPr>
                  <w:r>
                    <w:rPr>
                      <w:szCs w:val="21"/>
                      <w:lang w:val="zh-CN"/>
                    </w:rPr>
                    <w:t>噪声影响减缓措施</w:t>
                  </w:r>
                </w:p>
              </w:tc>
              <w:tc>
                <w:tcPr>
                  <w:tcW w:w="3052" w:type="pct"/>
                  <w:vAlign w:val="center"/>
                </w:tcPr>
                <w:p w14:paraId="03C42B61">
                  <w:pPr>
                    <w:autoSpaceDE w:val="0"/>
                    <w:autoSpaceDN w:val="0"/>
                    <w:adjustRightInd w:val="0"/>
                    <w:snapToGrid w:val="0"/>
                    <w:jc w:val="left"/>
                    <w:rPr>
                      <w:kern w:val="0"/>
                      <w:szCs w:val="21"/>
                    </w:rPr>
                  </w:pPr>
                  <w:r>
                    <w:rPr>
                      <w:kern w:val="0"/>
                      <w:szCs w:val="21"/>
                    </w:rPr>
                    <w:t>①根据规划实施后对声环境的影响分析，本评价提出规划区应合理布局各企业位置，要将工业用地、公共设施用地等噪声污染较高的用地与住宅等需要安静的用地分隔开来，居住区应尽最离开交通干线40m以上，将仓储用地放于交通干道两侧，入园企业也要注意将生产区与办公区分离开来；</w:t>
                  </w:r>
                </w:p>
                <w:p w14:paraId="421D144A">
                  <w:pPr>
                    <w:autoSpaceDE w:val="0"/>
                    <w:autoSpaceDN w:val="0"/>
                    <w:adjustRightInd w:val="0"/>
                    <w:snapToGrid w:val="0"/>
                    <w:jc w:val="left"/>
                    <w:rPr>
                      <w:kern w:val="0"/>
                      <w:szCs w:val="21"/>
                    </w:rPr>
                  </w:pPr>
                  <w:r>
                    <w:rPr>
                      <w:kern w:val="0"/>
                      <w:szCs w:val="21"/>
                    </w:rPr>
                    <w:t>②道路建设设计应预留绿化带，加强园区道路修缮工作以及交通管理；</w:t>
                  </w:r>
                </w:p>
                <w:p w14:paraId="2EEA721B">
                  <w:pPr>
                    <w:adjustRightInd w:val="0"/>
                    <w:snapToGrid w:val="0"/>
                    <w:rPr>
                      <w:szCs w:val="21"/>
                      <w:lang w:val="zh-CN"/>
                    </w:rPr>
                  </w:pPr>
                  <w:r>
                    <w:rPr>
                      <w:kern w:val="0"/>
                      <w:szCs w:val="21"/>
                    </w:rPr>
                    <w:t>③入园企业如果使用一些高噪声设备如风机、空压机、冷却塔、发电机等，应做好消音降噪措施，建设过程中一定要对高噪声设备实行“同时设计、同时施工、同时验收”的原则，杜绝先污染后治理的现象出现。</w:t>
                  </w:r>
                </w:p>
              </w:tc>
              <w:tc>
                <w:tcPr>
                  <w:tcW w:w="1102" w:type="pct"/>
                  <w:vAlign w:val="center"/>
                </w:tcPr>
                <w:p w14:paraId="6D02150E">
                  <w:pPr>
                    <w:adjustRightInd w:val="0"/>
                    <w:snapToGrid w:val="0"/>
                    <w:rPr>
                      <w:szCs w:val="21"/>
                    </w:rPr>
                  </w:pPr>
                  <w:r>
                    <w:rPr>
                      <w:szCs w:val="21"/>
                    </w:rPr>
                    <w:t>本项目所有设备均设置于厂房内部，高噪声设备安装消声、减震装置。根据预测结果，在采取噪声防治措施后，项目厂界噪声可满足《工业企业厂界环境噪声排放标准》（GB12348-2008）</w:t>
                  </w:r>
                  <w:r>
                    <w:rPr>
                      <w:rFonts w:hint="eastAsia"/>
                      <w:szCs w:val="21"/>
                    </w:rPr>
                    <w:t>3</w:t>
                  </w:r>
                  <w:r>
                    <w:rPr>
                      <w:szCs w:val="21"/>
                    </w:rPr>
                    <w:t>类标准要求。项目周边50m范围</w:t>
                  </w:r>
                  <w:r>
                    <w:rPr>
                      <w:rFonts w:hint="eastAsia"/>
                      <w:szCs w:val="21"/>
                    </w:rPr>
                    <w:t>无</w:t>
                  </w:r>
                  <w:r>
                    <w:rPr>
                      <w:szCs w:val="21"/>
                    </w:rPr>
                    <w:t>声环境敏感目标，不会降低区域声环境质量现状。</w:t>
                  </w:r>
                </w:p>
              </w:tc>
              <w:tc>
                <w:tcPr>
                  <w:tcW w:w="498" w:type="pct"/>
                  <w:vAlign w:val="center"/>
                </w:tcPr>
                <w:p w14:paraId="1E723FAD">
                  <w:pPr>
                    <w:adjustRightInd w:val="0"/>
                    <w:snapToGrid w:val="0"/>
                    <w:jc w:val="center"/>
                    <w:rPr>
                      <w:szCs w:val="21"/>
                    </w:rPr>
                  </w:pPr>
                  <w:r>
                    <w:rPr>
                      <w:szCs w:val="21"/>
                    </w:rPr>
                    <w:t>符合</w:t>
                  </w:r>
                </w:p>
              </w:tc>
            </w:tr>
            <w:tr w14:paraId="047C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4591ED4C">
                  <w:pPr>
                    <w:adjustRightInd w:val="0"/>
                    <w:snapToGrid w:val="0"/>
                    <w:jc w:val="center"/>
                    <w:rPr>
                      <w:szCs w:val="21"/>
                      <w:lang w:val="zh-CN"/>
                    </w:rPr>
                  </w:pPr>
                  <w:r>
                    <w:rPr>
                      <w:szCs w:val="21"/>
                      <w:lang w:val="zh-CN"/>
                    </w:rPr>
                    <w:t>固体废物污染防治措施</w:t>
                  </w:r>
                </w:p>
              </w:tc>
              <w:tc>
                <w:tcPr>
                  <w:tcW w:w="3052" w:type="pct"/>
                  <w:vAlign w:val="center"/>
                </w:tcPr>
                <w:p w14:paraId="5C8FEBD1">
                  <w:pPr>
                    <w:autoSpaceDE w:val="0"/>
                    <w:autoSpaceDN w:val="0"/>
                    <w:adjustRightInd w:val="0"/>
                    <w:snapToGrid w:val="0"/>
                    <w:jc w:val="left"/>
                    <w:rPr>
                      <w:kern w:val="0"/>
                      <w:szCs w:val="21"/>
                    </w:rPr>
                  </w:pPr>
                  <w:r>
                    <w:rPr>
                      <w:kern w:val="0"/>
                      <w:szCs w:val="21"/>
                    </w:rPr>
                    <w:t>①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p>
                <w:p w14:paraId="383C2062">
                  <w:pPr>
                    <w:autoSpaceDE w:val="0"/>
                    <w:autoSpaceDN w:val="0"/>
                    <w:adjustRightInd w:val="0"/>
                    <w:snapToGrid w:val="0"/>
                    <w:jc w:val="left"/>
                    <w:rPr>
                      <w:kern w:val="0"/>
                      <w:szCs w:val="21"/>
                    </w:rPr>
                  </w:pPr>
                  <w:r>
                    <w:rPr>
                      <w:kern w:val="0"/>
                      <w:szCs w:val="21"/>
                    </w:rPr>
                    <w:t>②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14:paraId="53171B3B">
                  <w:pPr>
                    <w:autoSpaceDE w:val="0"/>
                    <w:autoSpaceDN w:val="0"/>
                    <w:adjustRightInd w:val="0"/>
                    <w:snapToGrid w:val="0"/>
                    <w:jc w:val="left"/>
                    <w:rPr>
                      <w:kern w:val="0"/>
                      <w:szCs w:val="21"/>
                    </w:rPr>
                  </w:pPr>
                  <w:r>
                    <w:rPr>
                      <w:kern w:val="0"/>
                      <w:szCs w:val="21"/>
                    </w:rPr>
                    <w:t>③对于危险固废，需要按《危险废物贮存污染控制标准》(GB18597-2023)的要求进行贮存，委托危险废物中心处理；目前不能处置的废物，应在项目内妥善贮存。严格按照《</w:t>
                  </w:r>
                  <w:r>
                    <w:rPr>
                      <w:rFonts w:hint="eastAsia"/>
                      <w:kern w:val="0"/>
                      <w:szCs w:val="21"/>
                    </w:rPr>
                    <w:t>中华人民共和国固体废物污染环境防治法</w:t>
                  </w:r>
                  <w:r>
                    <w:rPr>
                      <w:kern w:val="0"/>
                      <w:szCs w:val="21"/>
                    </w:rPr>
                    <w:t>》对危险废物污染环境污染防治的特别规定，做好危险废物的申报登记、处置和管理。强化危险废物管理。</w:t>
                  </w:r>
                </w:p>
                <w:p w14:paraId="08647BA9">
                  <w:pPr>
                    <w:autoSpaceDE w:val="0"/>
                    <w:autoSpaceDN w:val="0"/>
                    <w:adjustRightInd w:val="0"/>
                    <w:snapToGrid w:val="0"/>
                    <w:jc w:val="left"/>
                    <w:rPr>
                      <w:kern w:val="0"/>
                      <w:szCs w:val="21"/>
                    </w:rPr>
                  </w:pPr>
                  <w:r>
                    <w:rPr>
                      <w:kern w:val="0"/>
                      <w:szCs w:val="21"/>
                    </w:rPr>
                    <w:t>④规划区产生的生活垃圾则委托环卫部门统一收集并运至城市生活垃圾卫生填埋场进行处置；制定地方商品进入和消费的指导性政策，限制过度包装商品的进入，建立消费品包装物回收体系，逐步取缔一次性餐具类商品的销售和使用。鼓励净菜类产业和相关服务体系的发展，减少厨房残余垃圾产生量；</w:t>
                  </w:r>
                </w:p>
                <w:p w14:paraId="171ED44A">
                  <w:pPr>
                    <w:adjustRightInd w:val="0"/>
                    <w:snapToGrid w:val="0"/>
                    <w:rPr>
                      <w:szCs w:val="21"/>
                      <w:lang w:val="zh-CN"/>
                    </w:rPr>
                  </w:pPr>
                  <w:r>
                    <w:rPr>
                      <w:kern w:val="0"/>
                      <w:szCs w:val="21"/>
                    </w:rPr>
                    <w:t>⑤工程开挖土石方、建筑垃圾和施工人员生活垃圾要及时清运，以免给周围环境带来影响。</w:t>
                  </w:r>
                </w:p>
              </w:tc>
              <w:tc>
                <w:tcPr>
                  <w:tcW w:w="1102" w:type="pct"/>
                  <w:vAlign w:val="center"/>
                </w:tcPr>
                <w:p w14:paraId="305ABAD7">
                  <w:pPr>
                    <w:adjustRightInd w:val="0"/>
                    <w:snapToGrid w:val="0"/>
                    <w:rPr>
                      <w:szCs w:val="21"/>
                    </w:rPr>
                  </w:pPr>
                  <w:r>
                    <w:rPr>
                      <w:szCs w:val="21"/>
                    </w:rPr>
                    <w:t>本项目</w:t>
                  </w:r>
                  <w:r>
                    <w:rPr>
                      <w:rFonts w:hint="eastAsia"/>
                      <w:szCs w:val="21"/>
                    </w:rPr>
                    <w:t>废包装材料</w:t>
                  </w:r>
                  <w:r>
                    <w:rPr>
                      <w:bCs/>
                      <w:spacing w:val="-10"/>
                      <w:szCs w:val="21"/>
                    </w:rPr>
                    <w:t>定期外售资源回收公司</w:t>
                  </w:r>
                  <w:r>
                    <w:rPr>
                      <w:rFonts w:hint="eastAsia"/>
                      <w:bCs/>
                      <w:spacing w:val="-10"/>
                      <w:szCs w:val="21"/>
                    </w:rPr>
                    <w:t>，收尘灰收集后回用于有机肥的生产，生活垃圾收集后</w:t>
                  </w:r>
                  <w:r>
                    <w:rPr>
                      <w:bCs/>
                      <w:spacing w:val="-10"/>
                      <w:szCs w:val="21"/>
                    </w:rPr>
                    <w:t>委托环卫部门清运</w:t>
                  </w:r>
                  <w:r>
                    <w:rPr>
                      <w:rFonts w:hint="eastAsia"/>
                      <w:bCs/>
                      <w:spacing w:val="-10"/>
                      <w:szCs w:val="21"/>
                    </w:rPr>
                    <w:t>，废机油暂存于危废暂存库后及时委托有资质单位处置。</w:t>
                  </w:r>
                </w:p>
                <w:p w14:paraId="4CA5435E">
                  <w:pPr>
                    <w:adjustRightInd w:val="0"/>
                    <w:snapToGrid w:val="0"/>
                    <w:rPr>
                      <w:szCs w:val="21"/>
                    </w:rPr>
                  </w:pPr>
                  <w:r>
                    <w:rPr>
                      <w:szCs w:val="21"/>
                      <w:lang w:val="zh-CN"/>
                    </w:rPr>
                    <w:t>固体废弃物100%处置。</w:t>
                  </w:r>
                </w:p>
              </w:tc>
              <w:tc>
                <w:tcPr>
                  <w:tcW w:w="498" w:type="pct"/>
                  <w:vAlign w:val="center"/>
                </w:tcPr>
                <w:p w14:paraId="10E6DF2D">
                  <w:pPr>
                    <w:adjustRightInd w:val="0"/>
                    <w:snapToGrid w:val="0"/>
                    <w:jc w:val="center"/>
                    <w:rPr>
                      <w:szCs w:val="21"/>
                    </w:rPr>
                  </w:pPr>
                  <w:r>
                    <w:rPr>
                      <w:szCs w:val="21"/>
                    </w:rPr>
                    <w:t>符合</w:t>
                  </w:r>
                </w:p>
              </w:tc>
            </w:tr>
            <w:tr w14:paraId="5DEB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6C348B29">
                  <w:pPr>
                    <w:adjustRightInd w:val="0"/>
                    <w:snapToGrid w:val="0"/>
                    <w:jc w:val="center"/>
                    <w:rPr>
                      <w:szCs w:val="21"/>
                      <w:lang w:val="zh-CN"/>
                    </w:rPr>
                  </w:pPr>
                  <w:r>
                    <w:rPr>
                      <w:szCs w:val="21"/>
                      <w:lang w:val="zh-CN"/>
                    </w:rPr>
                    <w:t>生态环境影响减缓措施</w:t>
                  </w:r>
                </w:p>
              </w:tc>
              <w:tc>
                <w:tcPr>
                  <w:tcW w:w="3052" w:type="pct"/>
                  <w:vAlign w:val="center"/>
                </w:tcPr>
                <w:p w14:paraId="35EBE58D">
                  <w:pPr>
                    <w:autoSpaceDE w:val="0"/>
                    <w:autoSpaceDN w:val="0"/>
                    <w:adjustRightInd w:val="0"/>
                    <w:snapToGrid w:val="0"/>
                    <w:rPr>
                      <w:kern w:val="0"/>
                      <w:szCs w:val="21"/>
                    </w:rPr>
                  </w:pPr>
                  <w:r>
                    <w:rPr>
                      <w:kern w:val="0"/>
                      <w:szCs w:val="21"/>
                    </w:rPr>
                    <w:t>①强化规划区内项目建设施工期生态保护；</w:t>
                  </w:r>
                </w:p>
                <w:p w14:paraId="57AE36EF">
                  <w:pPr>
                    <w:autoSpaceDE w:val="0"/>
                    <w:autoSpaceDN w:val="0"/>
                    <w:adjustRightInd w:val="0"/>
                    <w:snapToGrid w:val="0"/>
                    <w:rPr>
                      <w:kern w:val="0"/>
                      <w:szCs w:val="21"/>
                    </w:rPr>
                  </w:pPr>
                  <w:r>
                    <w:rPr>
                      <w:kern w:val="0"/>
                      <w:szCs w:val="21"/>
                    </w:rPr>
                    <w:t>②优先进行生态基础施建设；</w:t>
                  </w:r>
                </w:p>
                <w:p w14:paraId="240A3A94">
                  <w:pPr>
                    <w:adjustRightInd w:val="0"/>
                    <w:snapToGrid w:val="0"/>
                    <w:rPr>
                      <w:szCs w:val="21"/>
                      <w:lang w:val="zh-CN"/>
                    </w:rPr>
                  </w:pPr>
                  <w:r>
                    <w:rPr>
                      <w:rFonts w:hint="eastAsia"/>
                      <w:kern w:val="0"/>
                      <w:szCs w:val="21"/>
                    </w:rPr>
                    <w:t>③</w:t>
                  </w:r>
                  <w:r>
                    <w:rPr>
                      <w:kern w:val="0"/>
                      <w:szCs w:val="21"/>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1102" w:type="pct"/>
                  <w:vAlign w:val="center"/>
                </w:tcPr>
                <w:p w14:paraId="47334AEB">
                  <w:pPr>
                    <w:adjustRightInd w:val="0"/>
                    <w:snapToGrid w:val="0"/>
                    <w:rPr>
                      <w:szCs w:val="21"/>
                    </w:rPr>
                  </w:pPr>
                  <w:r>
                    <w:rPr>
                      <w:szCs w:val="21"/>
                    </w:rPr>
                    <w:t>项目</w:t>
                  </w:r>
                  <w:r>
                    <w:rPr>
                      <w:rFonts w:hint="eastAsia"/>
                      <w:szCs w:val="21"/>
                    </w:rPr>
                    <w:t>在已建</w:t>
                  </w:r>
                  <w:r>
                    <w:rPr>
                      <w:szCs w:val="21"/>
                    </w:rPr>
                    <w:t>厂区</w:t>
                  </w:r>
                  <w:r>
                    <w:rPr>
                      <w:rFonts w:hint="eastAsia"/>
                      <w:szCs w:val="21"/>
                    </w:rPr>
                    <w:t>车间</w:t>
                  </w:r>
                  <w:r>
                    <w:rPr>
                      <w:szCs w:val="21"/>
                    </w:rPr>
                    <w:t>内</w:t>
                  </w:r>
                  <w:r>
                    <w:rPr>
                      <w:rFonts w:hint="eastAsia"/>
                      <w:szCs w:val="21"/>
                    </w:rPr>
                    <w:t>进行建设，车间外已</w:t>
                  </w:r>
                  <w:r>
                    <w:rPr>
                      <w:szCs w:val="21"/>
                    </w:rPr>
                    <w:t>设置了一定面积的绿化。</w:t>
                  </w:r>
                </w:p>
              </w:tc>
              <w:tc>
                <w:tcPr>
                  <w:tcW w:w="498" w:type="pct"/>
                  <w:vAlign w:val="center"/>
                </w:tcPr>
                <w:p w14:paraId="472A010F">
                  <w:pPr>
                    <w:adjustRightInd w:val="0"/>
                    <w:snapToGrid w:val="0"/>
                    <w:jc w:val="center"/>
                    <w:rPr>
                      <w:szCs w:val="21"/>
                    </w:rPr>
                  </w:pPr>
                  <w:r>
                    <w:rPr>
                      <w:szCs w:val="21"/>
                    </w:rPr>
                    <w:t>符合</w:t>
                  </w:r>
                </w:p>
              </w:tc>
            </w:tr>
            <w:tr w14:paraId="5BCD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7F9DE32F">
                  <w:pPr>
                    <w:adjustRightInd w:val="0"/>
                    <w:snapToGrid w:val="0"/>
                    <w:jc w:val="center"/>
                    <w:rPr>
                      <w:szCs w:val="21"/>
                      <w:lang w:val="zh-CN"/>
                    </w:rPr>
                  </w:pPr>
                  <w:r>
                    <w:rPr>
                      <w:szCs w:val="21"/>
                      <w:lang w:val="zh-CN"/>
                    </w:rPr>
                    <w:t>事故及风险防范措施</w:t>
                  </w:r>
                </w:p>
              </w:tc>
              <w:tc>
                <w:tcPr>
                  <w:tcW w:w="3052" w:type="pct"/>
                  <w:vAlign w:val="center"/>
                </w:tcPr>
                <w:p w14:paraId="567F0677">
                  <w:pPr>
                    <w:autoSpaceDE w:val="0"/>
                    <w:autoSpaceDN w:val="0"/>
                    <w:adjustRightInd w:val="0"/>
                    <w:snapToGrid w:val="0"/>
                    <w:jc w:val="left"/>
                    <w:rPr>
                      <w:kern w:val="0"/>
                      <w:szCs w:val="21"/>
                    </w:rPr>
                  </w:pPr>
                  <w:r>
                    <w:rPr>
                      <w:rFonts w:hint="eastAsia"/>
                      <w:kern w:val="0"/>
                      <w:szCs w:val="21"/>
                    </w:rPr>
                    <w:t>①</w:t>
                  </w:r>
                  <w:r>
                    <w:rPr>
                      <w:kern w:val="0"/>
                      <w:szCs w:val="21"/>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14:paraId="6D0AF132">
                  <w:pPr>
                    <w:autoSpaceDE w:val="0"/>
                    <w:autoSpaceDN w:val="0"/>
                    <w:adjustRightInd w:val="0"/>
                    <w:snapToGrid w:val="0"/>
                    <w:jc w:val="left"/>
                    <w:rPr>
                      <w:kern w:val="0"/>
                      <w:szCs w:val="21"/>
                    </w:rPr>
                  </w:pPr>
                  <w:r>
                    <w:rPr>
                      <w:rFonts w:hint="eastAsia"/>
                      <w:kern w:val="0"/>
                      <w:szCs w:val="21"/>
                    </w:rPr>
                    <w:t>②</w:t>
                  </w:r>
                  <w:r>
                    <w:rPr>
                      <w:kern w:val="0"/>
                      <w:szCs w:val="21"/>
                    </w:rPr>
                    <w:t>根据进驻项目可能发生的风险事故和清消废水产生量，对存在环境风险的项目，在进行设计施工时，设置清消废水收集池，清消废水经收集处理达标后才能外排。</w:t>
                  </w:r>
                </w:p>
                <w:p w14:paraId="1DFA336E">
                  <w:pPr>
                    <w:autoSpaceDE w:val="0"/>
                    <w:autoSpaceDN w:val="0"/>
                    <w:adjustRightInd w:val="0"/>
                    <w:snapToGrid w:val="0"/>
                    <w:jc w:val="left"/>
                    <w:rPr>
                      <w:szCs w:val="21"/>
                      <w:lang w:val="zh-CN"/>
                    </w:rPr>
                  </w:pPr>
                  <w:r>
                    <w:rPr>
                      <w:rFonts w:hint="eastAsia"/>
                      <w:kern w:val="0"/>
                      <w:szCs w:val="21"/>
                    </w:rPr>
                    <w:t>③</w:t>
                  </w:r>
                  <w:r>
                    <w:rPr>
                      <w:kern w:val="0"/>
                      <w:szCs w:val="21"/>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tc>
              <w:tc>
                <w:tcPr>
                  <w:tcW w:w="1102" w:type="pct"/>
                  <w:vAlign w:val="center"/>
                </w:tcPr>
                <w:p w14:paraId="2366750B">
                  <w:pPr>
                    <w:adjustRightInd w:val="0"/>
                    <w:snapToGrid w:val="0"/>
                    <w:rPr>
                      <w:szCs w:val="21"/>
                    </w:rPr>
                  </w:pPr>
                  <w:r>
                    <w:rPr>
                      <w:szCs w:val="21"/>
                    </w:rPr>
                    <w:t>本项目建设完成后按照要求</w:t>
                  </w:r>
                  <w:r>
                    <w:rPr>
                      <w:rFonts w:hint="eastAsia"/>
                      <w:szCs w:val="21"/>
                    </w:rPr>
                    <w:t>及时编制</w:t>
                  </w:r>
                  <w:r>
                    <w:rPr>
                      <w:szCs w:val="21"/>
                    </w:rPr>
                    <w:t>突发环境事件应急预案，并报当地环保部门备案。</w:t>
                  </w:r>
                </w:p>
              </w:tc>
              <w:tc>
                <w:tcPr>
                  <w:tcW w:w="498" w:type="pct"/>
                  <w:vAlign w:val="center"/>
                </w:tcPr>
                <w:p w14:paraId="3BD33E6F">
                  <w:pPr>
                    <w:adjustRightInd w:val="0"/>
                    <w:snapToGrid w:val="0"/>
                    <w:jc w:val="center"/>
                    <w:rPr>
                      <w:szCs w:val="21"/>
                    </w:rPr>
                  </w:pPr>
                  <w:r>
                    <w:rPr>
                      <w:szCs w:val="21"/>
                    </w:rPr>
                    <w:t>符合</w:t>
                  </w:r>
                </w:p>
              </w:tc>
            </w:tr>
          </w:tbl>
          <w:p w14:paraId="209A97A5">
            <w:pPr>
              <w:adjustRightInd w:val="0"/>
              <w:snapToGrid w:val="0"/>
              <w:spacing w:line="360" w:lineRule="auto"/>
              <w:ind w:firstLine="480" w:firstLineChars="200"/>
              <w:rPr>
                <w:sz w:val="24"/>
                <w:lang w:val="zh-CN"/>
              </w:rPr>
            </w:pPr>
            <w:r>
              <w:rPr>
                <w:sz w:val="24"/>
              </w:rPr>
              <w:t>综上</w:t>
            </w:r>
            <w:r>
              <w:rPr>
                <w:sz w:val="24"/>
                <w:lang w:val="zh-CN"/>
              </w:rPr>
              <w:t>，</w:t>
            </w:r>
            <w:r>
              <w:rPr>
                <w:sz w:val="24"/>
              </w:rPr>
              <w:t>项目</w:t>
            </w:r>
            <w:r>
              <w:rPr>
                <w:sz w:val="24"/>
                <w:lang w:val="zh-CN"/>
              </w:rPr>
              <w:t>符合《云南寻甸产业园区总体规划修编（2021-2035）环境影响报告书》</w:t>
            </w:r>
            <w:r>
              <w:rPr>
                <w:sz w:val="24"/>
              </w:rPr>
              <w:t>中的</w:t>
            </w:r>
            <w:r>
              <w:rPr>
                <w:sz w:val="24"/>
                <w:lang w:val="zh-CN"/>
              </w:rPr>
              <w:t>环境影响减缓措施相关要求。</w:t>
            </w:r>
          </w:p>
          <w:p w14:paraId="4198BC0A">
            <w:pPr>
              <w:adjustRightInd w:val="0"/>
              <w:snapToGrid w:val="0"/>
              <w:spacing w:line="360" w:lineRule="auto"/>
              <w:ind w:firstLine="482" w:firstLineChars="200"/>
              <w:rPr>
                <w:b/>
                <w:bCs/>
                <w:sz w:val="24"/>
              </w:rPr>
            </w:pPr>
            <w:r>
              <w:rPr>
                <w:b/>
                <w:bCs/>
                <w:sz w:val="24"/>
                <w:lang w:val="zh-CN"/>
              </w:rPr>
              <w:t>（</w:t>
            </w:r>
            <w:r>
              <w:rPr>
                <w:b/>
                <w:bCs/>
                <w:sz w:val="24"/>
              </w:rPr>
              <w:t>2</w:t>
            </w:r>
            <w:r>
              <w:rPr>
                <w:b/>
                <w:bCs/>
                <w:sz w:val="24"/>
                <w:lang w:val="zh-CN"/>
              </w:rPr>
              <w:t>）园区准入负面清单</w:t>
            </w:r>
            <w:r>
              <w:rPr>
                <w:b/>
                <w:bCs/>
                <w:sz w:val="24"/>
              </w:rPr>
              <w:t>符合性分析</w:t>
            </w:r>
          </w:p>
          <w:p w14:paraId="786F6D7F">
            <w:pPr>
              <w:adjustRightInd w:val="0"/>
              <w:snapToGrid w:val="0"/>
              <w:spacing w:line="360" w:lineRule="auto"/>
              <w:ind w:firstLine="480" w:firstLineChars="200"/>
              <w:rPr>
                <w:sz w:val="24"/>
                <w:lang w:val="zh-CN"/>
              </w:rPr>
            </w:pPr>
            <w:r>
              <w:rPr>
                <w:sz w:val="24"/>
                <w:lang w:val="zh-CN"/>
              </w:rPr>
              <w:t>根据《云南寻甸产业园区总体规划修编（2021-2035）环境影响报告书》，园区</w:t>
            </w:r>
            <w:r>
              <w:rPr>
                <w:sz w:val="24"/>
              </w:rPr>
              <w:t>环境</w:t>
            </w:r>
            <w:r>
              <w:rPr>
                <w:sz w:val="24"/>
                <w:lang w:val="zh-CN"/>
              </w:rPr>
              <w:t>准入负面清单及对照情况如下：</w:t>
            </w:r>
          </w:p>
          <w:p w14:paraId="31E25078">
            <w:pPr>
              <w:pStyle w:val="56"/>
            </w:pPr>
            <w:r>
              <w:t>表1-3  本项目与规划区环境准入条件负面清单对照情况表</w:t>
            </w:r>
          </w:p>
          <w:tbl>
            <w:tblPr>
              <w:tblStyle w:val="23"/>
              <w:tblW w:w="8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321"/>
              <w:gridCol w:w="586"/>
              <w:gridCol w:w="3375"/>
              <w:gridCol w:w="3225"/>
              <w:gridCol w:w="510"/>
            </w:tblGrid>
            <w:tr w14:paraId="240E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4282" w:type="dxa"/>
                  <w:gridSpan w:val="3"/>
                  <w:vAlign w:val="center"/>
                </w:tcPr>
                <w:p w14:paraId="62716A9A">
                  <w:pPr>
                    <w:adjustRightInd w:val="0"/>
                    <w:snapToGrid w:val="0"/>
                    <w:jc w:val="center"/>
                    <w:rPr>
                      <w:szCs w:val="21"/>
                    </w:rPr>
                  </w:pPr>
                  <w:r>
                    <w:rPr>
                      <w:szCs w:val="21"/>
                    </w:rPr>
                    <w:t>限制和禁止引进的项目和行业</w:t>
                  </w:r>
                </w:p>
              </w:tc>
              <w:tc>
                <w:tcPr>
                  <w:tcW w:w="3225" w:type="dxa"/>
                  <w:vAlign w:val="center"/>
                </w:tcPr>
                <w:p w14:paraId="27ECA604">
                  <w:pPr>
                    <w:adjustRightInd w:val="0"/>
                    <w:snapToGrid w:val="0"/>
                    <w:jc w:val="center"/>
                    <w:rPr>
                      <w:szCs w:val="21"/>
                    </w:rPr>
                  </w:pPr>
                  <w:r>
                    <w:rPr>
                      <w:szCs w:val="21"/>
                    </w:rPr>
                    <w:t>本项目情况</w:t>
                  </w:r>
                </w:p>
              </w:tc>
              <w:tc>
                <w:tcPr>
                  <w:tcW w:w="510" w:type="dxa"/>
                  <w:vAlign w:val="center"/>
                </w:tcPr>
                <w:p w14:paraId="52E8F425">
                  <w:pPr>
                    <w:adjustRightInd w:val="0"/>
                    <w:snapToGrid w:val="0"/>
                    <w:jc w:val="center"/>
                    <w:rPr>
                      <w:szCs w:val="21"/>
                    </w:rPr>
                  </w:pPr>
                  <w:r>
                    <w:rPr>
                      <w:szCs w:val="21"/>
                    </w:rPr>
                    <w:t>符合</w:t>
                  </w:r>
                </w:p>
                <w:p w14:paraId="503B4E5A">
                  <w:pPr>
                    <w:adjustRightInd w:val="0"/>
                    <w:snapToGrid w:val="0"/>
                    <w:jc w:val="center"/>
                    <w:rPr>
                      <w:szCs w:val="21"/>
                    </w:rPr>
                  </w:pPr>
                  <w:r>
                    <w:rPr>
                      <w:szCs w:val="21"/>
                    </w:rPr>
                    <w:t>性</w:t>
                  </w:r>
                </w:p>
              </w:tc>
            </w:tr>
            <w:tr w14:paraId="24EB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restart"/>
                  <w:vAlign w:val="center"/>
                </w:tcPr>
                <w:p w14:paraId="68393E82">
                  <w:pPr>
                    <w:pStyle w:val="72"/>
                    <w:jc w:val="both"/>
                    <w:rPr>
                      <w:b w:val="0"/>
                      <w:color w:val="auto"/>
                    </w:rPr>
                  </w:pPr>
                  <w:r>
                    <w:rPr>
                      <w:b w:val="0"/>
                      <w:color w:val="auto"/>
                    </w:rPr>
                    <w:t>总体要求</w:t>
                  </w:r>
                </w:p>
              </w:tc>
              <w:tc>
                <w:tcPr>
                  <w:tcW w:w="586" w:type="dxa"/>
                  <w:vAlign w:val="center"/>
                </w:tcPr>
                <w:p w14:paraId="35A2D5F0">
                  <w:pPr>
                    <w:pStyle w:val="72"/>
                    <w:jc w:val="both"/>
                    <w:rPr>
                      <w:b w:val="0"/>
                      <w:color w:val="auto"/>
                    </w:rPr>
                  </w:pPr>
                  <w:r>
                    <w:rPr>
                      <w:b w:val="0"/>
                      <w:color w:val="auto"/>
                    </w:rPr>
                    <w:t>禁入行业</w:t>
                  </w:r>
                </w:p>
              </w:tc>
              <w:tc>
                <w:tcPr>
                  <w:tcW w:w="3375" w:type="dxa"/>
                  <w:vAlign w:val="center"/>
                </w:tcPr>
                <w:p w14:paraId="6A765D50">
                  <w:pPr>
                    <w:pStyle w:val="72"/>
                    <w:jc w:val="both"/>
                    <w:rPr>
                      <w:b w:val="0"/>
                      <w:color w:val="auto"/>
                    </w:rPr>
                  </w:pPr>
                  <w:r>
                    <w:rPr>
                      <w:b w:val="0"/>
                      <w:color w:val="auto"/>
                    </w:rPr>
                    <w:t>（1）《产业结构调整指导目录（2019年</w:t>
                  </w:r>
                  <w:r>
                    <w:rPr>
                      <w:rFonts w:hint="eastAsia"/>
                      <w:b w:val="0"/>
                      <w:color w:val="auto"/>
                    </w:rPr>
                    <w:t>本</w:t>
                  </w:r>
                  <w:r>
                    <w:rPr>
                      <w:b w:val="0"/>
                      <w:color w:val="auto"/>
                    </w:rPr>
                    <w:t>）》（或更新）中禁止、限制类的行业。</w:t>
                  </w:r>
                </w:p>
                <w:p w14:paraId="39976761">
                  <w:pPr>
                    <w:pStyle w:val="72"/>
                    <w:jc w:val="both"/>
                    <w:rPr>
                      <w:b w:val="0"/>
                      <w:color w:val="auto"/>
                    </w:rPr>
                  </w:pPr>
                  <w:r>
                    <w:rPr>
                      <w:b w:val="0"/>
                      <w:color w:val="auto"/>
                    </w:rPr>
                    <w:t>（2）《外商投资产业指导目录（2017年修订）》（或更新）中的禁止类。</w:t>
                  </w:r>
                </w:p>
                <w:p w14:paraId="61D5DC24">
                  <w:pPr>
                    <w:pStyle w:val="72"/>
                    <w:jc w:val="both"/>
                    <w:rPr>
                      <w:b w:val="0"/>
                      <w:color w:val="auto"/>
                    </w:rPr>
                  </w:pPr>
                  <w:r>
                    <w:rPr>
                      <w:b w:val="0"/>
                      <w:color w:val="auto"/>
                    </w:rPr>
                    <w:t>（3）严禁不符合要求的高风险高污染行业入驻。</w:t>
                  </w:r>
                </w:p>
                <w:p w14:paraId="01A4910F">
                  <w:pPr>
                    <w:pStyle w:val="72"/>
                    <w:jc w:val="both"/>
                    <w:rPr>
                      <w:b w:val="0"/>
                      <w:color w:val="auto"/>
                    </w:rPr>
                  </w:pPr>
                  <w:r>
                    <w:rPr>
                      <w:b w:val="0"/>
                      <w:color w:val="auto"/>
                    </w:rPr>
                    <w:t>（4）禁止引入其他不在园区产业定位、不符合园区环保要求项目，如造纸制浆、印染、染料、制革、炼焦、炼硫、炼砷、炼油、有色金属等项目。</w:t>
                  </w:r>
                </w:p>
                <w:p w14:paraId="6508F177">
                  <w:pPr>
                    <w:pStyle w:val="72"/>
                    <w:jc w:val="both"/>
                    <w:rPr>
                      <w:b w:val="0"/>
                      <w:color w:val="auto"/>
                    </w:rPr>
                  </w:pPr>
                  <w:r>
                    <w:rPr>
                      <w:b w:val="0"/>
                      <w:color w:val="auto"/>
                    </w:rPr>
                    <w:t>（5）污水成分复杂或废水、废液按现有技术无法妥善处置的产业。</w:t>
                  </w:r>
                </w:p>
                <w:p w14:paraId="22E37614">
                  <w:pPr>
                    <w:pStyle w:val="72"/>
                    <w:jc w:val="both"/>
                    <w:rPr>
                      <w:b w:val="0"/>
                      <w:color w:val="auto"/>
                    </w:rPr>
                  </w:pPr>
                  <w:r>
                    <w:rPr>
                      <w:b w:val="0"/>
                      <w:color w:val="auto"/>
                    </w:rPr>
                    <w:t>（6）物耗、能耗相对较高，产生的大气污染类型复杂、环境风险较大的产业、项目或工艺；且产生的大气污染物无法自身治理或妥善处置或处理成本较高的产生。</w:t>
                  </w:r>
                </w:p>
                <w:p w14:paraId="20B86883">
                  <w:pPr>
                    <w:pStyle w:val="72"/>
                    <w:jc w:val="both"/>
                    <w:rPr>
                      <w:b w:val="0"/>
                      <w:color w:val="auto"/>
                    </w:rPr>
                  </w:pPr>
                  <w:r>
                    <w:rPr>
                      <w:b w:val="0"/>
                      <w:color w:val="auto"/>
                    </w:rPr>
                    <w:t>（7）不能严格按“三同时”要求建厂的企业，无法满足卫生防护距离、大气环境防护距离的企业。</w:t>
                  </w:r>
                </w:p>
                <w:p w14:paraId="32433707">
                  <w:pPr>
                    <w:pStyle w:val="72"/>
                    <w:jc w:val="both"/>
                    <w:rPr>
                      <w:b w:val="0"/>
                      <w:color w:val="auto"/>
                    </w:rPr>
                  </w:pPr>
                  <w:r>
                    <w:rPr>
                      <w:b w:val="0"/>
                      <w:color w:val="auto"/>
                    </w:rPr>
                    <w:t>（8）与《云南省牛栏江保护条例》存在冲突的项目。</w:t>
                  </w:r>
                </w:p>
                <w:p w14:paraId="00269466">
                  <w:pPr>
                    <w:pStyle w:val="72"/>
                    <w:jc w:val="both"/>
                    <w:rPr>
                      <w:b w:val="0"/>
                      <w:color w:val="auto"/>
                    </w:rPr>
                  </w:pPr>
                  <w:r>
                    <w:rPr>
                      <w:b w:val="0"/>
                      <w:color w:val="auto"/>
                    </w:rPr>
                    <w:t>（9）《长江经济带发展负面清单指南（试行，2022 年版）》和《云南省推动长江经济带发展负面清单指南实施细则（试行，2022 年版）》中的禁止项目。</w:t>
                  </w:r>
                </w:p>
                <w:p w14:paraId="4D729678">
                  <w:pPr>
                    <w:pStyle w:val="72"/>
                    <w:jc w:val="both"/>
                    <w:rPr>
                      <w:b w:val="0"/>
                      <w:color w:val="auto"/>
                    </w:rPr>
                  </w:pPr>
                  <w:r>
                    <w:rPr>
                      <w:b w:val="0"/>
                      <w:color w:val="auto"/>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03470D25">
                  <w:pPr>
                    <w:pStyle w:val="72"/>
                    <w:jc w:val="both"/>
                    <w:rPr>
                      <w:b w:val="0"/>
                      <w:color w:val="auto"/>
                    </w:rPr>
                  </w:pPr>
                  <w:r>
                    <w:rPr>
                      <w:b w:val="0"/>
                      <w:color w:val="auto"/>
                    </w:rPr>
                    <w:t>（11）未来入驻企业禁止在园区内新建永久性工业固废处置场。</w:t>
                  </w:r>
                </w:p>
                <w:p w14:paraId="2181D9E2">
                  <w:pPr>
                    <w:pStyle w:val="72"/>
                    <w:jc w:val="both"/>
                    <w:rPr>
                      <w:b w:val="0"/>
                      <w:color w:val="auto"/>
                    </w:rPr>
                  </w:pPr>
                  <w:r>
                    <w:rPr>
                      <w:b w:val="0"/>
                      <w:color w:val="auto"/>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14:paraId="051209E5">
                  <w:pPr>
                    <w:pStyle w:val="72"/>
                    <w:jc w:val="both"/>
                    <w:rPr>
                      <w:b w:val="0"/>
                      <w:color w:val="auto"/>
                    </w:rPr>
                  </w:pPr>
                  <w:r>
                    <w:rPr>
                      <w:b w:val="0"/>
                      <w:color w:val="auto"/>
                    </w:rPr>
                    <w:t>（13）禁止入园企业开采地下水作为生产、生活用水。</w:t>
                  </w:r>
                </w:p>
              </w:tc>
              <w:tc>
                <w:tcPr>
                  <w:tcW w:w="3225" w:type="dxa"/>
                  <w:vAlign w:val="center"/>
                </w:tcPr>
                <w:p w14:paraId="26E93E86">
                  <w:pPr>
                    <w:pStyle w:val="72"/>
                    <w:jc w:val="both"/>
                    <w:rPr>
                      <w:b w:val="0"/>
                      <w:color w:val="auto"/>
                    </w:rPr>
                  </w:pPr>
                  <w:r>
                    <w:rPr>
                      <w:b w:val="0"/>
                      <w:color w:val="auto"/>
                    </w:rPr>
                    <w:t>（1）本项目属于</w:t>
                  </w:r>
                  <w:r>
                    <w:rPr>
                      <w:rFonts w:hint="eastAsia"/>
                      <w:b w:val="0"/>
                      <w:color w:val="auto"/>
                    </w:rPr>
                    <w:t>一般工业固体废物综合利用</w:t>
                  </w:r>
                  <w:r>
                    <w:rPr>
                      <w:b w:val="0"/>
                      <w:color w:val="auto"/>
                    </w:rPr>
                    <w:t>，根据《产业结构调整指导目录（20</w:t>
                  </w:r>
                  <w:r>
                    <w:rPr>
                      <w:rFonts w:hint="eastAsia"/>
                      <w:b w:val="0"/>
                      <w:color w:val="auto"/>
                    </w:rPr>
                    <w:t>24</w:t>
                  </w:r>
                  <w:r>
                    <w:rPr>
                      <w:b w:val="0"/>
                      <w:color w:val="auto"/>
                    </w:rPr>
                    <w:t>年本）》，项目</w:t>
                  </w:r>
                  <w:r>
                    <w:rPr>
                      <w:rFonts w:hint="eastAsia"/>
                      <w:b w:val="0"/>
                      <w:color w:val="auto"/>
                    </w:rPr>
                    <w:t>属于鼓励类</w:t>
                  </w:r>
                  <w:r>
                    <w:rPr>
                      <w:b w:val="0"/>
                      <w:color w:val="auto"/>
                    </w:rPr>
                    <w:t>；</w:t>
                  </w:r>
                </w:p>
                <w:p w14:paraId="404A5D00">
                  <w:pPr>
                    <w:pStyle w:val="72"/>
                    <w:jc w:val="both"/>
                    <w:rPr>
                      <w:b w:val="0"/>
                      <w:color w:val="auto"/>
                    </w:rPr>
                  </w:pPr>
                  <w:r>
                    <w:rPr>
                      <w:b w:val="0"/>
                      <w:color w:val="auto"/>
                    </w:rPr>
                    <w:t>（2）不属于《外商投资产业指导目录（2017年修订）》中禁止类项目；</w:t>
                  </w:r>
                </w:p>
                <w:p w14:paraId="2B35FD8A">
                  <w:pPr>
                    <w:pStyle w:val="72"/>
                    <w:jc w:val="both"/>
                    <w:rPr>
                      <w:b w:val="0"/>
                      <w:color w:val="auto"/>
                    </w:rPr>
                  </w:pPr>
                  <w:r>
                    <w:rPr>
                      <w:b w:val="0"/>
                      <w:color w:val="auto"/>
                    </w:rPr>
                    <w:t>（3）本项目不属于高风险高污染类行业；</w:t>
                  </w:r>
                </w:p>
                <w:p w14:paraId="04C56AB2">
                  <w:pPr>
                    <w:pStyle w:val="72"/>
                    <w:jc w:val="both"/>
                    <w:rPr>
                      <w:b w:val="0"/>
                      <w:color w:val="auto"/>
                    </w:rPr>
                  </w:pPr>
                  <w:r>
                    <w:rPr>
                      <w:b w:val="0"/>
                      <w:color w:val="auto"/>
                    </w:rPr>
                    <w:t>（4）项目不属于造纸制浆、印染、染料、制革、炼焦、炼硫、炼砷、炼油、有色金属等其他不在园区产业定位、不符合园区环保要求项目；</w:t>
                  </w:r>
                </w:p>
                <w:p w14:paraId="2DBEB3CB">
                  <w:pPr>
                    <w:pStyle w:val="72"/>
                    <w:jc w:val="both"/>
                    <w:rPr>
                      <w:b w:val="0"/>
                      <w:color w:val="auto"/>
                    </w:rPr>
                  </w:pPr>
                  <w:r>
                    <w:rPr>
                      <w:b w:val="0"/>
                      <w:color w:val="auto"/>
                    </w:rPr>
                    <w:t>（5）</w:t>
                  </w:r>
                  <w:r>
                    <w:rPr>
                      <w:rFonts w:hint="eastAsia"/>
                      <w:b w:val="0"/>
                      <w:color w:val="auto"/>
                    </w:rPr>
                    <w:t>生产过程中废水全部回用</w:t>
                  </w:r>
                  <w:r>
                    <w:rPr>
                      <w:b w:val="0"/>
                      <w:color w:val="auto"/>
                    </w:rPr>
                    <w:t>；</w:t>
                  </w:r>
                </w:p>
                <w:p w14:paraId="2A2AC6C3">
                  <w:pPr>
                    <w:pStyle w:val="72"/>
                    <w:jc w:val="both"/>
                    <w:rPr>
                      <w:b w:val="0"/>
                      <w:color w:val="auto"/>
                    </w:rPr>
                  </w:pPr>
                  <w:r>
                    <w:rPr>
                      <w:b w:val="0"/>
                      <w:color w:val="auto"/>
                    </w:rPr>
                    <w:t>（6）本项目物耗、能耗相对较低，产生的大气污染类型主要为颗粒物、</w:t>
                  </w:r>
                  <w:r>
                    <w:rPr>
                      <w:rFonts w:hint="eastAsia"/>
                      <w:b w:val="0"/>
                      <w:color w:val="auto"/>
                    </w:rPr>
                    <w:t>异味</w:t>
                  </w:r>
                  <w:r>
                    <w:rPr>
                      <w:b w:val="0"/>
                      <w:color w:val="auto"/>
                    </w:rPr>
                    <w:t>等，大气污染物经采取措施治理后达标排放，处理成本一般；环境风险</w:t>
                  </w:r>
                  <w:r>
                    <w:rPr>
                      <w:rFonts w:hint="eastAsia"/>
                      <w:b w:val="0"/>
                      <w:color w:val="auto"/>
                    </w:rPr>
                    <w:t>等级为简单分析</w:t>
                  </w:r>
                  <w:r>
                    <w:rPr>
                      <w:b w:val="0"/>
                      <w:color w:val="auto"/>
                    </w:rPr>
                    <w:t>；</w:t>
                  </w:r>
                </w:p>
                <w:p w14:paraId="58D42C73">
                  <w:pPr>
                    <w:pStyle w:val="72"/>
                    <w:jc w:val="both"/>
                    <w:rPr>
                      <w:b w:val="0"/>
                      <w:color w:val="auto"/>
                    </w:rPr>
                  </w:pPr>
                  <w:r>
                    <w:rPr>
                      <w:b w:val="0"/>
                      <w:color w:val="auto"/>
                    </w:rPr>
                    <w:t>（7）本项目为</w:t>
                  </w:r>
                  <w:r>
                    <w:rPr>
                      <w:rFonts w:hint="eastAsia"/>
                      <w:b w:val="0"/>
                      <w:color w:val="auto"/>
                    </w:rPr>
                    <w:t>新</w:t>
                  </w:r>
                  <w:r>
                    <w:rPr>
                      <w:b w:val="0"/>
                      <w:color w:val="auto"/>
                    </w:rPr>
                    <w:t>建项目，能严格按“三同时”要求进行建设，本项目不设置卫生防护距离和大气环境防护距离；</w:t>
                  </w:r>
                </w:p>
                <w:p w14:paraId="269BD91B">
                  <w:pPr>
                    <w:pStyle w:val="72"/>
                    <w:jc w:val="both"/>
                    <w:rPr>
                      <w:b w:val="0"/>
                      <w:color w:val="auto"/>
                    </w:rPr>
                  </w:pPr>
                  <w:r>
                    <w:rPr>
                      <w:b w:val="0"/>
                      <w:color w:val="auto"/>
                    </w:rPr>
                    <w:t>（8）项目与《云南省牛栏江保护条例》不冲突；</w:t>
                  </w:r>
                </w:p>
                <w:p w14:paraId="6AA9B203">
                  <w:pPr>
                    <w:pStyle w:val="72"/>
                    <w:jc w:val="both"/>
                    <w:rPr>
                      <w:b w:val="0"/>
                      <w:color w:val="auto"/>
                    </w:rPr>
                  </w:pPr>
                  <w:r>
                    <w:rPr>
                      <w:b w:val="0"/>
                      <w:color w:val="auto"/>
                    </w:rPr>
                    <w:t>（9）本项目不属于《长江经济带发展负面清单指南（试行，2022年版）》和《云南省推动长江经济带发展负面清单指南实施细则（试行，2022 年版）》中的禁止项目；</w:t>
                  </w:r>
                </w:p>
                <w:p w14:paraId="4317C912">
                  <w:pPr>
                    <w:pStyle w:val="72"/>
                    <w:jc w:val="both"/>
                    <w:rPr>
                      <w:b w:val="0"/>
                      <w:color w:val="auto"/>
                    </w:rPr>
                  </w:pPr>
                  <w:r>
                    <w:rPr>
                      <w:b w:val="0"/>
                      <w:color w:val="auto"/>
                    </w:rPr>
                    <w:t>（10）本项目不属于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323DD6C8">
                  <w:pPr>
                    <w:pStyle w:val="72"/>
                    <w:jc w:val="both"/>
                    <w:rPr>
                      <w:b w:val="0"/>
                      <w:color w:val="auto"/>
                    </w:rPr>
                  </w:pPr>
                  <w:r>
                    <w:rPr>
                      <w:b w:val="0"/>
                      <w:color w:val="auto"/>
                    </w:rPr>
                    <w:t>（11）本项目不涉及新建永久性工业固废处置场；</w:t>
                  </w:r>
                </w:p>
                <w:p w14:paraId="084DCE88">
                  <w:pPr>
                    <w:pStyle w:val="72"/>
                    <w:jc w:val="both"/>
                    <w:rPr>
                      <w:b w:val="0"/>
                      <w:color w:val="auto"/>
                    </w:rPr>
                  </w:pPr>
                  <w:r>
                    <w:rPr>
                      <w:b w:val="0"/>
                      <w:color w:val="auto"/>
                    </w:rPr>
                    <w:t>（12）本项目不属于物耗、水耗和能耗相对较高的生产企业；</w:t>
                  </w:r>
                </w:p>
                <w:p w14:paraId="1B3598E9">
                  <w:pPr>
                    <w:pStyle w:val="72"/>
                    <w:jc w:val="both"/>
                    <w:rPr>
                      <w:b w:val="0"/>
                      <w:color w:val="auto"/>
                    </w:rPr>
                  </w:pPr>
                  <w:r>
                    <w:rPr>
                      <w:b w:val="0"/>
                      <w:color w:val="auto"/>
                    </w:rPr>
                    <w:t>（13）本项目用水为市政管网供给，不进行地下水的开采。</w:t>
                  </w:r>
                </w:p>
              </w:tc>
              <w:tc>
                <w:tcPr>
                  <w:tcW w:w="510" w:type="dxa"/>
                  <w:vAlign w:val="center"/>
                </w:tcPr>
                <w:p w14:paraId="4C19ED3A">
                  <w:pPr>
                    <w:adjustRightInd w:val="0"/>
                    <w:snapToGrid w:val="0"/>
                    <w:jc w:val="center"/>
                    <w:rPr>
                      <w:szCs w:val="21"/>
                    </w:rPr>
                  </w:pPr>
                  <w:r>
                    <w:rPr>
                      <w:szCs w:val="21"/>
                    </w:rPr>
                    <w:t>符合</w:t>
                  </w:r>
                </w:p>
              </w:tc>
            </w:tr>
            <w:tr w14:paraId="1368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87" w:hRule="atLeast"/>
              </w:trPr>
              <w:tc>
                <w:tcPr>
                  <w:tcW w:w="321" w:type="dxa"/>
                  <w:vMerge w:val="continue"/>
                  <w:vAlign w:val="center"/>
                </w:tcPr>
                <w:p w14:paraId="6310E133">
                  <w:pPr>
                    <w:adjustRightInd w:val="0"/>
                    <w:snapToGrid w:val="0"/>
                    <w:jc w:val="center"/>
                    <w:rPr>
                      <w:szCs w:val="21"/>
                    </w:rPr>
                  </w:pPr>
                </w:p>
              </w:tc>
              <w:tc>
                <w:tcPr>
                  <w:tcW w:w="586" w:type="dxa"/>
                  <w:vAlign w:val="center"/>
                </w:tcPr>
                <w:p w14:paraId="253BD591">
                  <w:pPr>
                    <w:adjustRightInd w:val="0"/>
                    <w:snapToGrid w:val="0"/>
                    <w:jc w:val="center"/>
                    <w:rPr>
                      <w:szCs w:val="21"/>
                    </w:rPr>
                  </w:pPr>
                  <w:r>
                    <w:rPr>
                      <w:szCs w:val="21"/>
                    </w:rPr>
                    <w:t>禁入工艺</w:t>
                  </w:r>
                </w:p>
              </w:tc>
              <w:tc>
                <w:tcPr>
                  <w:tcW w:w="3375" w:type="dxa"/>
                  <w:vAlign w:val="center"/>
                </w:tcPr>
                <w:p w14:paraId="6B48270E">
                  <w:pPr>
                    <w:adjustRightInd w:val="0"/>
                    <w:snapToGrid w:val="0"/>
                    <w:jc w:val="left"/>
                    <w:rPr>
                      <w:szCs w:val="21"/>
                    </w:rPr>
                  </w:pPr>
                  <w:r>
                    <w:rPr>
                      <w:szCs w:val="21"/>
                    </w:rPr>
                    <w:t>（1）《产业结构调整指导目录（2019年本）》（或更新）中淘汰、落后的生产工艺。</w:t>
                  </w:r>
                </w:p>
                <w:p w14:paraId="335FCFD9">
                  <w:pPr>
                    <w:adjustRightInd w:val="0"/>
                    <w:snapToGrid w:val="0"/>
                    <w:jc w:val="left"/>
                    <w:rPr>
                      <w:szCs w:val="21"/>
                    </w:rPr>
                  </w:pPr>
                  <w:r>
                    <w:rPr>
                      <w:szCs w:val="21"/>
                    </w:rPr>
                    <w:t>（2）《部分工业行业淘汰落后生产工艺装备和产品指导目录（2022年本）》（或更新）的生产工艺。</w:t>
                  </w:r>
                </w:p>
              </w:tc>
              <w:tc>
                <w:tcPr>
                  <w:tcW w:w="3225" w:type="dxa"/>
                  <w:vAlign w:val="center"/>
                </w:tcPr>
                <w:p w14:paraId="4E234B26">
                  <w:pPr>
                    <w:adjustRightInd w:val="0"/>
                    <w:snapToGrid w:val="0"/>
                    <w:jc w:val="center"/>
                    <w:rPr>
                      <w:szCs w:val="21"/>
                    </w:rPr>
                  </w:pPr>
                  <w:r>
                    <w:rPr>
                      <w:szCs w:val="21"/>
                    </w:rPr>
                    <w:t>（1）经查阅《产业结构调整指导目录（20</w:t>
                  </w:r>
                  <w:r>
                    <w:rPr>
                      <w:rFonts w:hint="eastAsia"/>
                      <w:szCs w:val="21"/>
                    </w:rPr>
                    <w:t>24</w:t>
                  </w:r>
                  <w:r>
                    <w:rPr>
                      <w:szCs w:val="21"/>
                    </w:rPr>
                    <w:t>年本）》，本项目所用工艺不属于该目录中淘汰、落后的生产工艺；（2）不属于《部分工业行业淘汰落后生产工艺装备和产品指导目录（2022年本）》的生产工艺。</w:t>
                  </w:r>
                </w:p>
              </w:tc>
              <w:tc>
                <w:tcPr>
                  <w:tcW w:w="510" w:type="dxa"/>
                  <w:vAlign w:val="center"/>
                </w:tcPr>
                <w:p w14:paraId="055996C0">
                  <w:pPr>
                    <w:adjustRightInd w:val="0"/>
                    <w:snapToGrid w:val="0"/>
                    <w:jc w:val="center"/>
                    <w:rPr>
                      <w:szCs w:val="21"/>
                    </w:rPr>
                  </w:pPr>
                  <w:r>
                    <w:rPr>
                      <w:szCs w:val="21"/>
                    </w:rPr>
                    <w:t>符合</w:t>
                  </w:r>
                </w:p>
              </w:tc>
            </w:tr>
            <w:tr w14:paraId="39F0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continue"/>
                  <w:vAlign w:val="center"/>
                </w:tcPr>
                <w:p w14:paraId="63BB3891">
                  <w:pPr>
                    <w:adjustRightInd w:val="0"/>
                    <w:snapToGrid w:val="0"/>
                    <w:jc w:val="center"/>
                    <w:rPr>
                      <w:szCs w:val="21"/>
                    </w:rPr>
                  </w:pPr>
                </w:p>
              </w:tc>
              <w:tc>
                <w:tcPr>
                  <w:tcW w:w="586" w:type="dxa"/>
                  <w:vAlign w:val="center"/>
                </w:tcPr>
                <w:p w14:paraId="6B5C1E8F">
                  <w:pPr>
                    <w:adjustRightInd w:val="0"/>
                    <w:snapToGrid w:val="0"/>
                    <w:jc w:val="center"/>
                    <w:rPr>
                      <w:szCs w:val="21"/>
                    </w:rPr>
                  </w:pPr>
                  <w:r>
                    <w:rPr>
                      <w:szCs w:val="21"/>
                    </w:rPr>
                    <w:t>禁入产品</w:t>
                  </w:r>
                </w:p>
              </w:tc>
              <w:tc>
                <w:tcPr>
                  <w:tcW w:w="3375" w:type="dxa"/>
                  <w:vAlign w:val="center"/>
                </w:tcPr>
                <w:p w14:paraId="687C295A">
                  <w:pPr>
                    <w:adjustRightInd w:val="0"/>
                    <w:snapToGrid w:val="0"/>
                    <w:jc w:val="left"/>
                    <w:rPr>
                      <w:szCs w:val="21"/>
                    </w:rPr>
                  </w:pPr>
                  <w:r>
                    <w:rPr>
                      <w:szCs w:val="21"/>
                    </w:rPr>
                    <w:t>《部分工业行业淘汰落后生产工艺装备和产品指导目录（2022年本）》（或更新）的产品。</w:t>
                  </w:r>
                </w:p>
              </w:tc>
              <w:tc>
                <w:tcPr>
                  <w:tcW w:w="3225" w:type="dxa"/>
                  <w:vAlign w:val="center"/>
                </w:tcPr>
                <w:p w14:paraId="4D6006A9">
                  <w:pPr>
                    <w:adjustRightInd w:val="0"/>
                    <w:snapToGrid w:val="0"/>
                    <w:jc w:val="center"/>
                    <w:rPr>
                      <w:szCs w:val="21"/>
                    </w:rPr>
                  </w:pPr>
                  <w:r>
                    <w:rPr>
                      <w:szCs w:val="21"/>
                    </w:rPr>
                    <w:t>本项目产品不属于《部分工业行业淘汰落后生产工艺装备和产品指导目录（2022年本）》的产品。</w:t>
                  </w:r>
                </w:p>
              </w:tc>
              <w:tc>
                <w:tcPr>
                  <w:tcW w:w="510" w:type="dxa"/>
                  <w:vAlign w:val="center"/>
                </w:tcPr>
                <w:p w14:paraId="40C40E20">
                  <w:pPr>
                    <w:adjustRightInd w:val="0"/>
                    <w:snapToGrid w:val="0"/>
                    <w:jc w:val="center"/>
                    <w:rPr>
                      <w:szCs w:val="21"/>
                    </w:rPr>
                  </w:pPr>
                  <w:r>
                    <w:rPr>
                      <w:szCs w:val="21"/>
                    </w:rPr>
                    <w:t>符合</w:t>
                  </w:r>
                </w:p>
              </w:tc>
            </w:tr>
            <w:tr w14:paraId="7D94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continue"/>
                  <w:vAlign w:val="center"/>
                </w:tcPr>
                <w:p w14:paraId="6F37958E">
                  <w:pPr>
                    <w:adjustRightInd w:val="0"/>
                    <w:snapToGrid w:val="0"/>
                    <w:jc w:val="center"/>
                    <w:rPr>
                      <w:szCs w:val="21"/>
                    </w:rPr>
                  </w:pPr>
                </w:p>
              </w:tc>
              <w:tc>
                <w:tcPr>
                  <w:tcW w:w="586" w:type="dxa"/>
                  <w:vAlign w:val="center"/>
                </w:tcPr>
                <w:p w14:paraId="2FB06488">
                  <w:pPr>
                    <w:adjustRightInd w:val="0"/>
                    <w:snapToGrid w:val="0"/>
                    <w:jc w:val="center"/>
                    <w:rPr>
                      <w:szCs w:val="21"/>
                    </w:rPr>
                  </w:pPr>
                  <w:r>
                    <w:rPr>
                      <w:szCs w:val="21"/>
                    </w:rPr>
                    <w:t>清洁生产水平</w:t>
                  </w:r>
                </w:p>
              </w:tc>
              <w:tc>
                <w:tcPr>
                  <w:tcW w:w="3375" w:type="dxa"/>
                  <w:vAlign w:val="center"/>
                </w:tcPr>
                <w:p w14:paraId="3A4392F7">
                  <w:pPr>
                    <w:adjustRightInd w:val="0"/>
                    <w:snapToGrid w:val="0"/>
                    <w:jc w:val="left"/>
                    <w:rPr>
                      <w:szCs w:val="21"/>
                    </w:rPr>
                  </w:pPr>
                  <w:r>
                    <w:rPr>
                      <w:szCs w:val="21"/>
                    </w:rPr>
                    <w:t>清洁生产水平低于国家清洁生产标准的国内先进水平。</w:t>
                  </w:r>
                </w:p>
              </w:tc>
              <w:tc>
                <w:tcPr>
                  <w:tcW w:w="3225" w:type="dxa"/>
                  <w:vAlign w:val="center"/>
                </w:tcPr>
                <w:p w14:paraId="580B3D91">
                  <w:pPr>
                    <w:adjustRightInd w:val="0"/>
                    <w:snapToGrid w:val="0"/>
                    <w:jc w:val="center"/>
                    <w:rPr>
                      <w:szCs w:val="21"/>
                    </w:rPr>
                  </w:pPr>
                  <w:r>
                    <w:rPr>
                      <w:szCs w:val="21"/>
                    </w:rPr>
                    <w:t>本项目清洁生产水平不低于国家清洁生产标准的国内先进水平。</w:t>
                  </w:r>
                </w:p>
              </w:tc>
              <w:tc>
                <w:tcPr>
                  <w:tcW w:w="510" w:type="dxa"/>
                  <w:vAlign w:val="center"/>
                </w:tcPr>
                <w:p w14:paraId="3367B443">
                  <w:pPr>
                    <w:adjustRightInd w:val="0"/>
                    <w:snapToGrid w:val="0"/>
                    <w:jc w:val="center"/>
                    <w:rPr>
                      <w:szCs w:val="21"/>
                    </w:rPr>
                  </w:pPr>
                  <w:r>
                    <w:rPr>
                      <w:szCs w:val="21"/>
                    </w:rPr>
                    <w:t>符合</w:t>
                  </w:r>
                </w:p>
              </w:tc>
            </w:tr>
            <w:tr w14:paraId="5FE5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continue"/>
                  <w:vAlign w:val="center"/>
                </w:tcPr>
                <w:p w14:paraId="1702F573">
                  <w:pPr>
                    <w:adjustRightInd w:val="0"/>
                    <w:snapToGrid w:val="0"/>
                    <w:jc w:val="center"/>
                    <w:rPr>
                      <w:szCs w:val="21"/>
                    </w:rPr>
                  </w:pPr>
                </w:p>
              </w:tc>
              <w:tc>
                <w:tcPr>
                  <w:tcW w:w="586" w:type="dxa"/>
                  <w:vAlign w:val="center"/>
                </w:tcPr>
                <w:p w14:paraId="24FFAE26">
                  <w:pPr>
                    <w:pStyle w:val="72"/>
                    <w:jc w:val="both"/>
                    <w:rPr>
                      <w:b w:val="0"/>
                      <w:color w:val="auto"/>
                    </w:rPr>
                  </w:pPr>
                  <w:r>
                    <w:rPr>
                      <w:b w:val="0"/>
                      <w:color w:val="auto"/>
                    </w:rPr>
                    <w:t>限制禁入</w:t>
                  </w:r>
                </w:p>
              </w:tc>
              <w:tc>
                <w:tcPr>
                  <w:tcW w:w="3375" w:type="dxa"/>
                  <w:vAlign w:val="center"/>
                </w:tcPr>
                <w:p w14:paraId="1C86625D">
                  <w:pPr>
                    <w:pStyle w:val="72"/>
                    <w:jc w:val="both"/>
                    <w:rPr>
                      <w:b w:val="0"/>
                      <w:color w:val="auto"/>
                    </w:rPr>
                  </w:pPr>
                  <w:r>
                    <w:rPr>
                      <w:b w:val="0"/>
                      <w:color w:val="auto"/>
                    </w:rPr>
                    <w:t>（1）严格限制引进《产业结构调整指导目录（2019 年本）》（或更新）中所列的限制类项目。</w:t>
                  </w:r>
                </w:p>
                <w:p w14:paraId="42E4DAFD">
                  <w:pPr>
                    <w:pStyle w:val="72"/>
                    <w:jc w:val="both"/>
                    <w:rPr>
                      <w:b w:val="0"/>
                      <w:color w:val="auto"/>
                    </w:rPr>
                  </w:pPr>
                  <w:r>
                    <w:rPr>
                      <w:b w:val="0"/>
                      <w:color w:val="auto"/>
                    </w:rPr>
                    <w:t>（2）《外商投资产业指导目录（2017 年修订）》（或更新）中所列的限制类项目。</w:t>
                  </w:r>
                </w:p>
                <w:p w14:paraId="1B44A1D9">
                  <w:pPr>
                    <w:pStyle w:val="72"/>
                    <w:jc w:val="both"/>
                    <w:rPr>
                      <w:b w:val="0"/>
                      <w:color w:val="auto"/>
                    </w:rPr>
                  </w:pPr>
                  <w:r>
                    <w:rPr>
                      <w:b w:val="0"/>
                      <w:color w:val="auto"/>
                    </w:rPr>
                    <w:t>（3）严格限制引进涉及《中国严格限制进出口的有毒化学品目录（2020年本）》（或更新）中所列有毒化学品的项目。</w:t>
                  </w:r>
                </w:p>
              </w:tc>
              <w:tc>
                <w:tcPr>
                  <w:tcW w:w="3225" w:type="dxa"/>
                  <w:vAlign w:val="center"/>
                </w:tcPr>
                <w:p w14:paraId="207A2017">
                  <w:pPr>
                    <w:pStyle w:val="72"/>
                    <w:rPr>
                      <w:b w:val="0"/>
                      <w:color w:val="auto"/>
                    </w:rPr>
                  </w:pPr>
                  <w:r>
                    <w:rPr>
                      <w:b w:val="0"/>
                      <w:color w:val="auto"/>
                    </w:rPr>
                    <w:t>（1）本项目不属于《产业结构调整指导目录（20</w:t>
                  </w:r>
                  <w:r>
                    <w:rPr>
                      <w:rFonts w:hint="eastAsia"/>
                      <w:b w:val="0"/>
                      <w:color w:val="auto"/>
                    </w:rPr>
                    <w:t>24</w:t>
                  </w:r>
                  <w:r>
                    <w:rPr>
                      <w:b w:val="0"/>
                      <w:color w:val="auto"/>
                    </w:rPr>
                    <w:t>年本）》中所列的限制类项目；（2）本项目不属于《外商投资产业指导目录（2017年修订）》中所列的限制类项目；（3）本项目不涉及《中国严格限制进出口的有毒化学品目录（2020年本）》中所列有毒化学品。</w:t>
                  </w:r>
                </w:p>
              </w:tc>
              <w:tc>
                <w:tcPr>
                  <w:tcW w:w="510" w:type="dxa"/>
                  <w:vAlign w:val="center"/>
                </w:tcPr>
                <w:p w14:paraId="788F1F3C">
                  <w:pPr>
                    <w:adjustRightInd w:val="0"/>
                    <w:snapToGrid w:val="0"/>
                    <w:jc w:val="center"/>
                    <w:rPr>
                      <w:szCs w:val="21"/>
                    </w:rPr>
                  </w:pPr>
                  <w:r>
                    <w:rPr>
                      <w:szCs w:val="21"/>
                    </w:rPr>
                    <w:t>符合</w:t>
                  </w:r>
                </w:p>
              </w:tc>
            </w:tr>
            <w:tr w14:paraId="7A76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restart"/>
                  <w:vAlign w:val="center"/>
                </w:tcPr>
                <w:p w14:paraId="0BE39ED1">
                  <w:pPr>
                    <w:pStyle w:val="72"/>
                    <w:rPr>
                      <w:b w:val="0"/>
                      <w:color w:val="auto"/>
                    </w:rPr>
                  </w:pPr>
                  <w:r>
                    <w:rPr>
                      <w:b w:val="0"/>
                      <w:color w:val="auto"/>
                    </w:rPr>
                    <w:t>规划产业要求</w:t>
                  </w:r>
                </w:p>
              </w:tc>
              <w:tc>
                <w:tcPr>
                  <w:tcW w:w="586" w:type="dxa"/>
                  <w:vAlign w:val="center"/>
                </w:tcPr>
                <w:p w14:paraId="24A7C3E2">
                  <w:pPr>
                    <w:pStyle w:val="72"/>
                    <w:rPr>
                      <w:b w:val="0"/>
                      <w:color w:val="auto"/>
                    </w:rPr>
                  </w:pPr>
                  <w:r>
                    <w:rPr>
                      <w:b w:val="0"/>
                      <w:color w:val="auto"/>
                    </w:rPr>
                    <w:t>现状产业区</w:t>
                  </w:r>
                </w:p>
              </w:tc>
              <w:tc>
                <w:tcPr>
                  <w:tcW w:w="3375" w:type="dxa"/>
                  <w:vAlign w:val="center"/>
                </w:tcPr>
                <w:p w14:paraId="7BD3D316">
                  <w:pPr>
                    <w:adjustRightInd w:val="0"/>
                    <w:snapToGrid w:val="0"/>
                    <w:jc w:val="left"/>
                    <w:rPr>
                      <w:szCs w:val="21"/>
                    </w:rPr>
                  </w:pPr>
                  <w:r>
                    <w:rPr>
                      <w:szCs w:val="21"/>
                    </w:rPr>
                    <w:t>允许现有煤磷盐化工及配套产业进行环保提升改造。</w:t>
                  </w:r>
                </w:p>
              </w:tc>
              <w:tc>
                <w:tcPr>
                  <w:tcW w:w="3225" w:type="dxa"/>
                  <w:vAlign w:val="center"/>
                </w:tcPr>
                <w:p w14:paraId="468CB35C">
                  <w:pPr>
                    <w:adjustRightInd w:val="0"/>
                    <w:snapToGrid w:val="0"/>
                    <w:jc w:val="center"/>
                    <w:rPr>
                      <w:szCs w:val="21"/>
                    </w:rPr>
                  </w:pPr>
                  <w:r>
                    <w:rPr>
                      <w:szCs w:val="21"/>
                    </w:rPr>
                    <w:t>本项目为</w:t>
                  </w:r>
                  <w:r>
                    <w:rPr>
                      <w:rFonts w:hint="eastAsia"/>
                      <w:szCs w:val="21"/>
                    </w:rPr>
                    <w:t>新</w:t>
                  </w:r>
                  <w:r>
                    <w:rPr>
                      <w:szCs w:val="21"/>
                    </w:rPr>
                    <w:t>建项目，不涉及该条内容。</w:t>
                  </w:r>
                </w:p>
              </w:tc>
              <w:tc>
                <w:tcPr>
                  <w:tcW w:w="510" w:type="dxa"/>
                  <w:vAlign w:val="center"/>
                </w:tcPr>
                <w:p w14:paraId="0971E6F1">
                  <w:pPr>
                    <w:adjustRightInd w:val="0"/>
                    <w:snapToGrid w:val="0"/>
                    <w:jc w:val="center"/>
                    <w:rPr>
                      <w:szCs w:val="21"/>
                    </w:rPr>
                  </w:pPr>
                  <w:r>
                    <w:rPr>
                      <w:szCs w:val="21"/>
                    </w:rPr>
                    <w:t>符合</w:t>
                  </w:r>
                </w:p>
              </w:tc>
            </w:tr>
            <w:tr w14:paraId="3BC2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55A6EB05">
                  <w:pPr>
                    <w:adjustRightInd w:val="0"/>
                    <w:snapToGrid w:val="0"/>
                    <w:jc w:val="center"/>
                    <w:rPr>
                      <w:szCs w:val="21"/>
                    </w:rPr>
                  </w:pPr>
                </w:p>
              </w:tc>
              <w:tc>
                <w:tcPr>
                  <w:tcW w:w="586" w:type="dxa"/>
                  <w:vAlign w:val="center"/>
                </w:tcPr>
                <w:p w14:paraId="52BD9520">
                  <w:pPr>
                    <w:pStyle w:val="72"/>
                    <w:rPr>
                      <w:b w:val="0"/>
                      <w:color w:val="auto"/>
                    </w:rPr>
                  </w:pPr>
                  <w:r>
                    <w:rPr>
                      <w:b w:val="0"/>
                      <w:color w:val="auto"/>
                    </w:rPr>
                    <w:t>绿色建材产业</w:t>
                  </w:r>
                </w:p>
              </w:tc>
              <w:tc>
                <w:tcPr>
                  <w:tcW w:w="3375" w:type="dxa"/>
                  <w:vMerge w:val="restart"/>
                  <w:vAlign w:val="center"/>
                </w:tcPr>
                <w:p w14:paraId="64B43C0D">
                  <w:pPr>
                    <w:pStyle w:val="72"/>
                    <w:rPr>
                      <w:b w:val="0"/>
                      <w:color w:val="auto"/>
                    </w:rPr>
                  </w:pPr>
                  <w:r>
                    <w:rPr>
                      <w:b w:val="0"/>
                      <w:color w:val="auto"/>
                    </w:rPr>
                    <w:t>禁止生产废水不能循环回用，且向牛栏江流域排放生产废水的企业入驻。</w:t>
                  </w:r>
                </w:p>
              </w:tc>
              <w:tc>
                <w:tcPr>
                  <w:tcW w:w="3225" w:type="dxa"/>
                  <w:vMerge w:val="restart"/>
                  <w:vAlign w:val="center"/>
                </w:tcPr>
                <w:p w14:paraId="28DBE7E5">
                  <w:pPr>
                    <w:pStyle w:val="72"/>
                    <w:rPr>
                      <w:b w:val="0"/>
                      <w:color w:val="auto"/>
                    </w:rPr>
                  </w:pPr>
                  <w:r>
                    <w:rPr>
                      <w:rFonts w:hint="eastAsia"/>
                      <w:b w:val="0"/>
                      <w:color w:val="auto"/>
                    </w:rPr>
                    <w:t>本项目生产废水收集后回用于发酵，不外排。</w:t>
                  </w:r>
                </w:p>
              </w:tc>
              <w:tc>
                <w:tcPr>
                  <w:tcW w:w="510" w:type="dxa"/>
                  <w:vMerge w:val="restart"/>
                  <w:vAlign w:val="center"/>
                </w:tcPr>
                <w:p w14:paraId="12A10926">
                  <w:pPr>
                    <w:adjustRightInd w:val="0"/>
                    <w:snapToGrid w:val="0"/>
                    <w:jc w:val="center"/>
                    <w:rPr>
                      <w:szCs w:val="21"/>
                    </w:rPr>
                  </w:pPr>
                  <w:r>
                    <w:rPr>
                      <w:szCs w:val="21"/>
                    </w:rPr>
                    <w:t>符合</w:t>
                  </w:r>
                </w:p>
              </w:tc>
            </w:tr>
            <w:tr w14:paraId="4A80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030FF78C">
                  <w:pPr>
                    <w:adjustRightInd w:val="0"/>
                    <w:snapToGrid w:val="0"/>
                    <w:jc w:val="center"/>
                    <w:rPr>
                      <w:szCs w:val="21"/>
                    </w:rPr>
                  </w:pPr>
                </w:p>
              </w:tc>
              <w:tc>
                <w:tcPr>
                  <w:tcW w:w="586" w:type="dxa"/>
                  <w:vAlign w:val="center"/>
                </w:tcPr>
                <w:p w14:paraId="7D381A08">
                  <w:pPr>
                    <w:pStyle w:val="72"/>
                    <w:rPr>
                      <w:b w:val="0"/>
                      <w:color w:val="auto"/>
                    </w:rPr>
                  </w:pPr>
                  <w:r>
                    <w:rPr>
                      <w:b w:val="0"/>
                      <w:color w:val="auto"/>
                    </w:rPr>
                    <w:t>先进装备制造产业</w:t>
                  </w:r>
                </w:p>
              </w:tc>
              <w:tc>
                <w:tcPr>
                  <w:tcW w:w="3375" w:type="dxa"/>
                  <w:vMerge w:val="continue"/>
                  <w:vAlign w:val="center"/>
                </w:tcPr>
                <w:p w14:paraId="4ACE2D89">
                  <w:pPr>
                    <w:adjustRightInd w:val="0"/>
                    <w:snapToGrid w:val="0"/>
                    <w:jc w:val="left"/>
                    <w:rPr>
                      <w:szCs w:val="21"/>
                    </w:rPr>
                  </w:pPr>
                </w:p>
              </w:tc>
              <w:tc>
                <w:tcPr>
                  <w:tcW w:w="3225" w:type="dxa"/>
                  <w:vMerge w:val="continue"/>
                  <w:vAlign w:val="center"/>
                </w:tcPr>
                <w:p w14:paraId="65572D5E">
                  <w:pPr>
                    <w:adjustRightInd w:val="0"/>
                    <w:snapToGrid w:val="0"/>
                    <w:jc w:val="center"/>
                    <w:rPr>
                      <w:szCs w:val="21"/>
                    </w:rPr>
                  </w:pPr>
                </w:p>
              </w:tc>
              <w:tc>
                <w:tcPr>
                  <w:tcW w:w="510" w:type="dxa"/>
                  <w:vMerge w:val="continue"/>
                  <w:vAlign w:val="center"/>
                </w:tcPr>
                <w:p w14:paraId="48DBF0D2">
                  <w:pPr>
                    <w:adjustRightInd w:val="0"/>
                    <w:snapToGrid w:val="0"/>
                    <w:jc w:val="center"/>
                    <w:rPr>
                      <w:szCs w:val="21"/>
                    </w:rPr>
                  </w:pPr>
                </w:p>
              </w:tc>
            </w:tr>
            <w:tr w14:paraId="7E2E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2936C183">
                  <w:pPr>
                    <w:adjustRightInd w:val="0"/>
                    <w:snapToGrid w:val="0"/>
                    <w:jc w:val="center"/>
                    <w:rPr>
                      <w:szCs w:val="21"/>
                    </w:rPr>
                  </w:pPr>
                </w:p>
              </w:tc>
              <w:tc>
                <w:tcPr>
                  <w:tcW w:w="586" w:type="dxa"/>
                  <w:vAlign w:val="center"/>
                </w:tcPr>
                <w:p w14:paraId="0B16BE65">
                  <w:pPr>
                    <w:pStyle w:val="72"/>
                    <w:rPr>
                      <w:b w:val="0"/>
                      <w:color w:val="auto"/>
                    </w:rPr>
                  </w:pPr>
                  <w:r>
                    <w:rPr>
                      <w:b w:val="0"/>
                      <w:color w:val="auto"/>
                    </w:rPr>
                    <w:t>非烟轻工产业</w:t>
                  </w:r>
                </w:p>
              </w:tc>
              <w:tc>
                <w:tcPr>
                  <w:tcW w:w="3375" w:type="dxa"/>
                  <w:vAlign w:val="center"/>
                </w:tcPr>
                <w:p w14:paraId="0C46E1AE">
                  <w:pPr>
                    <w:pStyle w:val="72"/>
                    <w:jc w:val="both"/>
                    <w:rPr>
                      <w:b w:val="0"/>
                      <w:color w:val="auto"/>
                    </w:rPr>
                  </w:pPr>
                  <w:r>
                    <w:rPr>
                      <w:b w:val="0"/>
                      <w:color w:val="auto"/>
                    </w:rPr>
                    <w:t>①木材加工及家具制造业：禁止含有制胶工艺的企业入驻。</w:t>
                  </w:r>
                </w:p>
                <w:p w14:paraId="076B34F3">
                  <w:pPr>
                    <w:pStyle w:val="72"/>
                    <w:jc w:val="both"/>
                    <w:rPr>
                      <w:b w:val="0"/>
                      <w:color w:val="auto"/>
                    </w:rPr>
                  </w:pPr>
                  <w:r>
                    <w:rPr>
                      <w:b w:val="0"/>
                      <w:color w:val="auto"/>
                    </w:rPr>
                    <w:t>②食品业：要求规上企业工业用水重复利用率＞65%。</w:t>
                  </w:r>
                </w:p>
              </w:tc>
              <w:tc>
                <w:tcPr>
                  <w:tcW w:w="3225" w:type="dxa"/>
                  <w:vAlign w:val="center"/>
                </w:tcPr>
                <w:p w14:paraId="5869A03F">
                  <w:pPr>
                    <w:pStyle w:val="72"/>
                    <w:jc w:val="both"/>
                    <w:rPr>
                      <w:b w:val="0"/>
                      <w:color w:val="auto"/>
                    </w:rPr>
                  </w:pPr>
                  <w:r>
                    <w:rPr>
                      <w:b w:val="0"/>
                      <w:color w:val="auto"/>
                    </w:rPr>
                    <w:t>①本项目不属于含有制胶工艺的木材加工及家具制造。</w:t>
                  </w:r>
                </w:p>
                <w:p w14:paraId="3E1323F2">
                  <w:pPr>
                    <w:pStyle w:val="72"/>
                    <w:jc w:val="both"/>
                    <w:rPr>
                      <w:b w:val="0"/>
                      <w:color w:val="auto"/>
                    </w:rPr>
                  </w:pPr>
                  <w:r>
                    <w:rPr>
                      <w:b w:val="0"/>
                      <w:color w:val="auto"/>
                    </w:rPr>
                    <w:t>②本项目不属于食品业。</w:t>
                  </w:r>
                </w:p>
              </w:tc>
              <w:tc>
                <w:tcPr>
                  <w:tcW w:w="510" w:type="dxa"/>
                  <w:vAlign w:val="center"/>
                </w:tcPr>
                <w:p w14:paraId="64673255">
                  <w:pPr>
                    <w:adjustRightInd w:val="0"/>
                    <w:snapToGrid w:val="0"/>
                    <w:rPr>
                      <w:szCs w:val="21"/>
                    </w:rPr>
                  </w:pPr>
                  <w:r>
                    <w:rPr>
                      <w:szCs w:val="21"/>
                    </w:rPr>
                    <w:t>符合</w:t>
                  </w:r>
                </w:p>
              </w:tc>
            </w:tr>
            <w:tr w14:paraId="538E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3F5BC53E">
                  <w:pPr>
                    <w:adjustRightInd w:val="0"/>
                    <w:snapToGrid w:val="0"/>
                    <w:jc w:val="center"/>
                    <w:rPr>
                      <w:szCs w:val="21"/>
                    </w:rPr>
                  </w:pPr>
                </w:p>
              </w:tc>
              <w:tc>
                <w:tcPr>
                  <w:tcW w:w="586" w:type="dxa"/>
                  <w:vAlign w:val="center"/>
                </w:tcPr>
                <w:p w14:paraId="04436236">
                  <w:pPr>
                    <w:pStyle w:val="72"/>
                    <w:rPr>
                      <w:b w:val="0"/>
                      <w:color w:val="auto"/>
                    </w:rPr>
                  </w:pPr>
                  <w:r>
                    <w:rPr>
                      <w:b w:val="0"/>
                      <w:color w:val="auto"/>
                    </w:rPr>
                    <w:t>绿色化工</w:t>
                  </w:r>
                </w:p>
              </w:tc>
              <w:tc>
                <w:tcPr>
                  <w:tcW w:w="3375" w:type="dxa"/>
                  <w:vAlign w:val="center"/>
                </w:tcPr>
                <w:p w14:paraId="4A509E09">
                  <w:pPr>
                    <w:pStyle w:val="72"/>
                    <w:rPr>
                      <w:b w:val="0"/>
                      <w:color w:val="auto"/>
                    </w:rPr>
                  </w:pPr>
                  <w:r>
                    <w:rPr>
                      <w:b w:val="0"/>
                      <w:color w:val="auto"/>
                    </w:rPr>
                    <w:t>①园区规划在金所片区天生桥组团设置化工园区，建议园区尽快按化工园区的设立要求设立化工园区，并申请省级业务主管部门进行认定。</w:t>
                  </w:r>
                </w:p>
                <w:p w14:paraId="0A710AED">
                  <w:pPr>
                    <w:pStyle w:val="72"/>
                    <w:rPr>
                      <w:b w:val="0"/>
                      <w:color w:val="auto"/>
                    </w:rPr>
                  </w:pPr>
                  <w:r>
                    <w:rPr>
                      <w:b w:val="0"/>
                      <w:color w:val="auto"/>
                    </w:rPr>
                    <w:t>②金所片区金所组团禁止新建、改建、扩建化工生产线项目。</w:t>
                  </w:r>
                </w:p>
              </w:tc>
              <w:tc>
                <w:tcPr>
                  <w:tcW w:w="3225" w:type="dxa"/>
                  <w:vAlign w:val="center"/>
                </w:tcPr>
                <w:p w14:paraId="0968972F">
                  <w:pPr>
                    <w:pStyle w:val="72"/>
                    <w:rPr>
                      <w:b w:val="0"/>
                      <w:color w:val="auto"/>
                    </w:rPr>
                  </w:pPr>
                  <w:r>
                    <w:rPr>
                      <w:b w:val="0"/>
                      <w:color w:val="auto"/>
                    </w:rPr>
                    <w:t>本项目位于云南寻甸产业园区金所片区金所组团内，不属于化工生产线项目。</w:t>
                  </w:r>
                </w:p>
              </w:tc>
              <w:tc>
                <w:tcPr>
                  <w:tcW w:w="510" w:type="dxa"/>
                  <w:vAlign w:val="center"/>
                </w:tcPr>
                <w:p w14:paraId="491243F2">
                  <w:pPr>
                    <w:pStyle w:val="72"/>
                    <w:rPr>
                      <w:b w:val="0"/>
                      <w:color w:val="auto"/>
                    </w:rPr>
                  </w:pPr>
                  <w:r>
                    <w:rPr>
                      <w:b w:val="0"/>
                      <w:color w:val="auto"/>
                    </w:rPr>
                    <w:t>符合</w:t>
                  </w:r>
                </w:p>
              </w:tc>
            </w:tr>
            <w:tr w14:paraId="2789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74B79C9B">
                  <w:pPr>
                    <w:adjustRightInd w:val="0"/>
                    <w:snapToGrid w:val="0"/>
                    <w:jc w:val="center"/>
                    <w:rPr>
                      <w:szCs w:val="21"/>
                    </w:rPr>
                  </w:pPr>
                </w:p>
              </w:tc>
              <w:tc>
                <w:tcPr>
                  <w:tcW w:w="586" w:type="dxa"/>
                  <w:vAlign w:val="center"/>
                </w:tcPr>
                <w:p w14:paraId="71B514F8">
                  <w:pPr>
                    <w:pStyle w:val="72"/>
                    <w:rPr>
                      <w:b w:val="0"/>
                      <w:color w:val="auto"/>
                    </w:rPr>
                  </w:pPr>
                  <w:r>
                    <w:rPr>
                      <w:b w:val="0"/>
                      <w:color w:val="auto"/>
                    </w:rPr>
                    <w:t>生物医药</w:t>
                  </w:r>
                </w:p>
              </w:tc>
              <w:tc>
                <w:tcPr>
                  <w:tcW w:w="3375" w:type="dxa"/>
                  <w:vAlign w:val="center"/>
                </w:tcPr>
                <w:p w14:paraId="07D0EE84">
                  <w:pPr>
                    <w:pStyle w:val="72"/>
                    <w:rPr>
                      <w:b w:val="0"/>
                      <w:color w:val="auto"/>
                    </w:rPr>
                  </w:pPr>
                  <w:r>
                    <w:rPr>
                      <w:b w:val="0"/>
                      <w:color w:val="auto"/>
                    </w:rPr>
                    <w:t>满足《云南省“十四五”生物医药产业创新发展规划要求》。</w:t>
                  </w:r>
                </w:p>
              </w:tc>
              <w:tc>
                <w:tcPr>
                  <w:tcW w:w="3225" w:type="dxa"/>
                  <w:vAlign w:val="center"/>
                </w:tcPr>
                <w:p w14:paraId="0531ED52">
                  <w:pPr>
                    <w:pStyle w:val="72"/>
                    <w:rPr>
                      <w:b w:val="0"/>
                      <w:color w:val="auto"/>
                    </w:rPr>
                  </w:pPr>
                  <w:r>
                    <w:rPr>
                      <w:b w:val="0"/>
                      <w:color w:val="auto"/>
                    </w:rPr>
                    <w:t>本项目不属于生物医疗项目，不涉及该条内容。</w:t>
                  </w:r>
                </w:p>
              </w:tc>
              <w:tc>
                <w:tcPr>
                  <w:tcW w:w="510" w:type="dxa"/>
                  <w:vAlign w:val="center"/>
                </w:tcPr>
                <w:p w14:paraId="08FCD215">
                  <w:pPr>
                    <w:pStyle w:val="72"/>
                    <w:rPr>
                      <w:b w:val="0"/>
                      <w:color w:val="auto"/>
                    </w:rPr>
                  </w:pPr>
                  <w:r>
                    <w:rPr>
                      <w:b w:val="0"/>
                      <w:color w:val="auto"/>
                    </w:rPr>
                    <w:t>符合</w:t>
                  </w:r>
                </w:p>
              </w:tc>
            </w:tr>
          </w:tbl>
          <w:p w14:paraId="3432AB85">
            <w:pPr>
              <w:spacing w:line="360" w:lineRule="auto"/>
              <w:ind w:firstLine="480" w:firstLineChars="200"/>
              <w:jc w:val="left"/>
              <w:rPr>
                <w:sz w:val="24"/>
                <w:lang w:val="zh-CN"/>
              </w:rPr>
            </w:pPr>
            <w:r>
              <w:rPr>
                <w:sz w:val="24"/>
              </w:rPr>
              <w:t>根据上表分析，本项目不属于园区环境准入负面清单规定的范围内，符合环境准入负面清单要求</w:t>
            </w:r>
            <w:r>
              <w:rPr>
                <w:rFonts w:hint="eastAsia"/>
                <w:sz w:val="24"/>
              </w:rPr>
              <w:t>。</w:t>
            </w:r>
          </w:p>
          <w:p w14:paraId="493A938B">
            <w:pPr>
              <w:adjustRightInd w:val="0"/>
              <w:snapToGrid w:val="0"/>
              <w:spacing w:line="360" w:lineRule="auto"/>
              <w:ind w:firstLine="482" w:firstLineChars="200"/>
              <w:rPr>
                <w:sz w:val="24"/>
              </w:rPr>
            </w:pPr>
            <w:r>
              <w:rPr>
                <w:b/>
                <w:sz w:val="24"/>
              </w:rPr>
              <w:t>（3）本项目与规划环评审查意见（昆环审[2023]5号）的符合性分析</w:t>
            </w:r>
          </w:p>
          <w:p w14:paraId="553C94E7">
            <w:pPr>
              <w:adjustRightInd w:val="0"/>
              <w:snapToGrid w:val="0"/>
              <w:spacing w:line="360" w:lineRule="auto"/>
              <w:ind w:firstLine="480" w:firstLineChars="200"/>
              <w:rPr>
                <w:sz w:val="24"/>
                <w:lang w:val="zh-CN"/>
              </w:rPr>
            </w:pPr>
            <w:r>
              <w:rPr>
                <w:sz w:val="24"/>
              </w:rPr>
              <w:t>项目与规划环评审查意见</w:t>
            </w:r>
            <w:r>
              <w:rPr>
                <w:sz w:val="24"/>
                <w:lang w:val="zh-CN"/>
              </w:rPr>
              <w:t>对照情况如下：</w:t>
            </w:r>
          </w:p>
          <w:p w14:paraId="4970A85E">
            <w:pPr>
              <w:pStyle w:val="56"/>
            </w:pPr>
            <w:r>
              <w:t>表1-4  与审查意见相符性分析</w:t>
            </w:r>
          </w:p>
          <w:tbl>
            <w:tblPr>
              <w:tblStyle w:val="23"/>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3141"/>
              <w:gridCol w:w="690"/>
            </w:tblGrid>
            <w:tr w14:paraId="26C9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1FC216F0">
                  <w:pPr>
                    <w:jc w:val="center"/>
                    <w:rPr>
                      <w:b/>
                      <w:bCs/>
                      <w:szCs w:val="21"/>
                    </w:rPr>
                  </w:pPr>
                  <w:r>
                    <w:rPr>
                      <w:b/>
                      <w:bCs/>
                      <w:szCs w:val="21"/>
                    </w:rPr>
                    <w:t>审查意见提出要求</w:t>
                  </w:r>
                </w:p>
              </w:tc>
              <w:tc>
                <w:tcPr>
                  <w:tcW w:w="3141" w:type="dxa"/>
                  <w:vAlign w:val="center"/>
                </w:tcPr>
                <w:p w14:paraId="64AFCE56">
                  <w:pPr>
                    <w:jc w:val="center"/>
                    <w:rPr>
                      <w:b/>
                      <w:bCs/>
                      <w:szCs w:val="21"/>
                    </w:rPr>
                  </w:pPr>
                  <w:r>
                    <w:rPr>
                      <w:b/>
                      <w:bCs/>
                      <w:szCs w:val="21"/>
                    </w:rPr>
                    <w:t>本项目情况</w:t>
                  </w:r>
                </w:p>
              </w:tc>
              <w:tc>
                <w:tcPr>
                  <w:tcW w:w="690" w:type="dxa"/>
                  <w:vAlign w:val="center"/>
                </w:tcPr>
                <w:p w14:paraId="2C1F6065">
                  <w:pPr>
                    <w:jc w:val="center"/>
                    <w:rPr>
                      <w:b/>
                      <w:bCs/>
                      <w:szCs w:val="21"/>
                    </w:rPr>
                  </w:pPr>
                  <w:r>
                    <w:rPr>
                      <w:b/>
                      <w:bCs/>
                      <w:szCs w:val="21"/>
                    </w:rPr>
                    <w:t>相符性</w:t>
                  </w:r>
                </w:p>
              </w:tc>
            </w:tr>
            <w:tr w14:paraId="7C03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5E2D037F">
                  <w:pPr>
                    <w:rPr>
                      <w:szCs w:val="21"/>
                    </w:rPr>
                  </w:pPr>
                  <w:r>
                    <w:rPr>
                      <w:szCs w:val="21"/>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05C8E581">
                  <w:pPr>
                    <w:rPr>
                      <w:szCs w:val="21"/>
                    </w:rPr>
                  </w:pPr>
                  <w:r>
                    <w:rPr>
                      <w:szCs w:val="21"/>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14:paraId="5E7DEB22">
                  <w:pPr>
                    <w:rPr>
                      <w:szCs w:val="21"/>
                    </w:rPr>
                  </w:pPr>
                  <w:r>
                    <w:rPr>
                      <w:szCs w:val="21"/>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315B7102">
                  <w:pPr>
                    <w:rPr>
                      <w:szCs w:val="21"/>
                    </w:rPr>
                  </w:pPr>
                  <w:r>
                    <w:rPr>
                      <w:szCs w:val="21"/>
                    </w:rPr>
                    <w:t>将土壤污染防治工作纳入园区规划及相关生态环境保护规划，采取有效预防措施，防止、减少土壤污染，确保满足土壤环境管控要求。</w:t>
                  </w:r>
                </w:p>
              </w:tc>
              <w:tc>
                <w:tcPr>
                  <w:tcW w:w="3141" w:type="dxa"/>
                  <w:vAlign w:val="center"/>
                </w:tcPr>
                <w:p w14:paraId="4A513C56">
                  <w:pPr>
                    <w:pStyle w:val="72"/>
                    <w:jc w:val="both"/>
                    <w:rPr>
                      <w:b w:val="0"/>
                      <w:bCs/>
                      <w:color w:val="auto"/>
                    </w:rPr>
                  </w:pPr>
                  <w:r>
                    <w:rPr>
                      <w:b w:val="0"/>
                      <w:color w:val="auto"/>
                    </w:rPr>
                    <w:t>本项目</w:t>
                  </w:r>
                  <w:r>
                    <w:rPr>
                      <w:rFonts w:hint="eastAsia"/>
                      <w:b w:val="0"/>
                      <w:color w:val="auto"/>
                    </w:rPr>
                    <w:t>生产过程中废水全部回用不外排</w:t>
                  </w:r>
                  <w:r>
                    <w:rPr>
                      <w:b w:val="0"/>
                      <w:color w:val="auto"/>
                    </w:rPr>
                    <w:t>；</w:t>
                  </w:r>
                  <w:r>
                    <w:rPr>
                      <w:rFonts w:hint="eastAsia"/>
                      <w:b w:val="0"/>
                      <w:color w:val="auto"/>
                    </w:rPr>
                    <w:t>员工不在项目区食宿，办公生活和如厕依托云南建工云岭水泥有限公司已建的设施，生活污水依托已建的污水处理设施进行处理。</w:t>
                  </w:r>
                  <w:r>
                    <w:rPr>
                      <w:b w:val="0"/>
                      <w:bCs/>
                      <w:color w:val="auto"/>
                    </w:rPr>
                    <w:t>本项目</w:t>
                  </w:r>
                  <w:r>
                    <w:rPr>
                      <w:rFonts w:hint="eastAsia"/>
                      <w:b w:val="0"/>
                      <w:bCs/>
                      <w:color w:val="auto"/>
                    </w:rPr>
                    <w:t>为有机肥生产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 w:val="0"/>
                      <w:bCs/>
                      <w:color w:val="auto"/>
                    </w:rPr>
                    <w:t>项目采取的污染治理措施可有效减少主要污染物等特征污染物的排放总量，能够确保区域环境质量得到改善。</w:t>
                  </w:r>
                </w:p>
                <w:p w14:paraId="2E1ADA7D">
                  <w:pPr>
                    <w:jc w:val="center"/>
                    <w:rPr>
                      <w:szCs w:val="21"/>
                    </w:rPr>
                  </w:pPr>
                  <w:r>
                    <w:rPr>
                      <w:szCs w:val="21"/>
                    </w:rPr>
                    <w:t>本项目的建设符合国家和云南省有关地下水、土壤污染防治措施及相关要求。本项目使用自来水，不抽取地下水；严格执行土壤及生态保护措施。</w:t>
                  </w:r>
                </w:p>
              </w:tc>
              <w:tc>
                <w:tcPr>
                  <w:tcW w:w="690" w:type="dxa"/>
                  <w:vAlign w:val="center"/>
                </w:tcPr>
                <w:p w14:paraId="18626B57">
                  <w:pPr>
                    <w:jc w:val="center"/>
                    <w:rPr>
                      <w:szCs w:val="21"/>
                    </w:rPr>
                  </w:pPr>
                  <w:r>
                    <w:rPr>
                      <w:szCs w:val="21"/>
                    </w:rPr>
                    <w:t>相符</w:t>
                  </w:r>
                </w:p>
              </w:tc>
            </w:tr>
            <w:tr w14:paraId="0275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1A53E90C">
                  <w:pPr>
                    <w:jc w:val="center"/>
                    <w:rPr>
                      <w:szCs w:val="21"/>
                    </w:rPr>
                  </w:pPr>
                  <w:r>
                    <w:rPr>
                      <w:szCs w:val="21"/>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41" w:type="dxa"/>
                  <w:vAlign w:val="center"/>
                </w:tcPr>
                <w:p w14:paraId="282A7229">
                  <w:pPr>
                    <w:jc w:val="center"/>
                    <w:rPr>
                      <w:szCs w:val="21"/>
                    </w:rPr>
                  </w:pPr>
                  <w:r>
                    <w:rPr>
                      <w:szCs w:val="21"/>
                    </w:rPr>
                    <w:t>本项目</w:t>
                  </w:r>
                  <w:r>
                    <w:rPr>
                      <w:rFonts w:hint="eastAsia"/>
                      <w:szCs w:val="21"/>
                    </w:rPr>
                    <w:t>产生的废机油暂存于危废暂存库，危废暂存库按照环境风险相关要求进行防范建设。项目</w:t>
                  </w:r>
                  <w:r>
                    <w:rPr>
                      <w:szCs w:val="21"/>
                    </w:rPr>
                    <w:t>不属于煤、磷盐化工企业，在采取相应的措施后，环境风险能达可接受水平。</w:t>
                  </w:r>
                </w:p>
              </w:tc>
              <w:tc>
                <w:tcPr>
                  <w:tcW w:w="690" w:type="dxa"/>
                  <w:vAlign w:val="center"/>
                </w:tcPr>
                <w:p w14:paraId="619E64B0">
                  <w:pPr>
                    <w:jc w:val="center"/>
                    <w:rPr>
                      <w:szCs w:val="21"/>
                    </w:rPr>
                  </w:pPr>
                  <w:r>
                    <w:rPr>
                      <w:szCs w:val="21"/>
                    </w:rPr>
                    <w:t>相符</w:t>
                  </w:r>
                </w:p>
              </w:tc>
            </w:tr>
            <w:tr w14:paraId="6151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5E8727F6">
                  <w:pPr>
                    <w:jc w:val="center"/>
                    <w:rPr>
                      <w:szCs w:val="21"/>
                    </w:rPr>
                  </w:pPr>
                  <w:r>
                    <w:rPr>
                      <w:szCs w:val="21"/>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子以简化。</w:t>
                  </w:r>
                </w:p>
              </w:tc>
              <w:tc>
                <w:tcPr>
                  <w:tcW w:w="3141" w:type="dxa"/>
                  <w:vAlign w:val="center"/>
                </w:tcPr>
                <w:p w14:paraId="493003EF">
                  <w:pPr>
                    <w:jc w:val="center"/>
                    <w:rPr>
                      <w:szCs w:val="21"/>
                    </w:rPr>
                  </w:pPr>
                  <w:r>
                    <w:rPr>
                      <w:szCs w:val="21"/>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690" w:type="dxa"/>
                  <w:vAlign w:val="center"/>
                </w:tcPr>
                <w:p w14:paraId="7FE10A47">
                  <w:pPr>
                    <w:jc w:val="center"/>
                    <w:rPr>
                      <w:szCs w:val="21"/>
                    </w:rPr>
                  </w:pPr>
                  <w:r>
                    <w:rPr>
                      <w:szCs w:val="21"/>
                    </w:rPr>
                    <w:t>相符</w:t>
                  </w:r>
                </w:p>
              </w:tc>
            </w:tr>
          </w:tbl>
          <w:p w14:paraId="27885E9C">
            <w:pPr>
              <w:autoSpaceDE w:val="0"/>
              <w:autoSpaceDN w:val="0"/>
              <w:adjustRightInd w:val="0"/>
              <w:snapToGrid w:val="0"/>
              <w:spacing w:line="360" w:lineRule="auto"/>
              <w:ind w:firstLine="480" w:firstLineChars="200"/>
              <w:rPr>
                <w:kern w:val="0"/>
                <w:szCs w:val="21"/>
              </w:rPr>
            </w:pPr>
            <w:r>
              <w:rPr>
                <w:sz w:val="24"/>
              </w:rPr>
              <w:t>综上所述，项目建设与《云南寻甸产业园区总体规划修编（2021-2035）环境影响报告书》及审查意见的函（昆环审[2023]5号）</w:t>
            </w:r>
            <w:r>
              <w:rPr>
                <w:rFonts w:hint="eastAsia"/>
                <w:sz w:val="24"/>
              </w:rPr>
              <w:t>不冲突</w:t>
            </w:r>
            <w:r>
              <w:rPr>
                <w:sz w:val="24"/>
              </w:rPr>
              <w:t>。</w:t>
            </w:r>
          </w:p>
        </w:tc>
      </w:tr>
      <w:tr w14:paraId="6472C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418B12BB">
            <w:pPr>
              <w:autoSpaceDE w:val="0"/>
              <w:autoSpaceDN w:val="0"/>
              <w:adjustRightInd w:val="0"/>
              <w:snapToGrid w:val="0"/>
              <w:spacing w:line="360" w:lineRule="auto"/>
              <w:jc w:val="center"/>
              <w:rPr>
                <w:kern w:val="0"/>
                <w:sz w:val="24"/>
              </w:rPr>
            </w:pPr>
            <w:r>
              <w:rPr>
                <w:kern w:val="0"/>
                <w:sz w:val="24"/>
              </w:rPr>
              <w:t>其他符合性分析</w:t>
            </w:r>
          </w:p>
        </w:tc>
        <w:tc>
          <w:tcPr>
            <w:tcW w:w="8371" w:type="dxa"/>
            <w:gridSpan w:val="4"/>
            <w:vAlign w:val="center"/>
          </w:tcPr>
          <w:p w14:paraId="35FB2F51">
            <w:pPr>
              <w:autoSpaceDE w:val="0"/>
              <w:autoSpaceDN w:val="0"/>
              <w:adjustRightInd w:val="0"/>
              <w:snapToGrid w:val="0"/>
              <w:spacing w:line="360" w:lineRule="auto"/>
              <w:ind w:firstLine="482" w:firstLineChars="200"/>
              <w:rPr>
                <w:b/>
                <w:bCs/>
                <w:kern w:val="0"/>
                <w:sz w:val="24"/>
              </w:rPr>
            </w:pPr>
            <w:r>
              <w:rPr>
                <w:rFonts w:hint="eastAsia"/>
                <w:b/>
                <w:bCs/>
                <w:kern w:val="0"/>
                <w:sz w:val="24"/>
              </w:rPr>
              <w:t>1、产业政策符合性分析</w:t>
            </w:r>
          </w:p>
          <w:p w14:paraId="1E1D6626">
            <w:pPr>
              <w:spacing w:line="360" w:lineRule="auto"/>
              <w:ind w:firstLine="482"/>
              <w:rPr>
                <w:bCs/>
                <w:sz w:val="24"/>
              </w:rPr>
            </w:pPr>
            <w:r>
              <w:rPr>
                <w:bCs/>
                <w:sz w:val="24"/>
              </w:rPr>
              <w:t>本项目为</w:t>
            </w:r>
            <w:r>
              <w:rPr>
                <w:rFonts w:hint="eastAsia"/>
                <w:sz w:val="24"/>
              </w:rPr>
              <w:t>一般工业固体废物综合利用</w:t>
            </w:r>
            <w:r>
              <w:rPr>
                <w:bCs/>
                <w:sz w:val="24"/>
              </w:rPr>
              <w:t>，根据《产业结构调整指导目录（2024年版）》，本项目属于“鼓励类”中“四十二、环境保护与资源节约综合利用—8.废弃物循环利用”。</w:t>
            </w:r>
          </w:p>
          <w:p w14:paraId="32480218">
            <w:pPr>
              <w:spacing w:line="360" w:lineRule="auto"/>
              <w:ind w:firstLine="482"/>
              <w:rPr>
                <w:bCs/>
                <w:sz w:val="24"/>
              </w:rPr>
            </w:pPr>
            <w:r>
              <w:rPr>
                <w:bCs/>
                <w:sz w:val="24"/>
              </w:rPr>
              <w:t>此外，本项目于</w:t>
            </w:r>
            <w:r>
              <w:rPr>
                <w:rFonts w:hint="eastAsia"/>
                <w:bCs/>
                <w:sz w:val="24"/>
              </w:rPr>
              <w:t>2025年10月24日</w:t>
            </w:r>
            <w:r>
              <w:rPr>
                <w:bCs/>
                <w:sz w:val="24"/>
              </w:rPr>
              <w:t>取得</w:t>
            </w:r>
            <w:r>
              <w:rPr>
                <w:sz w:val="24"/>
              </w:rPr>
              <w:t>寻甸县发展和改革局</w:t>
            </w:r>
            <w:r>
              <w:rPr>
                <w:bCs/>
                <w:sz w:val="24"/>
              </w:rPr>
              <w:t>审批通过的《云南省固定资产投资项目备案证》，项目代码：</w:t>
            </w:r>
            <w:r>
              <w:rPr>
                <w:rFonts w:hint="eastAsia"/>
                <w:sz w:val="24"/>
              </w:rPr>
              <w:t>2510-530129-04-01-685356</w:t>
            </w:r>
            <w:r>
              <w:rPr>
                <w:bCs/>
                <w:sz w:val="24"/>
              </w:rPr>
              <w:t>，同意项目建设。</w:t>
            </w:r>
          </w:p>
          <w:p w14:paraId="079E117C">
            <w:pPr>
              <w:spacing w:line="360" w:lineRule="auto"/>
              <w:ind w:firstLine="482"/>
              <w:rPr>
                <w:bCs/>
                <w:sz w:val="24"/>
              </w:rPr>
            </w:pPr>
            <w:r>
              <w:rPr>
                <w:bCs/>
                <w:sz w:val="24"/>
              </w:rPr>
              <w:t>综上所述，本项目建设符合国家及当地现行的产业政策的要求。</w:t>
            </w:r>
          </w:p>
          <w:p w14:paraId="4C0A2A26">
            <w:pPr>
              <w:spacing w:line="360" w:lineRule="auto"/>
              <w:ind w:firstLine="482" w:firstLineChars="200"/>
              <w:rPr>
                <w:b/>
                <w:sz w:val="24"/>
              </w:rPr>
            </w:pPr>
            <w:bookmarkStart w:id="5" w:name="_Toc1839"/>
            <w:bookmarkStart w:id="6" w:name="_Toc11005"/>
            <w:bookmarkStart w:id="7" w:name="_Toc14631_WPSOffice_Level2"/>
            <w:r>
              <w:rPr>
                <w:rFonts w:hint="eastAsia"/>
                <w:b/>
                <w:sz w:val="24"/>
              </w:rPr>
              <w:t>2、</w:t>
            </w:r>
            <w:r>
              <w:rPr>
                <w:b/>
                <w:sz w:val="24"/>
              </w:rPr>
              <w:t>项目与《昆明市生态环境分区管控动态更新方案（2023年）》的相符性分析</w:t>
            </w:r>
          </w:p>
          <w:p w14:paraId="3425EAEF">
            <w:pPr>
              <w:spacing w:line="360" w:lineRule="auto"/>
              <w:ind w:firstLine="480" w:firstLineChars="200"/>
            </w:pPr>
            <w:r>
              <w:rPr>
                <w:bCs/>
                <w:sz w:val="24"/>
              </w:rPr>
              <w:t>2024年11月12日，昆明市生态环境局发布了《昆明市生态环境分区管控动态更新方案（2023年）》的通知，本项目位于云南寻甸产业园区重点管控单元，与《昆明市生态环境分区管控动态更新方案（2023年）》的相符性分析内容详见下表：</w:t>
            </w:r>
          </w:p>
          <w:p w14:paraId="3932E44E">
            <w:pPr>
              <w:pStyle w:val="56"/>
            </w:pPr>
            <w:bookmarkStart w:id="8" w:name="_Toc2480"/>
            <w:r>
              <w:t>表1-5  项目与</w:t>
            </w:r>
            <w:r>
              <w:rPr>
                <w:rFonts w:hint="eastAsia"/>
              </w:rPr>
              <w:t>昆明市生态环境分区管控动态更新方案</w:t>
            </w:r>
            <w:r>
              <w:t>相符性分析</w:t>
            </w:r>
            <w:bookmarkEnd w:id="8"/>
          </w:p>
          <w:tbl>
            <w:tblPr>
              <w:tblStyle w:val="23"/>
              <w:tblW w:w="499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
            <w:tblGrid>
              <w:gridCol w:w="407"/>
              <w:gridCol w:w="711"/>
              <w:gridCol w:w="434"/>
              <w:gridCol w:w="3094"/>
              <w:gridCol w:w="2765"/>
              <w:gridCol w:w="722"/>
            </w:tblGrid>
            <w:tr w14:paraId="5E3E75D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87" w:type="pct"/>
                  <w:gridSpan w:val="2"/>
                  <w:tcBorders>
                    <w:tl2br w:val="nil"/>
                    <w:tr2bl w:val="nil"/>
                  </w:tcBorders>
                  <w:vAlign w:val="center"/>
                </w:tcPr>
                <w:p w14:paraId="6DBBA4EA">
                  <w:pPr>
                    <w:pStyle w:val="72"/>
                    <w:rPr>
                      <w:b w:val="0"/>
                      <w:color w:val="auto"/>
                    </w:rPr>
                  </w:pPr>
                  <w:r>
                    <w:rPr>
                      <w:b w:val="0"/>
                      <w:color w:val="auto"/>
                    </w:rPr>
                    <w:t>类别</w:t>
                  </w:r>
                </w:p>
              </w:tc>
              <w:tc>
                <w:tcPr>
                  <w:tcW w:w="2168" w:type="pct"/>
                  <w:gridSpan w:val="2"/>
                  <w:tcBorders>
                    <w:tl2br w:val="nil"/>
                    <w:tr2bl w:val="nil"/>
                  </w:tcBorders>
                  <w:vAlign w:val="center"/>
                </w:tcPr>
                <w:p w14:paraId="7BC00592">
                  <w:pPr>
                    <w:pStyle w:val="72"/>
                    <w:rPr>
                      <w:b w:val="0"/>
                      <w:color w:val="auto"/>
                    </w:rPr>
                  </w:pPr>
                  <w:r>
                    <w:rPr>
                      <w:b w:val="0"/>
                      <w:color w:val="auto"/>
                    </w:rPr>
                    <w:t>文件要求</w:t>
                  </w:r>
                </w:p>
              </w:tc>
              <w:tc>
                <w:tcPr>
                  <w:tcW w:w="1699" w:type="pct"/>
                  <w:tcBorders>
                    <w:tl2br w:val="nil"/>
                    <w:tr2bl w:val="nil"/>
                  </w:tcBorders>
                  <w:vAlign w:val="center"/>
                </w:tcPr>
                <w:p w14:paraId="7406EC0A">
                  <w:pPr>
                    <w:pStyle w:val="72"/>
                    <w:rPr>
                      <w:b w:val="0"/>
                      <w:color w:val="auto"/>
                    </w:rPr>
                  </w:pPr>
                  <w:r>
                    <w:rPr>
                      <w:b w:val="0"/>
                      <w:color w:val="auto"/>
                    </w:rPr>
                    <w:t>相符性分析</w:t>
                  </w:r>
                </w:p>
              </w:tc>
              <w:tc>
                <w:tcPr>
                  <w:tcW w:w="444" w:type="pct"/>
                  <w:tcBorders>
                    <w:tl2br w:val="nil"/>
                    <w:tr2bl w:val="nil"/>
                  </w:tcBorders>
                  <w:vAlign w:val="center"/>
                </w:tcPr>
                <w:p w14:paraId="61B42519">
                  <w:pPr>
                    <w:pStyle w:val="72"/>
                    <w:rPr>
                      <w:b w:val="0"/>
                      <w:color w:val="auto"/>
                    </w:rPr>
                  </w:pPr>
                  <w:r>
                    <w:rPr>
                      <w:b w:val="0"/>
                      <w:color w:val="auto"/>
                    </w:rPr>
                    <w:t>符合性</w:t>
                  </w:r>
                </w:p>
              </w:tc>
            </w:tr>
            <w:tr w14:paraId="5F4C49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687" w:type="pct"/>
                  <w:gridSpan w:val="2"/>
                  <w:tcBorders>
                    <w:tl2br w:val="nil"/>
                    <w:tr2bl w:val="nil"/>
                  </w:tcBorders>
                  <w:vAlign w:val="center"/>
                </w:tcPr>
                <w:p w14:paraId="42D2B093">
                  <w:pPr>
                    <w:pStyle w:val="72"/>
                    <w:rPr>
                      <w:b w:val="0"/>
                      <w:color w:val="auto"/>
                    </w:rPr>
                  </w:pPr>
                  <w:r>
                    <w:rPr>
                      <w:b w:val="0"/>
                      <w:color w:val="auto"/>
                    </w:rPr>
                    <w:t>生态保护红线和一般生态空间更新结果</w:t>
                  </w:r>
                </w:p>
              </w:tc>
              <w:tc>
                <w:tcPr>
                  <w:tcW w:w="2168" w:type="pct"/>
                  <w:gridSpan w:val="2"/>
                  <w:tcBorders>
                    <w:tl2br w:val="nil"/>
                    <w:tr2bl w:val="nil"/>
                  </w:tcBorders>
                  <w:vAlign w:val="center"/>
                </w:tcPr>
                <w:p w14:paraId="73C6D774">
                  <w:pPr>
                    <w:pStyle w:val="72"/>
                    <w:rPr>
                      <w:b w:val="0"/>
                      <w:color w:val="auto"/>
                    </w:rPr>
                  </w:pPr>
                  <w:r>
                    <w:rPr>
                      <w:b w:val="0"/>
                      <w:color w:val="auto"/>
                    </w:rPr>
                    <w:t>更新后，生态保护红线全面与《昆明市国土空间总体规划（2021-2035年）》衔接，全市生态保护红线面积4274.70km</w:t>
                  </w:r>
                  <w:r>
                    <w:rPr>
                      <w:b w:val="0"/>
                      <w:color w:val="auto"/>
                      <w:vertAlign w:val="superscript"/>
                    </w:rPr>
                    <w:t>2</w:t>
                  </w:r>
                  <w:r>
                    <w:rPr>
                      <w:b w:val="0"/>
                      <w:color w:val="auto"/>
                    </w:rPr>
                    <w:t>，占全市国土面积的20.34%，较原有面积占比减少1.85%。全市一般生态空间面积5151.56km</w:t>
                  </w:r>
                  <w:r>
                    <w:rPr>
                      <w:b w:val="0"/>
                      <w:color w:val="auto"/>
                      <w:vertAlign w:val="superscript"/>
                    </w:rPr>
                    <w:t>2</w:t>
                  </w:r>
                  <w:r>
                    <w:rPr>
                      <w:b w:val="0"/>
                      <w:color w:val="auto"/>
                    </w:rPr>
                    <w:t>，占国土空间面积的24.37%，较原有面积占比增加2.45%。</w:t>
                  </w:r>
                </w:p>
              </w:tc>
              <w:tc>
                <w:tcPr>
                  <w:tcW w:w="1699" w:type="pct"/>
                  <w:tcBorders>
                    <w:tl2br w:val="nil"/>
                    <w:tr2bl w:val="nil"/>
                  </w:tcBorders>
                  <w:vAlign w:val="center"/>
                </w:tcPr>
                <w:p w14:paraId="331849E2">
                  <w:pPr>
                    <w:pStyle w:val="72"/>
                    <w:rPr>
                      <w:b w:val="0"/>
                      <w:color w:val="auto"/>
                    </w:rPr>
                  </w:pPr>
                  <w:r>
                    <w:rPr>
                      <w:b w:val="0"/>
                      <w:color w:val="auto"/>
                    </w:rPr>
                    <w:t>经</w:t>
                  </w:r>
                  <w:r>
                    <w:rPr>
                      <w:b w:val="0"/>
                      <w:color w:val="auto"/>
                      <w:lang w:val="zh-CN"/>
                    </w:rPr>
                    <w:t>查阅《云南寻甸产业园区总体规划修编（2021-2035）环境影响报告书》可知</w:t>
                  </w:r>
                  <w:r>
                    <w:rPr>
                      <w:rFonts w:hint="eastAsia"/>
                      <w:b w:val="0"/>
                      <w:color w:val="auto"/>
                      <w:lang w:val="zh-CN"/>
                    </w:rPr>
                    <w:t>（</w:t>
                  </w:r>
                  <w:r>
                    <w:rPr>
                      <w:rFonts w:hint="eastAsia"/>
                      <w:b w:val="0"/>
                      <w:color w:val="auto"/>
                    </w:rPr>
                    <w:t>见附图5</w:t>
                  </w:r>
                  <w:r>
                    <w:rPr>
                      <w:rFonts w:hint="eastAsia"/>
                      <w:b w:val="0"/>
                      <w:color w:val="auto"/>
                      <w:lang w:val="zh-CN"/>
                    </w:rPr>
                    <w:t>）</w:t>
                  </w:r>
                  <w:r>
                    <w:rPr>
                      <w:b w:val="0"/>
                      <w:color w:val="auto"/>
                      <w:lang w:val="zh-CN"/>
                    </w:rPr>
                    <w:t>，项目位于</w:t>
                  </w:r>
                  <w:r>
                    <w:rPr>
                      <w:b w:val="0"/>
                      <w:color w:val="auto"/>
                    </w:rPr>
                    <w:t>云南寻甸产业园区金所片区金所组团内</w:t>
                  </w:r>
                  <w:r>
                    <w:rPr>
                      <w:b w:val="0"/>
                      <w:color w:val="auto"/>
                      <w:lang w:val="zh-CN"/>
                    </w:rPr>
                    <w:t>，属规划的工业用地，不在生态红线范围内，项目符合生态保护红线的相关要求。</w:t>
                  </w:r>
                </w:p>
              </w:tc>
              <w:tc>
                <w:tcPr>
                  <w:tcW w:w="444" w:type="pct"/>
                  <w:tcBorders>
                    <w:tl2br w:val="nil"/>
                    <w:tr2bl w:val="nil"/>
                  </w:tcBorders>
                  <w:vAlign w:val="center"/>
                </w:tcPr>
                <w:p w14:paraId="466FFA9C">
                  <w:pPr>
                    <w:pStyle w:val="72"/>
                    <w:rPr>
                      <w:b w:val="0"/>
                      <w:color w:val="auto"/>
                    </w:rPr>
                  </w:pPr>
                  <w:r>
                    <w:rPr>
                      <w:b w:val="0"/>
                      <w:color w:val="auto"/>
                    </w:rPr>
                    <w:t>符合</w:t>
                  </w:r>
                </w:p>
              </w:tc>
            </w:tr>
            <w:tr w14:paraId="102360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restart"/>
                  <w:tcBorders>
                    <w:tl2br w:val="nil"/>
                    <w:tr2bl w:val="nil"/>
                  </w:tcBorders>
                  <w:vAlign w:val="center"/>
                </w:tcPr>
                <w:p w14:paraId="0CF7E795">
                  <w:pPr>
                    <w:pStyle w:val="72"/>
                    <w:rPr>
                      <w:b w:val="0"/>
                      <w:color w:val="auto"/>
                    </w:rPr>
                  </w:pPr>
                  <w:r>
                    <w:rPr>
                      <w:b w:val="0"/>
                      <w:color w:val="auto"/>
                    </w:rPr>
                    <w:t>环境质量底线</w:t>
                  </w:r>
                </w:p>
              </w:tc>
              <w:tc>
                <w:tcPr>
                  <w:tcW w:w="436" w:type="pct"/>
                  <w:tcBorders>
                    <w:tl2br w:val="nil"/>
                    <w:tr2bl w:val="nil"/>
                  </w:tcBorders>
                  <w:vAlign w:val="center"/>
                </w:tcPr>
                <w:p w14:paraId="0DB98C60">
                  <w:pPr>
                    <w:pStyle w:val="72"/>
                    <w:rPr>
                      <w:b w:val="0"/>
                      <w:color w:val="auto"/>
                    </w:rPr>
                  </w:pPr>
                  <w:r>
                    <w:rPr>
                      <w:rFonts w:hint="eastAsia"/>
                      <w:b w:val="0"/>
                      <w:color w:val="auto"/>
                    </w:rPr>
                    <w:t>水</w:t>
                  </w:r>
                  <w:r>
                    <w:rPr>
                      <w:b w:val="0"/>
                      <w:color w:val="auto"/>
                    </w:rPr>
                    <w:t>环境质量</w:t>
                  </w:r>
                  <w:r>
                    <w:rPr>
                      <w:rFonts w:hint="eastAsia"/>
                      <w:b w:val="0"/>
                      <w:color w:val="auto"/>
                    </w:rPr>
                    <w:t>底线</w:t>
                  </w:r>
                </w:p>
              </w:tc>
              <w:tc>
                <w:tcPr>
                  <w:tcW w:w="2168" w:type="pct"/>
                  <w:gridSpan w:val="2"/>
                  <w:tcBorders>
                    <w:tl2br w:val="nil"/>
                    <w:tr2bl w:val="nil"/>
                  </w:tcBorders>
                  <w:vAlign w:val="center"/>
                </w:tcPr>
                <w:p w14:paraId="4C401736">
                  <w:pPr>
                    <w:pStyle w:val="72"/>
                    <w:rPr>
                      <w:b w:val="0"/>
                      <w:color w:val="auto"/>
                    </w:rPr>
                  </w:pPr>
                  <w:r>
                    <w:rPr>
                      <w:b w:val="0"/>
                      <w:color w:val="auto"/>
                    </w:rPr>
                    <w:t>到2025年，昆明市地表水国控断面达到或好于Ⅲ类水体比例应达到81.5%，45个省控断面达到或好于Ⅲ类水体比例应达到80%，劣V类水体全面消除，县级及以上集中式饮用水水源地水质达标率100%。</w:t>
                  </w:r>
                </w:p>
              </w:tc>
              <w:tc>
                <w:tcPr>
                  <w:tcW w:w="1699" w:type="pct"/>
                  <w:tcBorders>
                    <w:tl2br w:val="nil"/>
                    <w:tr2bl w:val="nil"/>
                  </w:tcBorders>
                  <w:vAlign w:val="center"/>
                </w:tcPr>
                <w:p w14:paraId="776A2E3D">
                  <w:pPr>
                    <w:pStyle w:val="72"/>
                    <w:rPr>
                      <w:b w:val="0"/>
                      <w:color w:val="auto"/>
                    </w:rPr>
                  </w:pPr>
                  <w:r>
                    <w:rPr>
                      <w:b w:val="0"/>
                      <w:color w:val="auto"/>
                    </w:rPr>
                    <w:t>本项目距离最近的地表水体为</w:t>
                  </w:r>
                  <w:r>
                    <w:rPr>
                      <w:rFonts w:hint="eastAsia"/>
                      <w:b w:val="0"/>
                      <w:color w:val="auto"/>
                    </w:rPr>
                    <w:t>北侧1200m处的谓所河</w:t>
                  </w:r>
                  <w:r>
                    <w:rPr>
                      <w:b w:val="0"/>
                      <w:color w:val="auto"/>
                    </w:rPr>
                    <w:t>，属牛栏江</w:t>
                  </w:r>
                  <w:r>
                    <w:rPr>
                      <w:rFonts w:hint="eastAsia"/>
                      <w:b w:val="0"/>
                      <w:color w:val="auto"/>
                    </w:rPr>
                    <w:t>流域</w:t>
                  </w:r>
                  <w:r>
                    <w:rPr>
                      <w:b w:val="0"/>
                      <w:color w:val="auto"/>
                    </w:rPr>
                    <w:t>。</w:t>
                  </w:r>
                  <w:r>
                    <w:rPr>
                      <w:rFonts w:hint="eastAsia"/>
                      <w:b w:val="0"/>
                      <w:color w:val="auto"/>
                    </w:rPr>
                    <w:t>三月三水库水质不能达到《地表水环境质量标准》（GB3838-2002）III类标准要求，超标主要原因为周边部分生活污水直接排入三月三水库所致。根据“寻甸县2024年第一季度至第四季度环境质量公报”显示：前进河哦嘎电站断面水质达到《地表水环境质量标准》（GB3838-2002）Ⅲ类水质量标准，能够满足水质目标要求。本项目产生的废水不外排，不会突破区域水环境质量底线。</w:t>
                  </w:r>
                </w:p>
              </w:tc>
              <w:tc>
                <w:tcPr>
                  <w:tcW w:w="444" w:type="pct"/>
                  <w:tcBorders>
                    <w:tl2br w:val="nil"/>
                    <w:tr2bl w:val="nil"/>
                  </w:tcBorders>
                  <w:vAlign w:val="center"/>
                </w:tcPr>
                <w:p w14:paraId="0B7C7D8E">
                  <w:pPr>
                    <w:pStyle w:val="72"/>
                    <w:rPr>
                      <w:b w:val="0"/>
                      <w:color w:val="auto"/>
                    </w:rPr>
                  </w:pPr>
                  <w:r>
                    <w:rPr>
                      <w:b w:val="0"/>
                      <w:color w:val="auto"/>
                    </w:rPr>
                    <w:t>符合</w:t>
                  </w:r>
                </w:p>
              </w:tc>
            </w:tr>
            <w:tr w14:paraId="5837719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73D5503F">
                  <w:pPr>
                    <w:pStyle w:val="72"/>
                    <w:rPr>
                      <w:b w:val="0"/>
                      <w:color w:val="auto"/>
                    </w:rPr>
                  </w:pPr>
                </w:p>
              </w:tc>
              <w:tc>
                <w:tcPr>
                  <w:tcW w:w="436" w:type="pct"/>
                  <w:tcBorders>
                    <w:tl2br w:val="nil"/>
                    <w:tr2bl w:val="nil"/>
                  </w:tcBorders>
                  <w:vAlign w:val="center"/>
                </w:tcPr>
                <w:p w14:paraId="3114AEDD">
                  <w:pPr>
                    <w:pStyle w:val="72"/>
                    <w:rPr>
                      <w:b w:val="0"/>
                      <w:color w:val="auto"/>
                    </w:rPr>
                  </w:pPr>
                  <w:r>
                    <w:rPr>
                      <w:b w:val="0"/>
                      <w:color w:val="auto"/>
                    </w:rPr>
                    <w:t>大气环境质量底线</w:t>
                  </w:r>
                </w:p>
              </w:tc>
              <w:tc>
                <w:tcPr>
                  <w:tcW w:w="2168" w:type="pct"/>
                  <w:gridSpan w:val="2"/>
                  <w:tcBorders>
                    <w:tl2br w:val="nil"/>
                    <w:tr2bl w:val="nil"/>
                  </w:tcBorders>
                  <w:vAlign w:val="center"/>
                </w:tcPr>
                <w:p w14:paraId="1CC3E3E4">
                  <w:pPr>
                    <w:pStyle w:val="72"/>
                    <w:rPr>
                      <w:b w:val="0"/>
                      <w:color w:val="auto"/>
                    </w:rPr>
                  </w:pPr>
                  <w:r>
                    <w:rPr>
                      <w:b w:val="0"/>
                      <w:color w:val="auto"/>
                    </w:rPr>
                    <w:t>到2025年，空气质量优良天数比率达99.1%，细颗粒物（PM</w:t>
                  </w:r>
                  <w:r>
                    <w:rPr>
                      <w:b w:val="0"/>
                      <w:color w:val="auto"/>
                      <w:vertAlign w:val="subscript"/>
                    </w:rPr>
                    <w:t>2.5</w:t>
                  </w:r>
                  <w:r>
                    <w:rPr>
                      <w:b w:val="0"/>
                      <w:color w:val="auto"/>
                    </w:rPr>
                    <w:t>）浓度不高于24微克/立方米，重污染天数为0。</w:t>
                  </w:r>
                </w:p>
              </w:tc>
              <w:tc>
                <w:tcPr>
                  <w:tcW w:w="1699" w:type="pct"/>
                  <w:tcBorders>
                    <w:tl2br w:val="nil"/>
                    <w:tr2bl w:val="nil"/>
                  </w:tcBorders>
                  <w:vAlign w:val="center"/>
                </w:tcPr>
                <w:p w14:paraId="7747E6F7">
                  <w:pPr>
                    <w:pStyle w:val="72"/>
                    <w:rPr>
                      <w:b w:val="0"/>
                      <w:color w:val="auto"/>
                    </w:rPr>
                  </w:pPr>
                  <w:r>
                    <w:rPr>
                      <w:b w:val="0"/>
                      <w:color w:val="auto"/>
                    </w:rPr>
                    <w:t>根据《2024年昆明市生态环境状况公报》，2024年昆明市主城区外所辖的8个县(市)、区环境空气质量总体保持良好，各项污染物平均浓度均达到二级标准，项目所在区域属于环境空气质量达标区。</w:t>
                  </w:r>
                  <w:r>
                    <w:rPr>
                      <w:rFonts w:hint="eastAsia"/>
                      <w:b w:val="0"/>
                      <w:color w:val="auto"/>
                    </w:rPr>
                    <w:t>本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采取措施后，本项目排放的废气对大气环境质量影响较小，不会突破当地环境质量底线。</w:t>
                  </w:r>
                </w:p>
              </w:tc>
              <w:tc>
                <w:tcPr>
                  <w:tcW w:w="444" w:type="pct"/>
                  <w:tcBorders>
                    <w:tl2br w:val="nil"/>
                    <w:tr2bl w:val="nil"/>
                  </w:tcBorders>
                  <w:vAlign w:val="center"/>
                </w:tcPr>
                <w:p w14:paraId="301C7EEC">
                  <w:pPr>
                    <w:pStyle w:val="72"/>
                    <w:rPr>
                      <w:b w:val="0"/>
                      <w:color w:val="auto"/>
                    </w:rPr>
                  </w:pPr>
                  <w:r>
                    <w:rPr>
                      <w:b w:val="0"/>
                      <w:color w:val="auto"/>
                    </w:rPr>
                    <w:t>符合</w:t>
                  </w:r>
                </w:p>
              </w:tc>
            </w:tr>
            <w:tr w14:paraId="562CC59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6609CF36">
                  <w:pPr>
                    <w:pStyle w:val="72"/>
                    <w:rPr>
                      <w:b w:val="0"/>
                      <w:color w:val="auto"/>
                    </w:rPr>
                  </w:pPr>
                </w:p>
              </w:tc>
              <w:tc>
                <w:tcPr>
                  <w:tcW w:w="436" w:type="pct"/>
                  <w:tcBorders>
                    <w:tl2br w:val="nil"/>
                    <w:tr2bl w:val="nil"/>
                  </w:tcBorders>
                  <w:vAlign w:val="center"/>
                </w:tcPr>
                <w:p w14:paraId="5B67311F">
                  <w:pPr>
                    <w:pStyle w:val="72"/>
                    <w:rPr>
                      <w:b w:val="0"/>
                      <w:color w:val="auto"/>
                    </w:rPr>
                  </w:pPr>
                  <w:r>
                    <w:rPr>
                      <w:b w:val="0"/>
                      <w:color w:val="auto"/>
                    </w:rPr>
                    <w:t>土壤环境风险防控底线</w:t>
                  </w:r>
                </w:p>
              </w:tc>
              <w:tc>
                <w:tcPr>
                  <w:tcW w:w="2168" w:type="pct"/>
                  <w:gridSpan w:val="2"/>
                  <w:tcBorders>
                    <w:tl2br w:val="nil"/>
                    <w:tr2bl w:val="nil"/>
                  </w:tcBorders>
                  <w:vAlign w:val="center"/>
                </w:tcPr>
                <w:p w14:paraId="33FCAB4C">
                  <w:pPr>
                    <w:pStyle w:val="72"/>
                    <w:rPr>
                      <w:b w:val="0"/>
                      <w:color w:val="auto"/>
                    </w:rPr>
                  </w:pPr>
                  <w:r>
                    <w:rPr>
                      <w:b w:val="0"/>
                      <w:color w:val="auto"/>
                    </w:rPr>
                    <w:t>全市土壤环境质量总体保持稳定，局部稳中向好，受污染耕地安全利用率不低于90%，重点建设用地安全利用得到有效保障。</w:t>
                  </w:r>
                </w:p>
              </w:tc>
              <w:tc>
                <w:tcPr>
                  <w:tcW w:w="1699" w:type="pct"/>
                  <w:tcBorders>
                    <w:tl2br w:val="nil"/>
                    <w:tr2bl w:val="nil"/>
                  </w:tcBorders>
                  <w:vAlign w:val="center"/>
                </w:tcPr>
                <w:p w14:paraId="01A50F9E">
                  <w:pPr>
                    <w:pStyle w:val="72"/>
                    <w:rPr>
                      <w:b w:val="0"/>
                      <w:color w:val="auto"/>
                    </w:rPr>
                  </w:pPr>
                  <w:r>
                    <w:rPr>
                      <w:b w:val="0"/>
                      <w:color w:val="auto"/>
                    </w:rPr>
                    <w:t>项目占地范围不涉及耕地、基本农田。项目区采取分区防渗，</w:t>
                  </w:r>
                  <w:r>
                    <w:rPr>
                      <w:rFonts w:hint="eastAsia"/>
                      <w:b w:val="0"/>
                      <w:color w:val="auto"/>
                    </w:rPr>
                    <w:t>危废暂存库</w:t>
                  </w:r>
                  <w:r>
                    <w:rPr>
                      <w:b w:val="0"/>
                      <w:color w:val="auto"/>
                    </w:rPr>
                    <w:t>设置为重点防渗区，</w:t>
                  </w:r>
                  <w:r>
                    <w:rPr>
                      <w:rFonts w:hint="eastAsia"/>
                      <w:b w:val="0"/>
                      <w:color w:val="auto"/>
                    </w:rPr>
                    <w:t>原料库、一般固废暂存库</w:t>
                  </w:r>
                  <w:r>
                    <w:rPr>
                      <w:b w:val="0"/>
                      <w:color w:val="auto"/>
                    </w:rPr>
                    <w:t>设置为一般防渗，</w:t>
                  </w:r>
                  <w:r>
                    <w:rPr>
                      <w:rFonts w:hint="eastAsia"/>
                      <w:b w:val="0"/>
                      <w:color w:val="auto"/>
                    </w:rPr>
                    <w:t>其他生产</w:t>
                  </w:r>
                  <w:r>
                    <w:rPr>
                      <w:b w:val="0"/>
                      <w:color w:val="auto"/>
                    </w:rPr>
                    <w:t>区域设置为简单防渗区。综上，项目建设对土壤环境质量影响较小，不会突破项目所在地的土壤环境风险防控底线。</w:t>
                  </w:r>
                </w:p>
              </w:tc>
              <w:tc>
                <w:tcPr>
                  <w:tcW w:w="444" w:type="pct"/>
                  <w:tcBorders>
                    <w:tl2br w:val="nil"/>
                    <w:tr2bl w:val="nil"/>
                  </w:tcBorders>
                  <w:vAlign w:val="center"/>
                </w:tcPr>
                <w:p w14:paraId="16A5E4D8">
                  <w:pPr>
                    <w:pStyle w:val="72"/>
                    <w:rPr>
                      <w:b w:val="0"/>
                      <w:color w:val="auto"/>
                    </w:rPr>
                  </w:pPr>
                  <w:r>
                    <w:rPr>
                      <w:b w:val="0"/>
                      <w:color w:val="auto"/>
                    </w:rPr>
                    <w:t>符合</w:t>
                  </w:r>
                </w:p>
              </w:tc>
            </w:tr>
            <w:tr w14:paraId="1D5D95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77" w:hRule="atLeast"/>
                <w:jc w:val="center"/>
              </w:trPr>
              <w:tc>
                <w:tcPr>
                  <w:tcW w:w="250" w:type="pct"/>
                  <w:vMerge w:val="restart"/>
                  <w:tcBorders>
                    <w:tl2br w:val="nil"/>
                    <w:tr2bl w:val="nil"/>
                  </w:tcBorders>
                  <w:vAlign w:val="center"/>
                </w:tcPr>
                <w:p w14:paraId="4D4E2C4D">
                  <w:pPr>
                    <w:pStyle w:val="72"/>
                    <w:rPr>
                      <w:b w:val="0"/>
                      <w:color w:val="auto"/>
                    </w:rPr>
                  </w:pPr>
                  <w:r>
                    <w:rPr>
                      <w:b w:val="0"/>
                      <w:color w:val="auto"/>
                    </w:rPr>
                    <w:t>资源利用上线</w:t>
                  </w:r>
                </w:p>
              </w:tc>
              <w:tc>
                <w:tcPr>
                  <w:tcW w:w="436" w:type="pct"/>
                  <w:tcBorders>
                    <w:tl2br w:val="nil"/>
                    <w:tr2bl w:val="nil"/>
                  </w:tcBorders>
                  <w:vAlign w:val="center"/>
                </w:tcPr>
                <w:p w14:paraId="26C7F9EA">
                  <w:pPr>
                    <w:pStyle w:val="72"/>
                    <w:rPr>
                      <w:b w:val="0"/>
                      <w:color w:val="auto"/>
                    </w:rPr>
                  </w:pPr>
                  <w:r>
                    <w:rPr>
                      <w:b w:val="0"/>
                      <w:color w:val="auto"/>
                    </w:rPr>
                    <w:t>水资源利用上线</w:t>
                  </w:r>
                </w:p>
              </w:tc>
              <w:tc>
                <w:tcPr>
                  <w:tcW w:w="2168" w:type="pct"/>
                  <w:gridSpan w:val="2"/>
                  <w:tcBorders>
                    <w:tl2br w:val="nil"/>
                    <w:tr2bl w:val="nil"/>
                  </w:tcBorders>
                  <w:vAlign w:val="center"/>
                </w:tcPr>
                <w:p w14:paraId="3CCC07AA">
                  <w:pPr>
                    <w:pStyle w:val="72"/>
                    <w:rPr>
                      <w:b w:val="0"/>
                      <w:color w:val="auto"/>
                    </w:rPr>
                  </w:pPr>
                  <w:r>
                    <w:rPr>
                      <w:b w:val="0"/>
                      <w:color w:val="auto"/>
                      <w:lang w:val="zh-CN"/>
                    </w:rPr>
                    <w:t>到2025年，按照国家、省、市有关要求和规划，按时完成全市用水总量、用水效率、限制纳污“三条红线”水资源上限控制指标；</w:t>
                  </w:r>
                </w:p>
              </w:tc>
              <w:tc>
                <w:tcPr>
                  <w:tcW w:w="1699" w:type="pct"/>
                  <w:tcBorders>
                    <w:tl2br w:val="nil"/>
                    <w:tr2bl w:val="nil"/>
                  </w:tcBorders>
                  <w:vAlign w:val="center"/>
                </w:tcPr>
                <w:p w14:paraId="2512CB73">
                  <w:pPr>
                    <w:pStyle w:val="72"/>
                    <w:rPr>
                      <w:b w:val="0"/>
                      <w:color w:val="auto"/>
                    </w:rPr>
                  </w:pPr>
                  <w:r>
                    <w:rPr>
                      <w:rFonts w:hint="eastAsia"/>
                      <w:b w:val="0"/>
                      <w:color w:val="auto"/>
                    </w:rPr>
                    <w:t>本项目生产废水、生活污水不外排。</w:t>
                  </w:r>
                </w:p>
              </w:tc>
              <w:tc>
                <w:tcPr>
                  <w:tcW w:w="444" w:type="pct"/>
                  <w:tcBorders>
                    <w:tl2br w:val="nil"/>
                    <w:tr2bl w:val="nil"/>
                  </w:tcBorders>
                  <w:vAlign w:val="center"/>
                </w:tcPr>
                <w:p w14:paraId="1FF97506">
                  <w:pPr>
                    <w:pStyle w:val="72"/>
                    <w:rPr>
                      <w:b w:val="0"/>
                      <w:color w:val="auto"/>
                    </w:rPr>
                  </w:pPr>
                  <w:r>
                    <w:rPr>
                      <w:b w:val="0"/>
                      <w:color w:val="auto"/>
                    </w:rPr>
                    <w:t>符合</w:t>
                  </w:r>
                </w:p>
              </w:tc>
            </w:tr>
            <w:tr w14:paraId="021E19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77" w:hRule="atLeast"/>
                <w:jc w:val="center"/>
              </w:trPr>
              <w:tc>
                <w:tcPr>
                  <w:tcW w:w="250" w:type="pct"/>
                  <w:vMerge w:val="continue"/>
                  <w:tcBorders>
                    <w:tl2br w:val="nil"/>
                    <w:tr2bl w:val="nil"/>
                  </w:tcBorders>
                  <w:vAlign w:val="center"/>
                </w:tcPr>
                <w:p w14:paraId="65E5FBF4">
                  <w:pPr>
                    <w:pStyle w:val="72"/>
                    <w:rPr>
                      <w:b w:val="0"/>
                      <w:color w:val="auto"/>
                    </w:rPr>
                  </w:pPr>
                </w:p>
              </w:tc>
              <w:tc>
                <w:tcPr>
                  <w:tcW w:w="436" w:type="pct"/>
                  <w:tcBorders>
                    <w:tl2br w:val="nil"/>
                    <w:tr2bl w:val="nil"/>
                  </w:tcBorders>
                  <w:vAlign w:val="center"/>
                </w:tcPr>
                <w:p w14:paraId="3B89A7FA">
                  <w:pPr>
                    <w:pStyle w:val="72"/>
                    <w:rPr>
                      <w:b w:val="0"/>
                      <w:color w:val="auto"/>
                    </w:rPr>
                  </w:pPr>
                  <w:r>
                    <w:rPr>
                      <w:b w:val="0"/>
                      <w:color w:val="auto"/>
                    </w:rPr>
                    <w:t>能源利用上线</w:t>
                  </w:r>
                </w:p>
              </w:tc>
              <w:tc>
                <w:tcPr>
                  <w:tcW w:w="2168" w:type="pct"/>
                  <w:gridSpan w:val="2"/>
                  <w:tcBorders>
                    <w:tl2br w:val="nil"/>
                    <w:tr2bl w:val="nil"/>
                  </w:tcBorders>
                  <w:vAlign w:val="center"/>
                </w:tcPr>
                <w:p w14:paraId="721A3579">
                  <w:pPr>
                    <w:pStyle w:val="72"/>
                    <w:rPr>
                      <w:b w:val="0"/>
                      <w:color w:val="auto"/>
                    </w:rPr>
                  </w:pPr>
                  <w:r>
                    <w:rPr>
                      <w:b w:val="0"/>
                      <w:color w:val="auto"/>
                      <w:lang w:val="zh-CN"/>
                    </w:rPr>
                    <w:t>按时完成单位GDP能耗下降率、能源消费总量等能源控制指标。</w:t>
                  </w:r>
                </w:p>
              </w:tc>
              <w:tc>
                <w:tcPr>
                  <w:tcW w:w="1699" w:type="pct"/>
                  <w:tcBorders>
                    <w:tl2br w:val="nil"/>
                    <w:tr2bl w:val="nil"/>
                  </w:tcBorders>
                  <w:vAlign w:val="center"/>
                </w:tcPr>
                <w:p w14:paraId="588C0549">
                  <w:pPr>
                    <w:pStyle w:val="72"/>
                    <w:rPr>
                      <w:b w:val="0"/>
                      <w:color w:val="auto"/>
                    </w:rPr>
                  </w:pPr>
                  <w:r>
                    <w:rPr>
                      <w:b w:val="0"/>
                      <w:color w:val="auto"/>
                    </w:rPr>
                    <w:t>项目生产过程中</w:t>
                  </w:r>
                  <w:r>
                    <w:rPr>
                      <w:rFonts w:hint="eastAsia"/>
                      <w:b w:val="0"/>
                      <w:color w:val="auto"/>
                    </w:rPr>
                    <w:t>主要</w:t>
                  </w:r>
                  <w:r>
                    <w:rPr>
                      <w:b w:val="0"/>
                      <w:color w:val="auto"/>
                    </w:rPr>
                    <w:t>使用电能，</w:t>
                  </w:r>
                  <w:r>
                    <w:rPr>
                      <w:rFonts w:hint="eastAsia"/>
                      <w:b w:val="0"/>
                      <w:color w:val="auto"/>
                    </w:rPr>
                    <w:t>运输车辆使用燃油</w:t>
                  </w:r>
                  <w:r>
                    <w:rPr>
                      <w:b w:val="0"/>
                      <w:color w:val="auto"/>
                    </w:rPr>
                    <w:t>。</w:t>
                  </w:r>
                </w:p>
              </w:tc>
              <w:tc>
                <w:tcPr>
                  <w:tcW w:w="444" w:type="pct"/>
                  <w:tcBorders>
                    <w:tl2br w:val="nil"/>
                    <w:tr2bl w:val="nil"/>
                  </w:tcBorders>
                  <w:vAlign w:val="center"/>
                </w:tcPr>
                <w:p w14:paraId="58ED437F">
                  <w:pPr>
                    <w:pStyle w:val="72"/>
                    <w:rPr>
                      <w:b w:val="0"/>
                      <w:color w:val="auto"/>
                    </w:rPr>
                  </w:pPr>
                  <w:r>
                    <w:rPr>
                      <w:b w:val="0"/>
                      <w:color w:val="auto"/>
                    </w:rPr>
                    <w:t>符合</w:t>
                  </w:r>
                </w:p>
              </w:tc>
            </w:tr>
            <w:tr w14:paraId="68F37D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77" w:hRule="atLeast"/>
                <w:jc w:val="center"/>
              </w:trPr>
              <w:tc>
                <w:tcPr>
                  <w:tcW w:w="250" w:type="pct"/>
                  <w:vMerge w:val="continue"/>
                  <w:tcBorders>
                    <w:tl2br w:val="nil"/>
                    <w:tr2bl w:val="nil"/>
                  </w:tcBorders>
                  <w:vAlign w:val="center"/>
                </w:tcPr>
                <w:p w14:paraId="3F53C2C7">
                  <w:pPr>
                    <w:pStyle w:val="72"/>
                    <w:rPr>
                      <w:b w:val="0"/>
                      <w:color w:val="auto"/>
                    </w:rPr>
                  </w:pPr>
                </w:p>
              </w:tc>
              <w:tc>
                <w:tcPr>
                  <w:tcW w:w="436" w:type="pct"/>
                  <w:tcBorders>
                    <w:tl2br w:val="nil"/>
                    <w:tr2bl w:val="nil"/>
                  </w:tcBorders>
                  <w:vAlign w:val="center"/>
                </w:tcPr>
                <w:p w14:paraId="085AF8D2">
                  <w:pPr>
                    <w:pStyle w:val="72"/>
                    <w:rPr>
                      <w:b w:val="0"/>
                      <w:color w:val="auto"/>
                    </w:rPr>
                  </w:pPr>
                  <w:r>
                    <w:rPr>
                      <w:b w:val="0"/>
                      <w:color w:val="auto"/>
                    </w:rPr>
                    <w:t>土地资源利用上线</w:t>
                  </w:r>
                </w:p>
              </w:tc>
              <w:tc>
                <w:tcPr>
                  <w:tcW w:w="2168" w:type="pct"/>
                  <w:gridSpan w:val="2"/>
                  <w:tcBorders>
                    <w:tl2br w:val="nil"/>
                    <w:tr2bl w:val="nil"/>
                  </w:tcBorders>
                  <w:vAlign w:val="center"/>
                </w:tcPr>
                <w:p w14:paraId="00A01BCD">
                  <w:pPr>
                    <w:pStyle w:val="72"/>
                    <w:rPr>
                      <w:b w:val="0"/>
                      <w:color w:val="auto"/>
                    </w:rPr>
                  </w:pPr>
                  <w:r>
                    <w:rPr>
                      <w:b w:val="0"/>
                      <w:color w:val="auto"/>
                      <w:lang w:val="zh-CN"/>
                    </w:rPr>
                    <w:t>按时完成耕地保有量、基本农田保护面积、建设用地总规模等土地资源利用上限控制指标；</w:t>
                  </w:r>
                </w:p>
              </w:tc>
              <w:tc>
                <w:tcPr>
                  <w:tcW w:w="1699" w:type="pct"/>
                  <w:tcBorders>
                    <w:tl2br w:val="nil"/>
                    <w:tr2bl w:val="nil"/>
                  </w:tcBorders>
                  <w:vAlign w:val="center"/>
                </w:tcPr>
                <w:p w14:paraId="38D2B8FE">
                  <w:pPr>
                    <w:pStyle w:val="72"/>
                    <w:rPr>
                      <w:b w:val="0"/>
                      <w:color w:val="auto"/>
                    </w:rPr>
                  </w:pPr>
                  <w:r>
                    <w:rPr>
                      <w:b w:val="0"/>
                      <w:color w:val="auto"/>
                    </w:rPr>
                    <w:t>项目不占用耕地及基本农田，用地类型为工业工地，不会突破当地土地资源利用上线。</w:t>
                  </w:r>
                </w:p>
              </w:tc>
              <w:tc>
                <w:tcPr>
                  <w:tcW w:w="444" w:type="pct"/>
                  <w:tcBorders>
                    <w:tl2br w:val="nil"/>
                    <w:tr2bl w:val="nil"/>
                  </w:tcBorders>
                  <w:vAlign w:val="center"/>
                </w:tcPr>
                <w:p w14:paraId="41CD85C9">
                  <w:pPr>
                    <w:pStyle w:val="72"/>
                    <w:rPr>
                      <w:b w:val="0"/>
                      <w:color w:val="auto"/>
                    </w:rPr>
                  </w:pPr>
                  <w:r>
                    <w:rPr>
                      <w:b w:val="0"/>
                      <w:color w:val="auto"/>
                    </w:rPr>
                    <w:t>符合</w:t>
                  </w:r>
                </w:p>
              </w:tc>
            </w:tr>
            <w:tr w14:paraId="43F1E7C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restart"/>
                  <w:tcBorders>
                    <w:tl2br w:val="nil"/>
                    <w:tr2bl w:val="nil"/>
                  </w:tcBorders>
                  <w:vAlign w:val="center"/>
                </w:tcPr>
                <w:p w14:paraId="0F1806A1">
                  <w:pPr>
                    <w:pStyle w:val="72"/>
                    <w:rPr>
                      <w:b w:val="0"/>
                      <w:color w:val="auto"/>
                    </w:rPr>
                  </w:pPr>
                  <w:r>
                    <w:rPr>
                      <w:b w:val="0"/>
                      <w:color w:val="auto"/>
                    </w:rPr>
                    <w:t>生态环境准入清单</w:t>
                  </w:r>
                </w:p>
              </w:tc>
              <w:tc>
                <w:tcPr>
                  <w:tcW w:w="436" w:type="pct"/>
                  <w:vMerge w:val="restart"/>
                  <w:tcBorders>
                    <w:tl2br w:val="nil"/>
                    <w:tr2bl w:val="nil"/>
                  </w:tcBorders>
                  <w:vAlign w:val="center"/>
                </w:tcPr>
                <w:p w14:paraId="5A4911A5">
                  <w:pPr>
                    <w:pStyle w:val="72"/>
                    <w:rPr>
                      <w:b w:val="0"/>
                      <w:color w:val="auto"/>
                    </w:rPr>
                  </w:pPr>
                  <w:r>
                    <w:rPr>
                      <w:b w:val="0"/>
                      <w:color w:val="auto"/>
                    </w:rPr>
                    <w:t>重点管控单元（云南寻甸产业园区重点管控单元）</w:t>
                  </w:r>
                </w:p>
              </w:tc>
              <w:tc>
                <w:tcPr>
                  <w:tcW w:w="267" w:type="pct"/>
                  <w:tcBorders>
                    <w:tl2br w:val="nil"/>
                    <w:tr2bl w:val="nil"/>
                  </w:tcBorders>
                  <w:vAlign w:val="center"/>
                </w:tcPr>
                <w:p w14:paraId="71A4CDDF">
                  <w:pPr>
                    <w:pStyle w:val="72"/>
                    <w:rPr>
                      <w:b w:val="0"/>
                      <w:color w:val="auto"/>
                    </w:rPr>
                  </w:pPr>
                  <w:r>
                    <w:rPr>
                      <w:b w:val="0"/>
                      <w:color w:val="auto"/>
                    </w:rPr>
                    <w:t>空间布局</w:t>
                  </w:r>
                </w:p>
                <w:p w14:paraId="5B1FF4BE">
                  <w:pPr>
                    <w:pStyle w:val="72"/>
                    <w:rPr>
                      <w:b w:val="0"/>
                      <w:color w:val="auto"/>
                    </w:rPr>
                  </w:pPr>
                  <w:r>
                    <w:rPr>
                      <w:b w:val="0"/>
                      <w:color w:val="auto"/>
                    </w:rPr>
                    <w:t>约束</w:t>
                  </w:r>
                </w:p>
              </w:tc>
              <w:tc>
                <w:tcPr>
                  <w:tcW w:w="1901" w:type="pct"/>
                  <w:tcBorders>
                    <w:tl2br w:val="nil"/>
                    <w:tr2bl w:val="nil"/>
                  </w:tcBorders>
                  <w:vAlign w:val="center"/>
                </w:tcPr>
                <w:p w14:paraId="0CA7B9FD">
                  <w:pPr>
                    <w:pStyle w:val="72"/>
                    <w:jc w:val="both"/>
                    <w:rPr>
                      <w:b w:val="0"/>
                      <w:color w:val="auto"/>
                    </w:rPr>
                  </w:pPr>
                  <w:r>
                    <w:rPr>
                      <w:b w:val="0"/>
                      <w:color w:val="auto"/>
                    </w:rPr>
                    <w:t>1.入驻项目须符合国家及云南省相关产业政策、符合园区规划产业布局。</w:t>
                  </w:r>
                  <w:r>
                    <w:rPr>
                      <w:b w:val="0"/>
                      <w:color w:val="auto"/>
                    </w:rPr>
                    <w:br w:type="textWrapping"/>
                  </w:r>
                  <w:r>
                    <w:rPr>
                      <w:b w:val="0"/>
                      <w:color w:val="auto"/>
                    </w:rPr>
                    <w:t>2.严禁不符合要求的高风险高污染行业入驻。</w:t>
                  </w:r>
                  <w:r>
                    <w:rPr>
                      <w:b w:val="0"/>
                      <w:color w:val="auto"/>
                    </w:rPr>
                    <w:br w:type="textWrapping"/>
                  </w:r>
                  <w:r>
                    <w:rPr>
                      <w:b w:val="0"/>
                      <w:color w:val="auto"/>
                    </w:rPr>
                    <w:t>3.金所片区：禁止引入需水量大，生产废水不能实现循环回用不外排的企业。</w:t>
                  </w:r>
                  <w:r>
                    <w:rPr>
                      <w:b w:val="0"/>
                      <w:color w:val="auto"/>
                    </w:rPr>
                    <w:br w:type="textWrapping"/>
                  </w:r>
                  <w:r>
                    <w:rPr>
                      <w:b w:val="0"/>
                      <w:color w:val="auto"/>
                    </w:rPr>
                    <w:t>4.金所片区金所组团禁止新建、改建、扩建化工生产线项目。</w:t>
                  </w:r>
                </w:p>
              </w:tc>
              <w:tc>
                <w:tcPr>
                  <w:tcW w:w="1699" w:type="pct"/>
                  <w:tcBorders>
                    <w:tl2br w:val="nil"/>
                    <w:tr2bl w:val="nil"/>
                  </w:tcBorders>
                  <w:vAlign w:val="center"/>
                </w:tcPr>
                <w:p w14:paraId="3D0AC96F">
                  <w:pPr>
                    <w:pStyle w:val="72"/>
                    <w:jc w:val="both"/>
                    <w:rPr>
                      <w:b w:val="0"/>
                      <w:color w:val="auto"/>
                    </w:rPr>
                  </w:pPr>
                  <w:r>
                    <w:rPr>
                      <w:b w:val="0"/>
                      <w:color w:val="auto"/>
                    </w:rPr>
                    <w:t>1.本项目位于云南寻甸产业园区金所片区金所组团内，属于</w:t>
                  </w:r>
                  <w:r>
                    <w:rPr>
                      <w:rFonts w:hint="eastAsia"/>
                      <w:b w:val="0"/>
                      <w:color w:val="auto"/>
                    </w:rPr>
                    <w:t>一般工业固体废物综合利用项目</w:t>
                  </w:r>
                  <w:r>
                    <w:rPr>
                      <w:b w:val="0"/>
                      <w:color w:val="auto"/>
                    </w:rPr>
                    <w:t>，与金所片区发展规划不冲突。</w:t>
                  </w:r>
                </w:p>
                <w:p w14:paraId="4A4D7F29">
                  <w:pPr>
                    <w:pStyle w:val="72"/>
                    <w:jc w:val="both"/>
                    <w:rPr>
                      <w:b w:val="0"/>
                      <w:color w:val="auto"/>
                    </w:rPr>
                  </w:pPr>
                  <w:r>
                    <w:rPr>
                      <w:b w:val="0"/>
                      <w:color w:val="auto"/>
                    </w:rPr>
                    <w:t>2.本项目不属于造纸、印染类高风险高污染企业</w:t>
                  </w:r>
                  <w:r>
                    <w:rPr>
                      <w:rFonts w:hint="eastAsia"/>
                      <w:b w:val="0"/>
                      <w:color w:val="auto"/>
                    </w:rPr>
                    <w:t>。</w:t>
                  </w:r>
                </w:p>
                <w:p w14:paraId="7AB14538">
                  <w:pPr>
                    <w:pStyle w:val="72"/>
                    <w:jc w:val="both"/>
                    <w:rPr>
                      <w:b w:val="0"/>
                      <w:color w:val="auto"/>
                    </w:rPr>
                  </w:pPr>
                  <w:r>
                    <w:rPr>
                      <w:rFonts w:hint="eastAsia"/>
                      <w:b w:val="0"/>
                      <w:color w:val="auto"/>
                    </w:rPr>
                    <w:t>3.</w:t>
                  </w:r>
                  <w:r>
                    <w:rPr>
                      <w:b w:val="0"/>
                      <w:color w:val="auto"/>
                    </w:rPr>
                    <w:t>项目</w:t>
                  </w:r>
                  <w:r>
                    <w:rPr>
                      <w:rFonts w:hint="eastAsia"/>
                      <w:b w:val="0"/>
                      <w:color w:val="auto"/>
                    </w:rPr>
                    <w:t>生产废水不外排。</w:t>
                  </w:r>
                </w:p>
                <w:p w14:paraId="37E0830F">
                  <w:pPr>
                    <w:pStyle w:val="72"/>
                    <w:jc w:val="both"/>
                    <w:rPr>
                      <w:b w:val="0"/>
                      <w:color w:val="auto"/>
                    </w:rPr>
                  </w:pPr>
                  <w:r>
                    <w:rPr>
                      <w:rFonts w:hint="eastAsia"/>
                      <w:b w:val="0"/>
                      <w:color w:val="auto"/>
                    </w:rPr>
                    <w:t>4.本项目不属于化工生产线项目。</w:t>
                  </w:r>
                </w:p>
              </w:tc>
              <w:tc>
                <w:tcPr>
                  <w:tcW w:w="444" w:type="pct"/>
                  <w:tcBorders>
                    <w:tl2br w:val="nil"/>
                    <w:tr2bl w:val="nil"/>
                  </w:tcBorders>
                  <w:vAlign w:val="center"/>
                </w:tcPr>
                <w:p w14:paraId="59FAE455">
                  <w:pPr>
                    <w:pStyle w:val="72"/>
                    <w:rPr>
                      <w:b w:val="0"/>
                      <w:color w:val="auto"/>
                    </w:rPr>
                  </w:pPr>
                  <w:r>
                    <w:rPr>
                      <w:b w:val="0"/>
                      <w:color w:val="auto"/>
                    </w:rPr>
                    <w:t>符合</w:t>
                  </w:r>
                </w:p>
              </w:tc>
            </w:tr>
            <w:tr w14:paraId="04574A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30165527">
                  <w:pPr>
                    <w:pStyle w:val="72"/>
                    <w:rPr>
                      <w:b w:val="0"/>
                      <w:color w:val="auto"/>
                    </w:rPr>
                  </w:pPr>
                </w:p>
              </w:tc>
              <w:tc>
                <w:tcPr>
                  <w:tcW w:w="436" w:type="pct"/>
                  <w:vMerge w:val="continue"/>
                  <w:tcBorders>
                    <w:tl2br w:val="nil"/>
                    <w:tr2bl w:val="nil"/>
                  </w:tcBorders>
                  <w:vAlign w:val="center"/>
                </w:tcPr>
                <w:p w14:paraId="691CAB11">
                  <w:pPr>
                    <w:pStyle w:val="72"/>
                    <w:rPr>
                      <w:b w:val="0"/>
                      <w:color w:val="auto"/>
                    </w:rPr>
                  </w:pPr>
                </w:p>
              </w:tc>
              <w:tc>
                <w:tcPr>
                  <w:tcW w:w="267" w:type="pct"/>
                  <w:tcBorders>
                    <w:tl2br w:val="nil"/>
                    <w:tr2bl w:val="nil"/>
                  </w:tcBorders>
                  <w:vAlign w:val="center"/>
                </w:tcPr>
                <w:p w14:paraId="7DE7D200">
                  <w:pPr>
                    <w:pStyle w:val="72"/>
                    <w:rPr>
                      <w:b w:val="0"/>
                      <w:color w:val="auto"/>
                    </w:rPr>
                  </w:pPr>
                  <w:r>
                    <w:rPr>
                      <w:b w:val="0"/>
                      <w:color w:val="auto"/>
                    </w:rPr>
                    <w:t>污染物</w:t>
                  </w:r>
                </w:p>
                <w:p w14:paraId="485DD7A7">
                  <w:pPr>
                    <w:pStyle w:val="72"/>
                    <w:rPr>
                      <w:b w:val="0"/>
                      <w:color w:val="auto"/>
                    </w:rPr>
                  </w:pPr>
                  <w:r>
                    <w:rPr>
                      <w:b w:val="0"/>
                      <w:color w:val="auto"/>
                    </w:rPr>
                    <w:t>排放管控</w:t>
                  </w:r>
                </w:p>
              </w:tc>
              <w:tc>
                <w:tcPr>
                  <w:tcW w:w="1901" w:type="pct"/>
                  <w:tcBorders>
                    <w:tl2br w:val="nil"/>
                    <w:tr2bl w:val="nil"/>
                  </w:tcBorders>
                  <w:vAlign w:val="center"/>
                </w:tcPr>
                <w:p w14:paraId="6163D465">
                  <w:pPr>
                    <w:pStyle w:val="72"/>
                    <w:jc w:val="both"/>
                    <w:rPr>
                      <w:b w:val="0"/>
                      <w:color w:val="auto"/>
                    </w:rPr>
                  </w:pPr>
                  <w:r>
                    <w:rPr>
                      <w:b w:val="0"/>
                      <w:color w:val="auto"/>
                    </w:rPr>
                    <w:t>1.主要指标二氧化硫、氮氧化物、挥发性有机废气达到《环境空气质量标准》（GB3095—2012）二级标准。</w:t>
                  </w:r>
                  <w:r>
                    <w:rPr>
                      <w:b w:val="0"/>
                      <w:color w:val="auto"/>
                    </w:rPr>
                    <w:br w:type="textWrapping"/>
                  </w:r>
                  <w:r>
                    <w:rPr>
                      <w:b w:val="0"/>
                      <w:color w:val="auto"/>
                    </w:rPr>
                    <w:t>2.现状已发展成熟的煤磷盐化工企业及目前做到零排放的企业按现状方式排水；金所片区：未来入住企业生产废水由企业自行处理达标后循环回用不外排。</w:t>
                  </w:r>
                  <w:r>
                    <w:rPr>
                      <w:b w:val="0"/>
                      <w:color w:val="auto"/>
                    </w:rPr>
                    <w:br w:type="textWrapping"/>
                  </w:r>
                  <w:r>
                    <w:rPr>
                      <w:b w:val="0"/>
                      <w:color w:val="auto"/>
                    </w:rPr>
                    <w:t>3.入驻企业生活废水须自行预处理达到相关行业标准及《污水排入城镇下水道水质标准》（GB/T1962—2015）（A）等级后方可排入园区污水处理厂。</w:t>
                  </w:r>
                  <w:r>
                    <w:rPr>
                      <w:b w:val="0"/>
                      <w:color w:val="auto"/>
                    </w:rPr>
                    <w:br w:type="textWrapping"/>
                  </w:r>
                  <w:r>
                    <w:rPr>
                      <w:b w:val="0"/>
                      <w:color w:val="auto"/>
                    </w:rPr>
                    <w:t>4.生活垃圾无害化处理率达90%以上，工业固废处置利用率不小于95%。</w:t>
                  </w:r>
                </w:p>
              </w:tc>
              <w:tc>
                <w:tcPr>
                  <w:tcW w:w="1699" w:type="pct"/>
                  <w:tcBorders>
                    <w:tl2br w:val="nil"/>
                    <w:tr2bl w:val="nil"/>
                  </w:tcBorders>
                  <w:vAlign w:val="center"/>
                </w:tcPr>
                <w:p w14:paraId="67429B10">
                  <w:pPr>
                    <w:pStyle w:val="72"/>
                    <w:jc w:val="both"/>
                    <w:rPr>
                      <w:b w:val="0"/>
                      <w:color w:val="auto"/>
                    </w:rPr>
                  </w:pPr>
                  <w:r>
                    <w:rPr>
                      <w:b w:val="0"/>
                      <w:color w:val="auto"/>
                    </w:rPr>
                    <w:t>1.项目所在园区空气质量满足《环境空气质量标准》（GB3095－20</w:t>
                  </w:r>
                  <w:r>
                    <w:rPr>
                      <w:rFonts w:hint="eastAsia"/>
                      <w:b w:val="0"/>
                      <w:color w:val="auto"/>
                    </w:rPr>
                    <w:t>26</w:t>
                  </w:r>
                  <w:r>
                    <w:rPr>
                      <w:b w:val="0"/>
                      <w:color w:val="auto"/>
                    </w:rPr>
                    <w:t>）中二级标准要求。</w:t>
                  </w:r>
                </w:p>
                <w:p w14:paraId="0E4531EA">
                  <w:pPr>
                    <w:pStyle w:val="72"/>
                    <w:jc w:val="both"/>
                    <w:rPr>
                      <w:b w:val="0"/>
                      <w:color w:val="auto"/>
                    </w:rPr>
                  </w:pPr>
                  <w:r>
                    <w:rPr>
                      <w:b w:val="0"/>
                      <w:color w:val="auto"/>
                    </w:rPr>
                    <w:t>2.本项目</w:t>
                  </w:r>
                  <w:r>
                    <w:rPr>
                      <w:rFonts w:hint="eastAsia"/>
                      <w:b w:val="0"/>
                      <w:color w:val="auto"/>
                    </w:rPr>
                    <w:t>生产废水不外排</w:t>
                  </w:r>
                  <w:r>
                    <w:rPr>
                      <w:b w:val="0"/>
                      <w:color w:val="auto"/>
                    </w:rPr>
                    <w:t>；</w:t>
                  </w:r>
                </w:p>
                <w:p w14:paraId="5EBD6EC0">
                  <w:pPr>
                    <w:pStyle w:val="72"/>
                    <w:jc w:val="both"/>
                    <w:rPr>
                      <w:b w:val="0"/>
                      <w:color w:val="auto"/>
                      <w:highlight w:val="yellow"/>
                    </w:rPr>
                  </w:pPr>
                  <w:r>
                    <w:rPr>
                      <w:rFonts w:hint="eastAsia"/>
                      <w:b w:val="0"/>
                      <w:color w:val="auto"/>
                    </w:rPr>
                    <w:t>3.本项目</w:t>
                  </w:r>
                  <w:r>
                    <w:rPr>
                      <w:b w:val="0"/>
                      <w:color w:val="auto"/>
                    </w:rPr>
                    <w:t>生活污水</w:t>
                  </w:r>
                  <w:r>
                    <w:rPr>
                      <w:rFonts w:hint="eastAsia"/>
                      <w:b w:val="0"/>
                      <w:color w:val="auto"/>
                    </w:rPr>
                    <w:t>不外排</w:t>
                  </w:r>
                  <w:r>
                    <w:rPr>
                      <w:b w:val="0"/>
                      <w:color w:val="auto"/>
                    </w:rPr>
                    <w:t>。</w:t>
                  </w:r>
                </w:p>
                <w:p w14:paraId="20F076AA">
                  <w:pPr>
                    <w:pStyle w:val="72"/>
                    <w:jc w:val="both"/>
                    <w:rPr>
                      <w:b w:val="0"/>
                      <w:color w:val="auto"/>
                    </w:rPr>
                  </w:pPr>
                  <w:r>
                    <w:rPr>
                      <w:rFonts w:hint="eastAsia"/>
                      <w:b w:val="0"/>
                      <w:color w:val="auto"/>
                    </w:rPr>
                    <w:t>4</w:t>
                  </w:r>
                  <w:r>
                    <w:rPr>
                      <w:b w:val="0"/>
                      <w:color w:val="auto"/>
                    </w:rPr>
                    <w:t>.本项目产生的生活垃圾委托工业园区环卫部门统一清运，固废处理率达到100%。</w:t>
                  </w:r>
                </w:p>
              </w:tc>
              <w:tc>
                <w:tcPr>
                  <w:tcW w:w="444" w:type="pct"/>
                  <w:tcBorders>
                    <w:tl2br w:val="nil"/>
                    <w:tr2bl w:val="nil"/>
                  </w:tcBorders>
                  <w:vAlign w:val="center"/>
                </w:tcPr>
                <w:p w14:paraId="670CE1B4">
                  <w:pPr>
                    <w:pStyle w:val="72"/>
                    <w:rPr>
                      <w:b w:val="0"/>
                      <w:color w:val="auto"/>
                    </w:rPr>
                  </w:pPr>
                  <w:r>
                    <w:rPr>
                      <w:b w:val="0"/>
                      <w:color w:val="auto"/>
                    </w:rPr>
                    <w:t>符合</w:t>
                  </w:r>
                </w:p>
              </w:tc>
            </w:tr>
            <w:tr w14:paraId="61E47E2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5E4E70D5">
                  <w:pPr>
                    <w:pStyle w:val="72"/>
                    <w:rPr>
                      <w:b w:val="0"/>
                      <w:color w:val="auto"/>
                    </w:rPr>
                  </w:pPr>
                </w:p>
              </w:tc>
              <w:tc>
                <w:tcPr>
                  <w:tcW w:w="436" w:type="pct"/>
                  <w:vMerge w:val="continue"/>
                  <w:tcBorders>
                    <w:tl2br w:val="nil"/>
                    <w:tr2bl w:val="nil"/>
                  </w:tcBorders>
                  <w:vAlign w:val="center"/>
                </w:tcPr>
                <w:p w14:paraId="58F1AAFB">
                  <w:pPr>
                    <w:pStyle w:val="72"/>
                    <w:rPr>
                      <w:b w:val="0"/>
                      <w:color w:val="auto"/>
                    </w:rPr>
                  </w:pPr>
                </w:p>
              </w:tc>
              <w:tc>
                <w:tcPr>
                  <w:tcW w:w="267" w:type="pct"/>
                  <w:tcBorders>
                    <w:tl2br w:val="nil"/>
                    <w:tr2bl w:val="nil"/>
                  </w:tcBorders>
                  <w:vAlign w:val="center"/>
                </w:tcPr>
                <w:p w14:paraId="413928DD">
                  <w:pPr>
                    <w:pStyle w:val="72"/>
                    <w:rPr>
                      <w:b w:val="0"/>
                      <w:color w:val="auto"/>
                    </w:rPr>
                  </w:pPr>
                  <w:r>
                    <w:rPr>
                      <w:b w:val="0"/>
                      <w:color w:val="auto"/>
                    </w:rPr>
                    <w:t>环境风险</w:t>
                  </w:r>
                </w:p>
                <w:p w14:paraId="607F0AA2">
                  <w:pPr>
                    <w:pStyle w:val="72"/>
                    <w:rPr>
                      <w:b w:val="0"/>
                      <w:color w:val="auto"/>
                    </w:rPr>
                  </w:pPr>
                  <w:r>
                    <w:rPr>
                      <w:b w:val="0"/>
                      <w:color w:val="auto"/>
                    </w:rPr>
                    <w:t>防控</w:t>
                  </w:r>
                </w:p>
              </w:tc>
              <w:tc>
                <w:tcPr>
                  <w:tcW w:w="1901" w:type="pct"/>
                  <w:tcBorders>
                    <w:tl2br w:val="nil"/>
                    <w:tr2bl w:val="nil"/>
                  </w:tcBorders>
                  <w:vAlign w:val="center"/>
                </w:tcPr>
                <w:p w14:paraId="40BC2C35">
                  <w:pPr>
                    <w:pStyle w:val="72"/>
                    <w:jc w:val="both"/>
                    <w:rPr>
                      <w:b w:val="0"/>
                      <w:color w:val="auto"/>
                    </w:rPr>
                  </w:pPr>
                  <w:r>
                    <w:rPr>
                      <w:b w:val="0"/>
                      <w:color w:val="auto"/>
                    </w:rPr>
                    <w:t>1.组织编制环境风险应急预案，通过风险源的识别，制定不同风险源的应急处理处置方案，形成应对突发事故应急处理处置能力。</w:t>
                  </w:r>
                  <w:r>
                    <w:rPr>
                      <w:b w:val="0"/>
                      <w:color w:val="auto"/>
                    </w:rPr>
                    <w:br w:type="textWrapping"/>
                  </w:r>
                  <w:r>
                    <w:rPr>
                      <w:b w:val="0"/>
                      <w:color w:val="auto"/>
                    </w:rPr>
                    <w:t>2.建设风险事故废水排放管道及处置池。</w:t>
                  </w:r>
                </w:p>
              </w:tc>
              <w:tc>
                <w:tcPr>
                  <w:tcW w:w="1699" w:type="pct"/>
                  <w:tcBorders>
                    <w:tl2br w:val="nil"/>
                    <w:tr2bl w:val="nil"/>
                  </w:tcBorders>
                  <w:vAlign w:val="center"/>
                </w:tcPr>
                <w:p w14:paraId="072621C3">
                  <w:pPr>
                    <w:pStyle w:val="72"/>
                    <w:jc w:val="both"/>
                    <w:rPr>
                      <w:b w:val="0"/>
                      <w:color w:val="auto"/>
                    </w:rPr>
                  </w:pPr>
                  <w:r>
                    <w:rPr>
                      <w:b w:val="0"/>
                      <w:color w:val="auto"/>
                    </w:rPr>
                    <w:t>1.本次环评提出企业建成后按照要求</w:t>
                  </w:r>
                  <w:r>
                    <w:rPr>
                      <w:rFonts w:hint="eastAsia"/>
                      <w:b w:val="0"/>
                      <w:color w:val="auto"/>
                    </w:rPr>
                    <w:t>及时编制</w:t>
                  </w:r>
                  <w:r>
                    <w:rPr>
                      <w:b w:val="0"/>
                      <w:color w:val="auto"/>
                    </w:rPr>
                    <w:t>环境风险应急预案，并报当地环保部门备案。</w:t>
                  </w:r>
                </w:p>
                <w:p w14:paraId="5D53F534">
                  <w:pPr>
                    <w:pStyle w:val="72"/>
                    <w:jc w:val="both"/>
                    <w:rPr>
                      <w:b w:val="0"/>
                      <w:color w:val="auto"/>
                    </w:rPr>
                  </w:pPr>
                  <w:r>
                    <w:rPr>
                      <w:b w:val="0"/>
                      <w:color w:val="auto"/>
                    </w:rPr>
                    <w:t>2.本项目</w:t>
                  </w:r>
                  <w:r>
                    <w:rPr>
                      <w:rFonts w:hint="eastAsia"/>
                      <w:b w:val="0"/>
                      <w:color w:val="auto"/>
                    </w:rPr>
                    <w:t>渗滤液产生量较小，无需建设事故池</w:t>
                  </w:r>
                  <w:r>
                    <w:rPr>
                      <w:b w:val="0"/>
                      <w:color w:val="auto"/>
                    </w:rPr>
                    <w:t>。</w:t>
                  </w:r>
                </w:p>
              </w:tc>
              <w:tc>
                <w:tcPr>
                  <w:tcW w:w="444" w:type="pct"/>
                  <w:tcBorders>
                    <w:tl2br w:val="nil"/>
                    <w:tr2bl w:val="nil"/>
                  </w:tcBorders>
                  <w:vAlign w:val="center"/>
                </w:tcPr>
                <w:p w14:paraId="46F1E148">
                  <w:pPr>
                    <w:pStyle w:val="72"/>
                    <w:rPr>
                      <w:b w:val="0"/>
                      <w:color w:val="auto"/>
                    </w:rPr>
                  </w:pPr>
                  <w:r>
                    <w:rPr>
                      <w:b w:val="0"/>
                      <w:color w:val="auto"/>
                    </w:rPr>
                    <w:t>符合</w:t>
                  </w:r>
                </w:p>
              </w:tc>
            </w:tr>
            <w:tr w14:paraId="51BB1C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2F787951">
                  <w:pPr>
                    <w:pStyle w:val="72"/>
                    <w:rPr>
                      <w:b w:val="0"/>
                      <w:color w:val="auto"/>
                    </w:rPr>
                  </w:pPr>
                </w:p>
              </w:tc>
              <w:tc>
                <w:tcPr>
                  <w:tcW w:w="436" w:type="pct"/>
                  <w:vMerge w:val="continue"/>
                  <w:tcBorders>
                    <w:tl2br w:val="nil"/>
                    <w:tr2bl w:val="nil"/>
                  </w:tcBorders>
                  <w:vAlign w:val="center"/>
                </w:tcPr>
                <w:p w14:paraId="4458BBB2">
                  <w:pPr>
                    <w:pStyle w:val="72"/>
                    <w:rPr>
                      <w:b w:val="0"/>
                      <w:color w:val="auto"/>
                    </w:rPr>
                  </w:pPr>
                </w:p>
              </w:tc>
              <w:tc>
                <w:tcPr>
                  <w:tcW w:w="267" w:type="pct"/>
                  <w:tcBorders>
                    <w:tl2br w:val="nil"/>
                    <w:tr2bl w:val="nil"/>
                  </w:tcBorders>
                  <w:vAlign w:val="center"/>
                </w:tcPr>
                <w:p w14:paraId="41E63D32">
                  <w:pPr>
                    <w:pStyle w:val="72"/>
                    <w:rPr>
                      <w:b w:val="0"/>
                      <w:color w:val="auto"/>
                    </w:rPr>
                  </w:pPr>
                  <w:r>
                    <w:rPr>
                      <w:b w:val="0"/>
                      <w:color w:val="auto"/>
                    </w:rPr>
                    <w:t>资源开发效率要求</w:t>
                  </w:r>
                </w:p>
              </w:tc>
              <w:tc>
                <w:tcPr>
                  <w:tcW w:w="1901" w:type="pct"/>
                  <w:tcBorders>
                    <w:tl2br w:val="nil"/>
                    <w:tr2bl w:val="nil"/>
                  </w:tcBorders>
                  <w:vAlign w:val="center"/>
                </w:tcPr>
                <w:p w14:paraId="591ADA26">
                  <w:pPr>
                    <w:pStyle w:val="72"/>
                    <w:jc w:val="both"/>
                    <w:rPr>
                      <w:b w:val="0"/>
                      <w:color w:val="auto"/>
                    </w:rPr>
                  </w:pPr>
                  <w:r>
                    <w:rPr>
                      <w:b w:val="0"/>
                      <w:color w:val="auto"/>
                    </w:rPr>
                    <w:t>1.清洁生产水平不低于国家清洁生产标准规定的国内先进水平。</w:t>
                  </w:r>
                  <w:r>
                    <w:rPr>
                      <w:b w:val="0"/>
                      <w:color w:val="auto"/>
                    </w:rPr>
                    <w:br w:type="textWrapping"/>
                  </w:r>
                  <w:r>
                    <w:rPr>
                      <w:b w:val="0"/>
                      <w:color w:val="auto"/>
                    </w:rPr>
                    <w:t>2.金所片区：工业固废综合利用率≥70%，再生水回用率100%，单位工业增加值综合耗能≤0.5吨标煤/万元。</w:t>
                  </w:r>
                </w:p>
              </w:tc>
              <w:tc>
                <w:tcPr>
                  <w:tcW w:w="1699" w:type="pct"/>
                  <w:tcBorders>
                    <w:tl2br w:val="nil"/>
                    <w:tr2bl w:val="nil"/>
                  </w:tcBorders>
                  <w:vAlign w:val="center"/>
                </w:tcPr>
                <w:p w14:paraId="6A27D3BC">
                  <w:pPr>
                    <w:pStyle w:val="72"/>
                    <w:jc w:val="both"/>
                    <w:rPr>
                      <w:b w:val="0"/>
                      <w:color w:val="auto"/>
                    </w:rPr>
                  </w:pPr>
                  <w:r>
                    <w:rPr>
                      <w:b w:val="0"/>
                      <w:color w:val="auto"/>
                    </w:rPr>
                    <w:t>1.本项目清洁生产水平不低于国家清洁生产标准规定的国内先进水平。</w:t>
                  </w:r>
                </w:p>
                <w:p w14:paraId="289676B1">
                  <w:pPr>
                    <w:pStyle w:val="72"/>
                    <w:jc w:val="both"/>
                    <w:rPr>
                      <w:b w:val="0"/>
                      <w:color w:val="auto"/>
                    </w:rPr>
                  </w:pPr>
                  <w:r>
                    <w:rPr>
                      <w:b w:val="0"/>
                      <w:color w:val="auto"/>
                    </w:rPr>
                    <w:t>2.工业固体废物综合利用率≥70%。本项目</w:t>
                  </w:r>
                  <w:r>
                    <w:rPr>
                      <w:rFonts w:hint="eastAsia"/>
                      <w:b w:val="0"/>
                      <w:color w:val="auto"/>
                    </w:rPr>
                    <w:t>生产废水回用不外排</w:t>
                  </w:r>
                  <w:r>
                    <w:rPr>
                      <w:b w:val="0"/>
                      <w:color w:val="auto"/>
                    </w:rPr>
                    <w:t>。</w:t>
                  </w:r>
                </w:p>
              </w:tc>
              <w:tc>
                <w:tcPr>
                  <w:tcW w:w="444" w:type="pct"/>
                  <w:tcBorders>
                    <w:tl2br w:val="nil"/>
                    <w:tr2bl w:val="nil"/>
                  </w:tcBorders>
                  <w:vAlign w:val="center"/>
                </w:tcPr>
                <w:p w14:paraId="57079B6E">
                  <w:pPr>
                    <w:pStyle w:val="72"/>
                    <w:rPr>
                      <w:b w:val="0"/>
                      <w:color w:val="auto"/>
                    </w:rPr>
                  </w:pPr>
                  <w:r>
                    <w:rPr>
                      <w:b w:val="0"/>
                      <w:color w:val="auto"/>
                    </w:rPr>
                    <w:t>符合</w:t>
                  </w:r>
                </w:p>
              </w:tc>
            </w:tr>
          </w:tbl>
          <w:p w14:paraId="054A5952">
            <w:pPr>
              <w:spacing w:line="360" w:lineRule="auto"/>
              <w:ind w:firstLine="482"/>
              <w:rPr>
                <w:sz w:val="24"/>
              </w:rPr>
            </w:pPr>
            <w:r>
              <w:rPr>
                <w:sz w:val="24"/>
              </w:rPr>
              <w:t>因此，本项目建设符合《昆明市生态环境分区管控动态更新方案（2023年）》中的相关要求。</w:t>
            </w:r>
          </w:p>
          <w:bookmarkEnd w:id="5"/>
          <w:bookmarkEnd w:id="6"/>
          <w:bookmarkEnd w:id="7"/>
          <w:p w14:paraId="44747DE7">
            <w:pPr>
              <w:spacing w:line="360" w:lineRule="auto"/>
              <w:ind w:firstLine="482" w:firstLineChars="200"/>
              <w:rPr>
                <w:b/>
                <w:sz w:val="24"/>
              </w:rPr>
            </w:pPr>
            <w:r>
              <w:rPr>
                <w:rFonts w:hint="eastAsia"/>
                <w:b/>
                <w:sz w:val="24"/>
              </w:rPr>
              <w:t>3</w:t>
            </w:r>
            <w:r>
              <w:rPr>
                <w:b/>
                <w:sz w:val="24"/>
              </w:rPr>
              <w:t>、与《云南省牛栏江保护条例》符合性分析</w:t>
            </w:r>
          </w:p>
          <w:p w14:paraId="6C954086">
            <w:pPr>
              <w:spacing w:line="360" w:lineRule="auto"/>
              <w:ind w:firstLine="480" w:firstLineChars="200"/>
              <w:rPr>
                <w:sz w:val="24"/>
              </w:rPr>
            </w:pPr>
            <w:r>
              <w:rPr>
                <w:sz w:val="24"/>
              </w:rPr>
              <w:t>根据《云南省牛栏江保护条例》牛栏江流域上游保护区划分为水源保护核心区、重点污染控制区和重点水源涵养区。</w:t>
            </w:r>
          </w:p>
          <w:p w14:paraId="1C6A6399">
            <w:pPr>
              <w:spacing w:line="360" w:lineRule="auto"/>
              <w:ind w:firstLine="480" w:firstLineChars="200"/>
              <w:rPr>
                <w:sz w:val="24"/>
              </w:rPr>
            </w:pPr>
            <w:r>
              <w:rPr>
                <w:sz w:val="24"/>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77EBF81A">
            <w:pPr>
              <w:spacing w:line="360" w:lineRule="auto"/>
              <w:ind w:firstLine="480" w:firstLineChars="200"/>
              <w:rPr>
                <w:sz w:val="24"/>
              </w:rPr>
            </w:pPr>
            <w:r>
              <w:rPr>
                <w:sz w:val="24"/>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3CD85C35">
            <w:pPr>
              <w:spacing w:line="360" w:lineRule="auto"/>
              <w:ind w:firstLine="480" w:firstLineChars="200"/>
              <w:rPr>
                <w:sz w:val="24"/>
              </w:rPr>
            </w:pPr>
            <w:r>
              <w:rPr>
                <w:sz w:val="24"/>
              </w:rPr>
              <w:t>（三）重点水源涵养区为流域范围内除水源保护核心区、重点污染控制区以外的集水区域。</w:t>
            </w:r>
          </w:p>
          <w:p w14:paraId="526A66F9">
            <w:pPr>
              <w:spacing w:line="360" w:lineRule="auto"/>
              <w:ind w:firstLine="480" w:firstLineChars="200"/>
              <w:rPr>
                <w:sz w:val="24"/>
              </w:rPr>
            </w:pPr>
            <w:r>
              <w:rPr>
                <w:sz w:val="24"/>
              </w:rPr>
              <w:t>本项目位于云南寻甸产业园区金所片区金所组团内，根据牛栏江水系功能规划图可知，项目区属于重点污染控制区，本项目与牛栏江流域的位置关系详见附图6。根据《云南省牛栏江保护条例》中第三十二、三十三条中规定的禁止行为分析项目选址符合性。</w:t>
            </w:r>
          </w:p>
          <w:p w14:paraId="26BB1328">
            <w:pPr>
              <w:pStyle w:val="56"/>
            </w:pPr>
            <w:r>
              <w:t>表1-6  建设内容与《云南省牛栏江保护条例》符合性分析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47"/>
              <w:gridCol w:w="3260"/>
              <w:gridCol w:w="3333"/>
              <w:gridCol w:w="702"/>
            </w:tblGrid>
            <w:tr w14:paraId="63D9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Align w:val="center"/>
                </w:tcPr>
                <w:p w14:paraId="203E85EB">
                  <w:pPr>
                    <w:jc w:val="center"/>
                    <w:rPr>
                      <w:szCs w:val="21"/>
                    </w:rPr>
                  </w:pPr>
                  <w:r>
                    <w:rPr>
                      <w:szCs w:val="21"/>
                    </w:rPr>
                    <w:t>保护区划分</w:t>
                  </w:r>
                </w:p>
              </w:tc>
              <w:tc>
                <w:tcPr>
                  <w:tcW w:w="2001" w:type="pct"/>
                  <w:vAlign w:val="center"/>
                </w:tcPr>
                <w:p w14:paraId="25858570">
                  <w:pPr>
                    <w:jc w:val="center"/>
                    <w:rPr>
                      <w:szCs w:val="21"/>
                    </w:rPr>
                  </w:pPr>
                  <w:r>
                    <w:rPr>
                      <w:szCs w:val="21"/>
                    </w:rPr>
                    <w:t>禁止行为</w:t>
                  </w:r>
                </w:p>
              </w:tc>
              <w:tc>
                <w:tcPr>
                  <w:tcW w:w="2046" w:type="pct"/>
                  <w:vAlign w:val="center"/>
                </w:tcPr>
                <w:p w14:paraId="7BC0FEDF">
                  <w:pPr>
                    <w:jc w:val="center"/>
                    <w:rPr>
                      <w:szCs w:val="21"/>
                    </w:rPr>
                  </w:pPr>
                  <w:r>
                    <w:rPr>
                      <w:szCs w:val="21"/>
                    </w:rPr>
                    <w:t>建设内容</w:t>
                  </w:r>
                </w:p>
              </w:tc>
              <w:tc>
                <w:tcPr>
                  <w:tcW w:w="431" w:type="pct"/>
                  <w:vAlign w:val="center"/>
                </w:tcPr>
                <w:p w14:paraId="53E9C859">
                  <w:pPr>
                    <w:jc w:val="center"/>
                    <w:rPr>
                      <w:szCs w:val="21"/>
                    </w:rPr>
                  </w:pPr>
                  <w:r>
                    <w:rPr>
                      <w:szCs w:val="21"/>
                    </w:rPr>
                    <w:t>符合性</w:t>
                  </w:r>
                </w:p>
              </w:tc>
            </w:tr>
            <w:tr w14:paraId="03C7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39" w:hRule="atLeast"/>
                <w:jc w:val="center"/>
              </w:trPr>
              <w:tc>
                <w:tcPr>
                  <w:tcW w:w="520" w:type="pct"/>
                  <w:vMerge w:val="restart"/>
                  <w:vAlign w:val="center"/>
                </w:tcPr>
                <w:p w14:paraId="0FE152F5">
                  <w:pPr>
                    <w:pStyle w:val="72"/>
                    <w:rPr>
                      <w:b w:val="0"/>
                      <w:color w:val="auto"/>
                    </w:rPr>
                  </w:pPr>
                  <w:r>
                    <w:rPr>
                      <w:b w:val="0"/>
                      <w:color w:val="auto"/>
                    </w:rPr>
                    <w:t>重点污染控制区</w:t>
                  </w:r>
                </w:p>
              </w:tc>
              <w:tc>
                <w:tcPr>
                  <w:tcW w:w="2001" w:type="pct"/>
                  <w:vAlign w:val="center"/>
                </w:tcPr>
                <w:p w14:paraId="084F32FF">
                  <w:pPr>
                    <w:pStyle w:val="72"/>
                    <w:rPr>
                      <w:b w:val="0"/>
                      <w:color w:val="auto"/>
                    </w:rPr>
                  </w:pPr>
                  <w:r>
                    <w:rPr>
                      <w:b w:val="0"/>
                      <w:color w:val="auto"/>
                    </w:rPr>
                    <w:t>（一）盗伐、滥伐林木和破坏草地；</w:t>
                  </w:r>
                </w:p>
              </w:tc>
              <w:tc>
                <w:tcPr>
                  <w:tcW w:w="2046" w:type="pct"/>
                  <w:vAlign w:val="center"/>
                </w:tcPr>
                <w:p w14:paraId="371C12EA">
                  <w:pPr>
                    <w:pStyle w:val="72"/>
                    <w:rPr>
                      <w:b w:val="0"/>
                      <w:color w:val="auto"/>
                    </w:rPr>
                  </w:pPr>
                  <w:r>
                    <w:rPr>
                      <w:b w:val="0"/>
                      <w:color w:val="auto"/>
                    </w:rPr>
                    <w:t>项目位于云南寻甸产业园区金所片区金所组团内，项目用地属于园区工业用地，不存在盗伐、滥伐林木和破坏草地行为。</w:t>
                  </w:r>
                </w:p>
              </w:tc>
              <w:tc>
                <w:tcPr>
                  <w:tcW w:w="431" w:type="pct"/>
                  <w:vAlign w:val="center"/>
                </w:tcPr>
                <w:p w14:paraId="25E55130">
                  <w:pPr>
                    <w:pStyle w:val="72"/>
                    <w:rPr>
                      <w:b w:val="0"/>
                      <w:color w:val="auto"/>
                    </w:rPr>
                  </w:pPr>
                  <w:r>
                    <w:rPr>
                      <w:b w:val="0"/>
                      <w:color w:val="auto"/>
                    </w:rPr>
                    <w:t>符合</w:t>
                  </w:r>
                </w:p>
              </w:tc>
            </w:tr>
            <w:tr w14:paraId="4E33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3D2A9E57">
                  <w:pPr>
                    <w:pStyle w:val="72"/>
                    <w:rPr>
                      <w:b w:val="0"/>
                      <w:color w:val="auto"/>
                    </w:rPr>
                  </w:pPr>
                </w:p>
              </w:tc>
              <w:tc>
                <w:tcPr>
                  <w:tcW w:w="2001" w:type="pct"/>
                  <w:vAlign w:val="center"/>
                </w:tcPr>
                <w:p w14:paraId="5BEE8485">
                  <w:pPr>
                    <w:pStyle w:val="72"/>
                    <w:rPr>
                      <w:b w:val="0"/>
                      <w:color w:val="auto"/>
                    </w:rPr>
                  </w:pPr>
                  <w:r>
                    <w:rPr>
                      <w:b w:val="0"/>
                      <w:color w:val="auto"/>
                    </w:rPr>
                    <w:t>（二）使用高毒、高残留农药；</w:t>
                  </w:r>
                </w:p>
              </w:tc>
              <w:tc>
                <w:tcPr>
                  <w:tcW w:w="2046" w:type="pct"/>
                  <w:vAlign w:val="center"/>
                </w:tcPr>
                <w:p w14:paraId="49CEB1CA">
                  <w:pPr>
                    <w:pStyle w:val="72"/>
                    <w:rPr>
                      <w:b w:val="0"/>
                      <w:color w:val="auto"/>
                    </w:rPr>
                  </w:pPr>
                  <w:r>
                    <w:rPr>
                      <w:b w:val="0"/>
                      <w:color w:val="auto"/>
                    </w:rPr>
                    <w:t>不涉及。</w:t>
                  </w:r>
                </w:p>
              </w:tc>
              <w:tc>
                <w:tcPr>
                  <w:tcW w:w="431" w:type="pct"/>
                  <w:vAlign w:val="center"/>
                </w:tcPr>
                <w:p w14:paraId="033F00F0">
                  <w:pPr>
                    <w:pStyle w:val="72"/>
                    <w:rPr>
                      <w:b w:val="0"/>
                      <w:color w:val="auto"/>
                    </w:rPr>
                  </w:pPr>
                  <w:r>
                    <w:rPr>
                      <w:b w:val="0"/>
                      <w:color w:val="auto"/>
                    </w:rPr>
                    <w:t>符合</w:t>
                  </w:r>
                </w:p>
              </w:tc>
            </w:tr>
            <w:tr w14:paraId="7FDC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21294BEB">
                  <w:pPr>
                    <w:pStyle w:val="72"/>
                    <w:rPr>
                      <w:b w:val="0"/>
                      <w:color w:val="auto"/>
                    </w:rPr>
                  </w:pPr>
                </w:p>
              </w:tc>
              <w:tc>
                <w:tcPr>
                  <w:tcW w:w="2001" w:type="pct"/>
                  <w:vAlign w:val="center"/>
                </w:tcPr>
                <w:p w14:paraId="1BB4C6AD">
                  <w:pPr>
                    <w:pStyle w:val="72"/>
                    <w:rPr>
                      <w:b w:val="0"/>
                      <w:color w:val="auto"/>
                    </w:rPr>
                  </w:pPr>
                  <w:r>
                    <w:rPr>
                      <w:b w:val="0"/>
                      <w:color w:val="auto"/>
                    </w:rPr>
                    <w:t>（三）利用溶洞、渗井、渗坑、裂隙排放、倾倒含有毒有害物质的废水、废渣；</w:t>
                  </w:r>
                </w:p>
              </w:tc>
              <w:tc>
                <w:tcPr>
                  <w:tcW w:w="2046" w:type="pct"/>
                  <w:vMerge w:val="restart"/>
                  <w:vAlign w:val="center"/>
                </w:tcPr>
                <w:p w14:paraId="233C09F1">
                  <w:pPr>
                    <w:pStyle w:val="72"/>
                    <w:rPr>
                      <w:b w:val="0"/>
                      <w:color w:val="auto"/>
                    </w:rPr>
                  </w:pPr>
                  <w:r>
                    <w:rPr>
                      <w:b w:val="0"/>
                      <w:color w:val="auto"/>
                    </w:rPr>
                    <w:t>1.项目无废水</w:t>
                  </w:r>
                  <w:r>
                    <w:rPr>
                      <w:rFonts w:hint="eastAsia"/>
                      <w:b w:val="0"/>
                      <w:color w:val="auto"/>
                    </w:rPr>
                    <w:t>排入水体</w:t>
                  </w:r>
                  <w:r>
                    <w:rPr>
                      <w:b w:val="0"/>
                      <w:color w:val="auto"/>
                    </w:rPr>
                    <w:t>。</w:t>
                  </w:r>
                </w:p>
                <w:p w14:paraId="2C68D0ED">
                  <w:pPr>
                    <w:pStyle w:val="72"/>
                    <w:rPr>
                      <w:b w:val="0"/>
                      <w:color w:val="auto"/>
                    </w:rPr>
                  </w:pPr>
                  <w:r>
                    <w:rPr>
                      <w:b w:val="0"/>
                      <w:color w:val="auto"/>
                    </w:rPr>
                    <w:t>2.项目所有固体废弃物均得到合理有效的利用和处置，处置率为100%。</w:t>
                  </w:r>
                </w:p>
              </w:tc>
              <w:tc>
                <w:tcPr>
                  <w:tcW w:w="431" w:type="pct"/>
                  <w:vAlign w:val="center"/>
                </w:tcPr>
                <w:p w14:paraId="6F8C3D06">
                  <w:pPr>
                    <w:pStyle w:val="72"/>
                    <w:rPr>
                      <w:b w:val="0"/>
                      <w:color w:val="auto"/>
                    </w:rPr>
                  </w:pPr>
                  <w:r>
                    <w:rPr>
                      <w:b w:val="0"/>
                      <w:color w:val="auto"/>
                    </w:rPr>
                    <w:t>符合</w:t>
                  </w:r>
                </w:p>
              </w:tc>
            </w:tr>
            <w:tr w14:paraId="035E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7103CAC0">
                  <w:pPr>
                    <w:pStyle w:val="72"/>
                    <w:rPr>
                      <w:b w:val="0"/>
                      <w:color w:val="auto"/>
                    </w:rPr>
                  </w:pPr>
                </w:p>
              </w:tc>
              <w:tc>
                <w:tcPr>
                  <w:tcW w:w="2001" w:type="pct"/>
                  <w:vAlign w:val="center"/>
                </w:tcPr>
                <w:p w14:paraId="62479AC0">
                  <w:pPr>
                    <w:pStyle w:val="72"/>
                    <w:rPr>
                      <w:b w:val="0"/>
                      <w:color w:val="auto"/>
                    </w:rPr>
                  </w:pPr>
                  <w:r>
                    <w:rPr>
                      <w:b w:val="0"/>
                      <w:color w:val="auto"/>
                    </w:rPr>
                    <w:t>（四）向水体排放废水、倾倒工业废渣、城镇垃圾或者其他废弃物；</w:t>
                  </w:r>
                </w:p>
              </w:tc>
              <w:tc>
                <w:tcPr>
                  <w:tcW w:w="2046" w:type="pct"/>
                  <w:vMerge w:val="continue"/>
                  <w:vAlign w:val="center"/>
                </w:tcPr>
                <w:p w14:paraId="556BA009">
                  <w:pPr>
                    <w:pStyle w:val="72"/>
                    <w:rPr>
                      <w:b w:val="0"/>
                      <w:color w:val="auto"/>
                    </w:rPr>
                  </w:pPr>
                </w:p>
              </w:tc>
              <w:tc>
                <w:tcPr>
                  <w:tcW w:w="431" w:type="pct"/>
                  <w:vAlign w:val="center"/>
                </w:tcPr>
                <w:p w14:paraId="55961C0D">
                  <w:pPr>
                    <w:pStyle w:val="72"/>
                    <w:rPr>
                      <w:b w:val="0"/>
                      <w:color w:val="auto"/>
                    </w:rPr>
                  </w:pPr>
                  <w:r>
                    <w:rPr>
                      <w:b w:val="0"/>
                      <w:color w:val="auto"/>
                    </w:rPr>
                    <w:t>符合</w:t>
                  </w:r>
                </w:p>
              </w:tc>
            </w:tr>
            <w:tr w14:paraId="608D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06E533E5">
                  <w:pPr>
                    <w:pStyle w:val="72"/>
                    <w:rPr>
                      <w:b w:val="0"/>
                      <w:color w:val="auto"/>
                    </w:rPr>
                  </w:pPr>
                </w:p>
              </w:tc>
              <w:tc>
                <w:tcPr>
                  <w:tcW w:w="2001" w:type="pct"/>
                  <w:vAlign w:val="center"/>
                </w:tcPr>
                <w:p w14:paraId="419155EC">
                  <w:pPr>
                    <w:pStyle w:val="72"/>
                    <w:rPr>
                      <w:b w:val="0"/>
                      <w:color w:val="auto"/>
                    </w:rPr>
                  </w:pPr>
                  <w:r>
                    <w:rPr>
                      <w:b w:val="0"/>
                      <w:color w:val="auto"/>
                    </w:rPr>
                    <w:t>（五）在江河、渠道、水库最高水位线以下的滩地、岸坡堆放、存贮固体废弃物或者其他污染物；</w:t>
                  </w:r>
                </w:p>
              </w:tc>
              <w:tc>
                <w:tcPr>
                  <w:tcW w:w="2046" w:type="pct"/>
                  <w:vAlign w:val="center"/>
                </w:tcPr>
                <w:p w14:paraId="251E0B39">
                  <w:pPr>
                    <w:pStyle w:val="72"/>
                    <w:rPr>
                      <w:b w:val="0"/>
                      <w:color w:val="auto"/>
                    </w:rPr>
                  </w:pPr>
                  <w:r>
                    <w:rPr>
                      <w:b w:val="0"/>
                      <w:color w:val="auto"/>
                    </w:rPr>
                    <w:t>项目危险废物暂存</w:t>
                  </w:r>
                  <w:r>
                    <w:rPr>
                      <w:rFonts w:hint="eastAsia"/>
                      <w:b w:val="0"/>
                      <w:color w:val="auto"/>
                    </w:rPr>
                    <w:t>库</w:t>
                  </w:r>
                  <w:r>
                    <w:rPr>
                      <w:b w:val="0"/>
                      <w:color w:val="auto"/>
                    </w:rPr>
                    <w:t>暂存危险废物，并委托资质单位进行处置，危险废物贮存设施的选址与设计、运行与管理、安全防护、环境监测及应急措施等</w:t>
                  </w:r>
                  <w:r>
                    <w:rPr>
                      <w:rFonts w:hint="eastAsia"/>
                      <w:b w:val="0"/>
                      <w:color w:val="auto"/>
                    </w:rPr>
                    <w:t>符合</w:t>
                  </w:r>
                  <w:r>
                    <w:rPr>
                      <w:b w:val="0"/>
                      <w:color w:val="auto"/>
                    </w:rPr>
                    <w:t>《危险废物贮存污染控制标准》（GB18597-2023）的规定。</w:t>
                  </w:r>
                </w:p>
              </w:tc>
              <w:tc>
                <w:tcPr>
                  <w:tcW w:w="431" w:type="pct"/>
                  <w:vAlign w:val="center"/>
                </w:tcPr>
                <w:p w14:paraId="5D23316F">
                  <w:pPr>
                    <w:pStyle w:val="72"/>
                    <w:rPr>
                      <w:b w:val="0"/>
                      <w:color w:val="auto"/>
                    </w:rPr>
                  </w:pPr>
                  <w:r>
                    <w:rPr>
                      <w:b w:val="0"/>
                      <w:color w:val="auto"/>
                    </w:rPr>
                    <w:t>符合</w:t>
                  </w:r>
                </w:p>
              </w:tc>
            </w:tr>
            <w:tr w14:paraId="4E3F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7C111252">
                  <w:pPr>
                    <w:pStyle w:val="72"/>
                    <w:rPr>
                      <w:b w:val="0"/>
                      <w:color w:val="auto"/>
                    </w:rPr>
                  </w:pPr>
                </w:p>
              </w:tc>
              <w:tc>
                <w:tcPr>
                  <w:tcW w:w="2001" w:type="pct"/>
                  <w:vAlign w:val="center"/>
                </w:tcPr>
                <w:p w14:paraId="1950022A">
                  <w:pPr>
                    <w:pStyle w:val="72"/>
                    <w:rPr>
                      <w:b w:val="0"/>
                      <w:color w:val="auto"/>
                    </w:rPr>
                  </w:pPr>
                  <w:r>
                    <w:rPr>
                      <w:b w:val="0"/>
                      <w:color w:val="auto"/>
                    </w:rPr>
                    <w:t>（六）利用无防渗漏措施的沟渠、坑塘等输送或者存贮含有毒污染物的废水、含病原体的污水或者其他废弃物。</w:t>
                  </w:r>
                </w:p>
              </w:tc>
              <w:tc>
                <w:tcPr>
                  <w:tcW w:w="2046" w:type="pct"/>
                  <w:vAlign w:val="center"/>
                </w:tcPr>
                <w:p w14:paraId="0C7D15FD">
                  <w:pPr>
                    <w:pStyle w:val="72"/>
                    <w:rPr>
                      <w:b w:val="0"/>
                      <w:color w:val="auto"/>
                    </w:rPr>
                  </w:pPr>
                  <w:r>
                    <w:rPr>
                      <w:b w:val="0"/>
                      <w:color w:val="auto"/>
                    </w:rPr>
                    <w:t>项目不产生含有毒、病原体的污水，项目各污染物均得到妥善处置，无此行为。</w:t>
                  </w:r>
                </w:p>
              </w:tc>
              <w:tc>
                <w:tcPr>
                  <w:tcW w:w="431" w:type="pct"/>
                  <w:vAlign w:val="center"/>
                </w:tcPr>
                <w:p w14:paraId="323E3311">
                  <w:pPr>
                    <w:pStyle w:val="72"/>
                    <w:rPr>
                      <w:b w:val="0"/>
                      <w:color w:val="auto"/>
                    </w:rPr>
                  </w:pPr>
                  <w:r>
                    <w:rPr>
                      <w:b w:val="0"/>
                      <w:color w:val="auto"/>
                    </w:rPr>
                    <w:t>符合</w:t>
                  </w:r>
                </w:p>
              </w:tc>
            </w:tr>
            <w:tr w14:paraId="5866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567E71D4">
                  <w:pPr>
                    <w:pStyle w:val="72"/>
                    <w:rPr>
                      <w:b w:val="0"/>
                      <w:color w:val="auto"/>
                    </w:rPr>
                  </w:pPr>
                </w:p>
              </w:tc>
              <w:tc>
                <w:tcPr>
                  <w:tcW w:w="2001" w:type="pct"/>
                  <w:vAlign w:val="center"/>
                </w:tcPr>
                <w:p w14:paraId="3141FBE4">
                  <w:pPr>
                    <w:pStyle w:val="72"/>
                    <w:rPr>
                      <w:b w:val="0"/>
                      <w:color w:val="auto"/>
                    </w:rPr>
                  </w:pPr>
                  <w:r>
                    <w:rPr>
                      <w:b w:val="0"/>
                      <w:color w:val="auto"/>
                    </w:rPr>
                    <w:t>（七）新建、扩建工业园区；</w:t>
                  </w:r>
                </w:p>
              </w:tc>
              <w:tc>
                <w:tcPr>
                  <w:tcW w:w="2046" w:type="pct"/>
                  <w:vAlign w:val="center"/>
                </w:tcPr>
                <w:p w14:paraId="40BF7711">
                  <w:pPr>
                    <w:pStyle w:val="72"/>
                    <w:rPr>
                      <w:b w:val="0"/>
                      <w:color w:val="auto"/>
                    </w:rPr>
                  </w:pPr>
                  <w:r>
                    <w:rPr>
                      <w:b w:val="0"/>
                      <w:color w:val="auto"/>
                    </w:rPr>
                    <w:t>无此行为。</w:t>
                  </w:r>
                </w:p>
              </w:tc>
              <w:tc>
                <w:tcPr>
                  <w:tcW w:w="431" w:type="pct"/>
                  <w:vAlign w:val="center"/>
                </w:tcPr>
                <w:p w14:paraId="0FEA9B7D">
                  <w:pPr>
                    <w:pStyle w:val="72"/>
                    <w:rPr>
                      <w:b w:val="0"/>
                      <w:color w:val="auto"/>
                    </w:rPr>
                  </w:pPr>
                  <w:r>
                    <w:rPr>
                      <w:b w:val="0"/>
                      <w:color w:val="auto"/>
                    </w:rPr>
                    <w:t>符合</w:t>
                  </w:r>
                </w:p>
              </w:tc>
            </w:tr>
            <w:tr w14:paraId="092B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33A03753">
                  <w:pPr>
                    <w:pStyle w:val="72"/>
                    <w:rPr>
                      <w:b w:val="0"/>
                      <w:color w:val="auto"/>
                    </w:rPr>
                  </w:pPr>
                </w:p>
              </w:tc>
              <w:tc>
                <w:tcPr>
                  <w:tcW w:w="2001" w:type="pct"/>
                  <w:vAlign w:val="center"/>
                </w:tcPr>
                <w:p w14:paraId="43EB1363">
                  <w:pPr>
                    <w:pStyle w:val="72"/>
                    <w:rPr>
                      <w:b w:val="0"/>
                      <w:color w:val="auto"/>
                    </w:rPr>
                  </w:pPr>
                  <w:r>
                    <w:rPr>
                      <w:b w:val="0"/>
                      <w:color w:val="auto"/>
                    </w:rPr>
                    <w:t>（八）新建、扩建重点水污染物排放的工业项目；</w:t>
                  </w:r>
                </w:p>
              </w:tc>
              <w:tc>
                <w:tcPr>
                  <w:tcW w:w="2046" w:type="pct"/>
                  <w:vAlign w:val="center"/>
                </w:tcPr>
                <w:p w14:paraId="51E85A8E">
                  <w:pPr>
                    <w:pStyle w:val="72"/>
                    <w:rPr>
                      <w:b w:val="0"/>
                      <w:color w:val="auto"/>
                    </w:rPr>
                  </w:pPr>
                  <w:r>
                    <w:rPr>
                      <w:b w:val="0"/>
                      <w:color w:val="auto"/>
                    </w:rPr>
                    <w:t>项目不是重点水污染物排放的工业项目。</w:t>
                  </w:r>
                </w:p>
              </w:tc>
              <w:tc>
                <w:tcPr>
                  <w:tcW w:w="431" w:type="pct"/>
                  <w:vAlign w:val="center"/>
                </w:tcPr>
                <w:p w14:paraId="517B37D9">
                  <w:pPr>
                    <w:pStyle w:val="72"/>
                    <w:rPr>
                      <w:b w:val="0"/>
                      <w:color w:val="auto"/>
                    </w:rPr>
                  </w:pPr>
                  <w:r>
                    <w:rPr>
                      <w:b w:val="0"/>
                      <w:color w:val="auto"/>
                    </w:rPr>
                    <w:t>符合</w:t>
                  </w:r>
                </w:p>
              </w:tc>
            </w:tr>
            <w:tr w14:paraId="3185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67A124D0">
                  <w:pPr>
                    <w:pStyle w:val="72"/>
                    <w:rPr>
                      <w:b w:val="0"/>
                      <w:color w:val="auto"/>
                    </w:rPr>
                  </w:pPr>
                </w:p>
              </w:tc>
              <w:tc>
                <w:tcPr>
                  <w:tcW w:w="2001" w:type="pct"/>
                  <w:vAlign w:val="center"/>
                </w:tcPr>
                <w:p w14:paraId="083F0EDC">
                  <w:pPr>
                    <w:pStyle w:val="72"/>
                    <w:rPr>
                      <w:b w:val="0"/>
                      <w:color w:val="auto"/>
                    </w:rPr>
                  </w:pPr>
                  <w:r>
                    <w:rPr>
                      <w:b w:val="0"/>
                      <w:color w:val="auto"/>
                    </w:rPr>
                    <w:t>（九）新建、改建、扩建经营性陵园、公墓。</w:t>
                  </w:r>
                </w:p>
              </w:tc>
              <w:tc>
                <w:tcPr>
                  <w:tcW w:w="2046" w:type="pct"/>
                  <w:vAlign w:val="center"/>
                </w:tcPr>
                <w:p w14:paraId="2AE2993F">
                  <w:pPr>
                    <w:pStyle w:val="72"/>
                    <w:rPr>
                      <w:b w:val="0"/>
                      <w:color w:val="auto"/>
                    </w:rPr>
                  </w:pPr>
                  <w:r>
                    <w:rPr>
                      <w:b w:val="0"/>
                      <w:color w:val="auto"/>
                    </w:rPr>
                    <w:t>与项目无关。</w:t>
                  </w:r>
                </w:p>
              </w:tc>
              <w:tc>
                <w:tcPr>
                  <w:tcW w:w="431" w:type="pct"/>
                  <w:vAlign w:val="center"/>
                </w:tcPr>
                <w:p w14:paraId="0E9C2A5B">
                  <w:pPr>
                    <w:pStyle w:val="72"/>
                    <w:rPr>
                      <w:b w:val="0"/>
                      <w:color w:val="auto"/>
                    </w:rPr>
                  </w:pPr>
                  <w:r>
                    <w:rPr>
                      <w:b w:val="0"/>
                      <w:color w:val="auto"/>
                    </w:rPr>
                    <w:t>符合</w:t>
                  </w:r>
                </w:p>
              </w:tc>
            </w:tr>
          </w:tbl>
          <w:p w14:paraId="37480DE8">
            <w:pPr>
              <w:spacing w:line="360" w:lineRule="auto"/>
              <w:ind w:firstLine="480" w:firstLineChars="200"/>
              <w:rPr>
                <w:b/>
                <w:sz w:val="24"/>
              </w:rPr>
            </w:pPr>
            <w:r>
              <w:rPr>
                <w:sz w:val="24"/>
              </w:rPr>
              <w:t>综上所述，本项目生产中不涉及高毒、高残留农药，项目废水不外排；固废均能得到有效处置，处置率达100%。项目建设和运营期不存在牛栏江污染控制区禁止的行为，故项目与《云南省牛栏江保护条例》相符。</w:t>
            </w:r>
          </w:p>
          <w:p w14:paraId="4F8D0835">
            <w:pPr>
              <w:adjustRightInd w:val="0"/>
              <w:snapToGrid w:val="0"/>
              <w:spacing w:line="360" w:lineRule="auto"/>
              <w:ind w:firstLine="482" w:firstLineChars="200"/>
              <w:rPr>
                <w:b/>
                <w:sz w:val="24"/>
              </w:rPr>
            </w:pPr>
            <w:r>
              <w:rPr>
                <w:b/>
                <w:sz w:val="24"/>
              </w:rPr>
              <w:t>4、与《牛栏江流域（云南部分）水环境保护规划（2009~2030）》的相符性分析</w:t>
            </w:r>
          </w:p>
          <w:p w14:paraId="79CF065E">
            <w:pPr>
              <w:spacing w:line="360" w:lineRule="auto"/>
              <w:ind w:firstLine="480" w:firstLineChars="200"/>
              <w:rPr>
                <w:kern w:val="0"/>
                <w:sz w:val="24"/>
              </w:rPr>
            </w:pPr>
            <w:r>
              <w:rPr>
                <w:kern w:val="0"/>
                <w:sz w:val="24"/>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w:t>
            </w:r>
            <w:r>
              <w:rPr>
                <w:rFonts w:hint="eastAsia"/>
                <w:kern w:val="0"/>
                <w:sz w:val="24"/>
              </w:rPr>
              <w:t>5</w:t>
            </w:r>
            <w:r>
              <w:rPr>
                <w:kern w:val="0"/>
                <w:sz w:val="24"/>
              </w:rPr>
              <w:t>6km²，属于污染重点治理区。水源涵养区包括除水源保护核心区、重点污染控制区以外的山地。涉及杨林镇、仁德镇、通泉镇、王家庄镇、马过河镇、旧县镇六个乡镇，面积1764.16km²。</w:t>
            </w:r>
          </w:p>
          <w:p w14:paraId="0E1ADB6C">
            <w:pPr>
              <w:spacing w:line="360" w:lineRule="auto"/>
              <w:ind w:firstLine="480" w:firstLineChars="200"/>
              <w:rPr>
                <w:sz w:val="24"/>
              </w:rPr>
            </w:pPr>
            <w:r>
              <w:rPr>
                <w:sz w:val="24"/>
              </w:rPr>
              <w:t>本项目位于云南寻甸产业园区金所片区金所组团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14:paraId="051C5701">
            <w:pPr>
              <w:spacing w:line="360" w:lineRule="auto"/>
              <w:ind w:firstLine="480" w:firstLineChars="200"/>
              <w:rPr>
                <w:kern w:val="0"/>
                <w:sz w:val="24"/>
              </w:rPr>
            </w:pPr>
            <w:r>
              <w:rPr>
                <w:rFonts w:hint="eastAsia"/>
                <w:kern w:val="0"/>
                <w:sz w:val="24"/>
              </w:rPr>
              <w:t>项目排水采用雨污分流的排水方式，生产过程中废水回用不外排；员工不在项目区食宿，办公生活和如厕依托云南建工云岭水泥有限公司已建的设施，生活污水依托已建的污水处理设施进行处理，不外排。</w:t>
            </w:r>
            <w:r>
              <w:rPr>
                <w:kern w:val="0"/>
                <w:sz w:val="24"/>
              </w:rPr>
              <w:t>项目内设有垃圾和危废收集设施，可保证固废合理收集处置，</w:t>
            </w:r>
            <w:r>
              <w:rPr>
                <w:rFonts w:hint="eastAsia"/>
                <w:kern w:val="0"/>
                <w:sz w:val="24"/>
              </w:rPr>
              <w:t>生活垃圾</w:t>
            </w:r>
            <w:r>
              <w:rPr>
                <w:kern w:val="0"/>
                <w:sz w:val="24"/>
              </w:rPr>
              <w:t>由环卫部门进行处置，危废收集后委托有资质单位处理。项目选址符合《云南省牛栏江保护条例》中的选址要求。</w:t>
            </w:r>
          </w:p>
          <w:p w14:paraId="11D1DBFB">
            <w:pPr>
              <w:spacing w:line="360" w:lineRule="auto"/>
              <w:ind w:firstLine="480" w:firstLineChars="200"/>
              <w:rPr>
                <w:sz w:val="24"/>
              </w:rPr>
            </w:pPr>
            <w:r>
              <w:rPr>
                <w:sz w:val="24"/>
              </w:rPr>
              <w:t>综上所述，项目选址符合《牛栏江流域（云南部分）水环境保护规划（2009~2030）》对重点污染控制区的水环境保护要求。</w:t>
            </w:r>
          </w:p>
          <w:p w14:paraId="7487A4DB">
            <w:pPr>
              <w:spacing w:line="360" w:lineRule="auto"/>
              <w:ind w:firstLine="482" w:firstLineChars="200"/>
              <w:rPr>
                <w:kern w:val="0"/>
                <w:sz w:val="24"/>
              </w:rPr>
            </w:pPr>
            <w:r>
              <w:rPr>
                <w:rFonts w:hint="eastAsia"/>
                <w:b/>
                <w:sz w:val="24"/>
              </w:rPr>
              <w:t>5、</w:t>
            </w:r>
            <w:r>
              <w:rPr>
                <w:b/>
                <w:bCs/>
                <w:kern w:val="0"/>
                <w:sz w:val="24"/>
              </w:rPr>
              <w:t>与《牛栏江流域（寻甸段）水环境保护规划（20</w:t>
            </w:r>
            <w:r>
              <w:rPr>
                <w:rFonts w:hint="eastAsia"/>
                <w:b/>
                <w:bCs/>
                <w:kern w:val="0"/>
                <w:sz w:val="24"/>
              </w:rPr>
              <w:t>09</w:t>
            </w:r>
            <w:r>
              <w:rPr>
                <w:b/>
                <w:bCs/>
                <w:kern w:val="0"/>
                <w:sz w:val="24"/>
              </w:rPr>
              <w:t>~2030）》的相符性分析</w:t>
            </w:r>
          </w:p>
          <w:p w14:paraId="52ED7D72">
            <w:pPr>
              <w:spacing w:line="360" w:lineRule="auto"/>
              <w:ind w:firstLine="480" w:firstLineChars="200"/>
              <w:rPr>
                <w:sz w:val="24"/>
              </w:rPr>
            </w:pPr>
            <w:r>
              <w:rPr>
                <w:sz w:val="24"/>
              </w:rPr>
              <w:t>根据《牛栏江流域（寻甸段）水环境保护规划》分区结果，牛栏江流域（寻甸段）共分为三个区进行保护，水源保护核心区、重点污染控制区、重点水源涵养区，各分区范围节点如下：</w:t>
            </w:r>
          </w:p>
          <w:p w14:paraId="5E060854">
            <w:pPr>
              <w:spacing w:line="360" w:lineRule="auto"/>
              <w:ind w:firstLine="480" w:firstLineChars="200"/>
              <w:rPr>
                <w:sz w:val="24"/>
              </w:rPr>
            </w:pPr>
            <w:r>
              <w:rPr>
                <w:sz w:val="24"/>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2CB94790">
            <w:pPr>
              <w:spacing w:line="360" w:lineRule="auto"/>
              <w:ind w:firstLine="480" w:firstLineChars="200"/>
              <w:rPr>
                <w:sz w:val="24"/>
              </w:rPr>
            </w:pPr>
            <w:r>
              <w:rPr>
                <w:sz w:val="24"/>
              </w:rPr>
              <w:t>②重点污染控制区范围指水体保护核心区外，主要入江支流水域外延3000m的区域和流域范围内的坝区，若区域范围超过一级山脊，按一级山脊线划定。</w:t>
            </w:r>
          </w:p>
          <w:p w14:paraId="2DB4285D">
            <w:pPr>
              <w:spacing w:line="360" w:lineRule="auto"/>
              <w:ind w:firstLine="480" w:firstLineChars="200"/>
              <w:rPr>
                <w:sz w:val="24"/>
              </w:rPr>
            </w:pPr>
            <w:r>
              <w:rPr>
                <w:sz w:val="24"/>
              </w:rPr>
              <w:t>③重点水源涵养区范围指流域范围内除水源保护核心区、重点污染控制区以外的区域。</w:t>
            </w:r>
          </w:p>
          <w:p w14:paraId="4244E9AD">
            <w:pPr>
              <w:spacing w:line="360" w:lineRule="auto"/>
              <w:ind w:firstLine="480" w:firstLineChars="200"/>
              <w:rPr>
                <w:kern w:val="0"/>
                <w:sz w:val="24"/>
              </w:rPr>
            </w:pPr>
            <w:r>
              <w:rPr>
                <w:kern w:val="0"/>
                <w:sz w:val="24"/>
              </w:rPr>
              <w:t>本项目位于</w:t>
            </w:r>
            <w:r>
              <w:rPr>
                <w:sz w:val="24"/>
              </w:rPr>
              <w:t>云南寻甸产业园区金所片区金所组团内</w:t>
            </w:r>
            <w:r>
              <w:rPr>
                <w:kern w:val="0"/>
                <w:sz w:val="24"/>
              </w:rPr>
              <w:t>，属重点污染控制区。对照《牛栏江（寻甸段）水环境保护规划（20</w:t>
            </w:r>
            <w:r>
              <w:rPr>
                <w:rFonts w:hint="eastAsia"/>
                <w:kern w:val="0"/>
                <w:sz w:val="24"/>
              </w:rPr>
              <w:t>09</w:t>
            </w:r>
            <w:r>
              <w:rPr>
                <w:kern w:val="0"/>
                <w:sz w:val="24"/>
              </w:rPr>
              <w:t>~2030）》对重点污染控制区的水环境保护策略，项目符合性分析见表1-</w:t>
            </w:r>
            <w:r>
              <w:rPr>
                <w:rFonts w:hint="eastAsia"/>
                <w:kern w:val="0"/>
                <w:sz w:val="24"/>
              </w:rPr>
              <w:t>7</w:t>
            </w:r>
            <w:r>
              <w:rPr>
                <w:kern w:val="0"/>
                <w:sz w:val="24"/>
              </w:rPr>
              <w:t>。</w:t>
            </w:r>
          </w:p>
          <w:p w14:paraId="4DF80F5E">
            <w:pPr>
              <w:pStyle w:val="56"/>
            </w:pPr>
            <w:r>
              <w:t>表1-</w:t>
            </w:r>
            <w:r>
              <w:rPr>
                <w:rFonts w:hint="eastAsia"/>
              </w:rPr>
              <w:t>7</w:t>
            </w:r>
            <w:r>
              <w:t xml:space="preserve">  对照分析符合表</w:t>
            </w:r>
          </w:p>
          <w:tbl>
            <w:tblPr>
              <w:tblStyle w:val="23"/>
              <w:tblW w:w="7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3829"/>
              <w:gridCol w:w="3033"/>
              <w:gridCol w:w="661"/>
            </w:tblGrid>
            <w:tr w14:paraId="2578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43" w:type="dxa"/>
                  <w:vAlign w:val="center"/>
                </w:tcPr>
                <w:p w14:paraId="57C4BE5E">
                  <w:pPr>
                    <w:pStyle w:val="72"/>
                    <w:rPr>
                      <w:b w:val="0"/>
                      <w:color w:val="auto"/>
                    </w:rPr>
                  </w:pPr>
                  <w:r>
                    <w:rPr>
                      <w:b w:val="0"/>
                      <w:color w:val="auto"/>
                    </w:rPr>
                    <w:t>序号</w:t>
                  </w:r>
                </w:p>
              </w:tc>
              <w:tc>
                <w:tcPr>
                  <w:tcW w:w="3829" w:type="dxa"/>
                  <w:vAlign w:val="center"/>
                </w:tcPr>
                <w:p w14:paraId="07D410B1">
                  <w:pPr>
                    <w:pStyle w:val="72"/>
                    <w:rPr>
                      <w:b w:val="0"/>
                      <w:color w:val="auto"/>
                    </w:rPr>
                  </w:pPr>
                  <w:r>
                    <w:rPr>
                      <w:b w:val="0"/>
                      <w:color w:val="auto"/>
                    </w:rPr>
                    <w:t>《牛栏江流域（寻甸段）水环境保护规划》水环境保护策略</w:t>
                  </w:r>
                </w:p>
              </w:tc>
              <w:tc>
                <w:tcPr>
                  <w:tcW w:w="3033" w:type="dxa"/>
                  <w:vAlign w:val="center"/>
                </w:tcPr>
                <w:p w14:paraId="2D26DFC5">
                  <w:pPr>
                    <w:pStyle w:val="72"/>
                    <w:rPr>
                      <w:b w:val="0"/>
                      <w:color w:val="auto"/>
                    </w:rPr>
                  </w:pPr>
                  <w:r>
                    <w:rPr>
                      <w:b w:val="0"/>
                      <w:color w:val="auto"/>
                    </w:rPr>
                    <w:t>该项目情况</w:t>
                  </w:r>
                </w:p>
              </w:tc>
              <w:tc>
                <w:tcPr>
                  <w:tcW w:w="661" w:type="dxa"/>
                  <w:vAlign w:val="center"/>
                </w:tcPr>
                <w:p w14:paraId="2E3479C1">
                  <w:pPr>
                    <w:pStyle w:val="72"/>
                    <w:rPr>
                      <w:b w:val="0"/>
                      <w:color w:val="auto"/>
                    </w:rPr>
                  </w:pPr>
                  <w:r>
                    <w:rPr>
                      <w:b w:val="0"/>
                      <w:color w:val="auto"/>
                    </w:rPr>
                    <w:t>相符性</w:t>
                  </w:r>
                </w:p>
              </w:tc>
            </w:tr>
            <w:tr w14:paraId="7DBD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43" w:type="dxa"/>
                  <w:vAlign w:val="center"/>
                </w:tcPr>
                <w:p w14:paraId="39DAB7B1">
                  <w:pPr>
                    <w:pStyle w:val="72"/>
                    <w:rPr>
                      <w:b w:val="0"/>
                      <w:color w:val="auto"/>
                    </w:rPr>
                  </w:pPr>
                  <w:r>
                    <w:rPr>
                      <w:b w:val="0"/>
                      <w:color w:val="auto"/>
                    </w:rPr>
                    <w:t>1</w:t>
                  </w:r>
                </w:p>
              </w:tc>
              <w:tc>
                <w:tcPr>
                  <w:tcW w:w="3829" w:type="dxa"/>
                  <w:vAlign w:val="center"/>
                </w:tcPr>
                <w:p w14:paraId="1744FC35">
                  <w:pPr>
                    <w:pStyle w:val="72"/>
                    <w:rPr>
                      <w:b w:val="0"/>
                      <w:color w:val="auto"/>
                    </w:rPr>
                  </w:pPr>
                  <w:r>
                    <w:rPr>
                      <w:b w:val="0"/>
                      <w:color w:val="auto"/>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3033" w:type="dxa"/>
                  <w:vAlign w:val="center"/>
                </w:tcPr>
                <w:p w14:paraId="058002D4">
                  <w:pPr>
                    <w:pStyle w:val="72"/>
                    <w:rPr>
                      <w:b w:val="0"/>
                      <w:color w:val="auto"/>
                    </w:rPr>
                  </w:pPr>
                  <w:r>
                    <w:rPr>
                      <w:b w:val="0"/>
                      <w:color w:val="auto"/>
                    </w:rPr>
                    <w:t>本项目废水不外排。项目</w:t>
                  </w:r>
                  <w:r>
                    <w:rPr>
                      <w:rFonts w:hint="eastAsia"/>
                      <w:b w:val="0"/>
                      <w:color w:val="auto"/>
                    </w:rPr>
                    <w:t>设置危废暂存库</w:t>
                  </w:r>
                  <w:r>
                    <w:rPr>
                      <w:b w:val="0"/>
                      <w:color w:val="auto"/>
                    </w:rPr>
                    <w:t>，危废收集</w:t>
                  </w:r>
                  <w:r>
                    <w:rPr>
                      <w:rFonts w:hint="eastAsia"/>
                      <w:b w:val="0"/>
                      <w:color w:val="auto"/>
                    </w:rPr>
                    <w:t>暂存</w:t>
                  </w:r>
                  <w:r>
                    <w:rPr>
                      <w:b w:val="0"/>
                      <w:color w:val="auto"/>
                    </w:rPr>
                    <w:t>后委托有资质单位处理。</w:t>
                  </w:r>
                </w:p>
              </w:tc>
              <w:tc>
                <w:tcPr>
                  <w:tcW w:w="661" w:type="dxa"/>
                  <w:vAlign w:val="center"/>
                </w:tcPr>
                <w:p w14:paraId="1936EE04">
                  <w:pPr>
                    <w:pStyle w:val="72"/>
                    <w:rPr>
                      <w:b w:val="0"/>
                      <w:color w:val="auto"/>
                    </w:rPr>
                  </w:pPr>
                  <w:r>
                    <w:rPr>
                      <w:b w:val="0"/>
                      <w:color w:val="auto"/>
                    </w:rPr>
                    <w:t>符合</w:t>
                  </w:r>
                </w:p>
              </w:tc>
            </w:tr>
            <w:tr w14:paraId="439C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3" w:type="dxa"/>
                  <w:vAlign w:val="center"/>
                </w:tcPr>
                <w:p w14:paraId="09C1868A">
                  <w:pPr>
                    <w:pStyle w:val="72"/>
                    <w:rPr>
                      <w:b w:val="0"/>
                      <w:color w:val="auto"/>
                    </w:rPr>
                  </w:pPr>
                  <w:r>
                    <w:rPr>
                      <w:b w:val="0"/>
                      <w:color w:val="auto"/>
                    </w:rPr>
                    <w:t>2</w:t>
                  </w:r>
                </w:p>
              </w:tc>
              <w:tc>
                <w:tcPr>
                  <w:tcW w:w="3829" w:type="dxa"/>
                  <w:vAlign w:val="center"/>
                </w:tcPr>
                <w:p w14:paraId="3F433EDF">
                  <w:pPr>
                    <w:pStyle w:val="72"/>
                    <w:rPr>
                      <w:b w:val="0"/>
                      <w:color w:val="auto"/>
                    </w:rPr>
                  </w:pPr>
                  <w:r>
                    <w:rPr>
                      <w:b w:val="0"/>
                      <w:color w:val="auto"/>
                    </w:rPr>
                    <w:t>建设再生水回用系统，不得建设不符合国家产业政策的工业项目及高污染工业项目；新建工业项目废水不得排放有毒有害物质，改扩建项目不得新增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3033" w:type="dxa"/>
                  <w:vAlign w:val="center"/>
                </w:tcPr>
                <w:p w14:paraId="575F1382">
                  <w:pPr>
                    <w:pStyle w:val="72"/>
                    <w:rPr>
                      <w:b w:val="0"/>
                      <w:color w:val="auto"/>
                    </w:rPr>
                  </w:pPr>
                  <w:r>
                    <w:rPr>
                      <w:b w:val="0"/>
                      <w:color w:val="auto"/>
                    </w:rPr>
                    <w:t>项目不属于高污染工业项目，本项目</w:t>
                  </w:r>
                  <w:r>
                    <w:rPr>
                      <w:rFonts w:hint="eastAsia"/>
                      <w:b w:val="0"/>
                      <w:color w:val="auto"/>
                    </w:rPr>
                    <w:t>废水不外排，</w:t>
                  </w:r>
                  <w:r>
                    <w:rPr>
                      <w:b w:val="0"/>
                      <w:color w:val="auto"/>
                    </w:rPr>
                    <w:t>不排放有毒有害物质。</w:t>
                  </w:r>
                </w:p>
              </w:tc>
              <w:tc>
                <w:tcPr>
                  <w:tcW w:w="661" w:type="dxa"/>
                  <w:vAlign w:val="center"/>
                </w:tcPr>
                <w:p w14:paraId="5A34098E">
                  <w:pPr>
                    <w:pStyle w:val="72"/>
                    <w:rPr>
                      <w:b w:val="0"/>
                      <w:color w:val="auto"/>
                    </w:rPr>
                  </w:pPr>
                  <w:r>
                    <w:rPr>
                      <w:b w:val="0"/>
                      <w:color w:val="auto"/>
                    </w:rPr>
                    <w:t>符合</w:t>
                  </w:r>
                </w:p>
              </w:tc>
            </w:tr>
          </w:tbl>
          <w:p w14:paraId="40A507C5">
            <w:pPr>
              <w:spacing w:line="360" w:lineRule="auto"/>
              <w:ind w:firstLine="480" w:firstLineChars="200"/>
              <w:rPr>
                <w:b/>
                <w:sz w:val="24"/>
              </w:rPr>
            </w:pPr>
            <w:r>
              <w:rPr>
                <w:rFonts w:hint="eastAsia" w:ascii="宋体" w:hAnsi="宋体" w:cs="宋体"/>
                <w:sz w:val="24"/>
              </w:rPr>
              <w:t>由上表可知，项目不违反《牛栏江流域（寻甸段）水环境保护规划》对</w:t>
            </w:r>
            <w:r>
              <w:rPr>
                <w:kern w:val="0"/>
                <w:sz w:val="24"/>
              </w:rPr>
              <w:t>重点污染控制区</w:t>
            </w:r>
            <w:r>
              <w:rPr>
                <w:rFonts w:hint="eastAsia" w:ascii="宋体" w:hAnsi="宋体" w:cs="宋体"/>
                <w:sz w:val="24"/>
              </w:rPr>
              <w:t>的相关要求。项目的建设与《牛栏江流域（寻甸段）水环境保护规划》相符。</w:t>
            </w:r>
          </w:p>
          <w:p w14:paraId="7B3D44C8">
            <w:pPr>
              <w:adjustRightInd w:val="0"/>
              <w:snapToGrid w:val="0"/>
              <w:spacing w:line="360" w:lineRule="auto"/>
              <w:ind w:firstLine="482" w:firstLineChars="200"/>
              <w:rPr>
                <w:b/>
                <w:sz w:val="24"/>
              </w:rPr>
            </w:pPr>
            <w:r>
              <w:rPr>
                <w:rFonts w:hint="eastAsia"/>
                <w:b/>
                <w:sz w:val="24"/>
              </w:rPr>
              <w:t>6</w:t>
            </w:r>
            <w:r>
              <w:rPr>
                <w:b/>
                <w:sz w:val="24"/>
              </w:rPr>
              <w:t>、《长江经济带发展负面清单指南》（试行，2022年版）的通知》的符合性分析</w:t>
            </w:r>
          </w:p>
          <w:p w14:paraId="3B5F1274">
            <w:pPr>
              <w:spacing w:line="360" w:lineRule="auto"/>
              <w:ind w:firstLine="480" w:firstLineChars="200"/>
              <w:rPr>
                <w:b/>
                <w:sz w:val="24"/>
              </w:rPr>
            </w:pPr>
            <w:r>
              <w:rPr>
                <w:sz w:val="24"/>
              </w:rPr>
              <w:t>项目与《长江经济带发展负面清单指南》（试行，2022年版）的通知》对比分析情况见下表1-</w:t>
            </w:r>
            <w:r>
              <w:rPr>
                <w:rFonts w:hint="eastAsia"/>
                <w:sz w:val="24"/>
              </w:rPr>
              <w:t>8</w:t>
            </w:r>
            <w:r>
              <w:rPr>
                <w:sz w:val="24"/>
              </w:rPr>
              <w:t>。</w:t>
            </w:r>
          </w:p>
          <w:p w14:paraId="795574DF">
            <w:pPr>
              <w:pStyle w:val="56"/>
              <w:rPr>
                <w:szCs w:val="21"/>
              </w:rPr>
            </w:pPr>
            <w:r>
              <w:rPr>
                <w:szCs w:val="21"/>
              </w:rPr>
              <w:t>表1-</w:t>
            </w:r>
            <w:r>
              <w:rPr>
                <w:rFonts w:hint="eastAsia"/>
                <w:szCs w:val="21"/>
              </w:rPr>
              <w:t>8</w:t>
            </w:r>
            <w:r>
              <w:rPr>
                <w:szCs w:val="21"/>
              </w:rPr>
              <w:t xml:space="preserve"> 与《长江经济带发展负面清单指南》的通知》相符性分析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4"/>
              <w:gridCol w:w="2731"/>
              <w:gridCol w:w="917"/>
            </w:tblGrid>
            <w:tr w14:paraId="4789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59" w:type="pct"/>
                  <w:vAlign w:val="center"/>
                </w:tcPr>
                <w:p w14:paraId="2EBF35B0">
                  <w:pPr>
                    <w:pStyle w:val="72"/>
                    <w:rPr>
                      <w:b w:val="0"/>
                      <w:color w:val="auto"/>
                    </w:rPr>
                  </w:pPr>
                  <w:r>
                    <w:rPr>
                      <w:b w:val="0"/>
                      <w:color w:val="auto"/>
                    </w:rPr>
                    <w:t>《指南》要求</w:t>
                  </w:r>
                </w:p>
              </w:tc>
              <w:tc>
                <w:tcPr>
                  <w:tcW w:w="1677" w:type="pct"/>
                  <w:vAlign w:val="center"/>
                </w:tcPr>
                <w:p w14:paraId="13080052">
                  <w:pPr>
                    <w:pStyle w:val="72"/>
                    <w:rPr>
                      <w:b w:val="0"/>
                      <w:color w:val="auto"/>
                    </w:rPr>
                  </w:pPr>
                  <w:r>
                    <w:rPr>
                      <w:b w:val="0"/>
                      <w:color w:val="auto"/>
                    </w:rPr>
                    <w:t>本项目</w:t>
                  </w:r>
                </w:p>
              </w:tc>
              <w:tc>
                <w:tcPr>
                  <w:tcW w:w="563" w:type="pct"/>
                  <w:vAlign w:val="center"/>
                </w:tcPr>
                <w:p w14:paraId="3A99EA1F">
                  <w:pPr>
                    <w:pStyle w:val="72"/>
                    <w:rPr>
                      <w:b w:val="0"/>
                      <w:color w:val="auto"/>
                    </w:rPr>
                  </w:pPr>
                  <w:r>
                    <w:rPr>
                      <w:b w:val="0"/>
                      <w:color w:val="auto"/>
                    </w:rPr>
                    <w:t>相符性</w:t>
                  </w:r>
                </w:p>
              </w:tc>
            </w:tr>
            <w:tr w14:paraId="596C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759" w:type="pct"/>
                  <w:vAlign w:val="center"/>
                </w:tcPr>
                <w:p w14:paraId="373C515A">
                  <w:pPr>
                    <w:pStyle w:val="72"/>
                    <w:rPr>
                      <w:b w:val="0"/>
                      <w:color w:val="auto"/>
                    </w:rPr>
                  </w:pPr>
                  <w:r>
                    <w:rPr>
                      <w:b w:val="0"/>
                      <w:color w:val="auto"/>
                    </w:rPr>
                    <w:t>（一）</w:t>
                  </w:r>
                  <w:r>
                    <w:rPr>
                      <w:b w:val="0"/>
                      <w:color w:val="auto"/>
                      <w:lang w:val="zh-CN"/>
                    </w:rPr>
                    <w:t>禁止建设不符合全国和省级港口布局规划以及港口总体夫划的码头项目，禁止建设不符合《长江于线过江通道布局规划》的过长江通道项目。</w:t>
                  </w:r>
                </w:p>
              </w:tc>
              <w:tc>
                <w:tcPr>
                  <w:tcW w:w="1677" w:type="pct"/>
                  <w:vAlign w:val="center"/>
                </w:tcPr>
                <w:p w14:paraId="11043F5C">
                  <w:pPr>
                    <w:pStyle w:val="72"/>
                    <w:rPr>
                      <w:b w:val="0"/>
                      <w:color w:val="auto"/>
                    </w:rPr>
                  </w:pPr>
                  <w:r>
                    <w:rPr>
                      <w:b w:val="0"/>
                      <w:color w:val="auto"/>
                    </w:rPr>
                    <w:t>项目位于云南寻甸产业园区金所片区金所组团内，不属于码头或过长江通道项目。</w:t>
                  </w:r>
                </w:p>
              </w:tc>
              <w:tc>
                <w:tcPr>
                  <w:tcW w:w="563" w:type="pct"/>
                  <w:vAlign w:val="center"/>
                </w:tcPr>
                <w:p w14:paraId="14256D31">
                  <w:pPr>
                    <w:pStyle w:val="72"/>
                    <w:rPr>
                      <w:b w:val="0"/>
                      <w:color w:val="auto"/>
                    </w:rPr>
                  </w:pPr>
                  <w:r>
                    <w:rPr>
                      <w:b w:val="0"/>
                      <w:color w:val="auto"/>
                    </w:rPr>
                    <w:t>相符</w:t>
                  </w:r>
                </w:p>
              </w:tc>
            </w:tr>
            <w:tr w14:paraId="2AF8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759" w:type="pct"/>
                  <w:vAlign w:val="center"/>
                </w:tcPr>
                <w:p w14:paraId="76877BC4">
                  <w:pPr>
                    <w:pStyle w:val="72"/>
                    <w:rPr>
                      <w:b w:val="0"/>
                      <w:color w:val="auto"/>
                    </w:rPr>
                  </w:pPr>
                  <w:r>
                    <w:rPr>
                      <w:b w:val="0"/>
                      <w:color w:val="auto"/>
                    </w:rPr>
                    <w:t>（二）</w:t>
                  </w:r>
                  <w:r>
                    <w:rPr>
                      <w:b w:val="0"/>
                      <w:color w:val="auto"/>
                      <w:lang w:val="zh-CN"/>
                    </w:rPr>
                    <w:t>禁止在自然保护区核心区、缓冲区的岸线和河段范围内投资建设旅游和生产经营项目。禁止在风景名胜区核心景区的岸线和河段范围内投资建设与风景名胜资源保护无关的项目。</w:t>
                  </w:r>
                </w:p>
              </w:tc>
              <w:tc>
                <w:tcPr>
                  <w:tcW w:w="1677" w:type="pct"/>
                  <w:vAlign w:val="center"/>
                </w:tcPr>
                <w:p w14:paraId="3E40E74B">
                  <w:pPr>
                    <w:pStyle w:val="72"/>
                    <w:rPr>
                      <w:b w:val="0"/>
                      <w:color w:val="auto"/>
                    </w:rPr>
                  </w:pPr>
                  <w:r>
                    <w:rPr>
                      <w:b w:val="0"/>
                      <w:color w:val="auto"/>
                    </w:rPr>
                    <w:t>项目位于云南寻甸产业园区金所片区金所组团内，项目选址区域不涉及自然保护区、风景名胜区等，不涉及条款禁止行为。</w:t>
                  </w:r>
                </w:p>
              </w:tc>
              <w:tc>
                <w:tcPr>
                  <w:tcW w:w="563" w:type="pct"/>
                  <w:vAlign w:val="center"/>
                </w:tcPr>
                <w:p w14:paraId="5EDA1578">
                  <w:pPr>
                    <w:pStyle w:val="72"/>
                    <w:rPr>
                      <w:b w:val="0"/>
                      <w:color w:val="auto"/>
                    </w:rPr>
                  </w:pPr>
                  <w:r>
                    <w:rPr>
                      <w:b w:val="0"/>
                      <w:color w:val="auto"/>
                    </w:rPr>
                    <w:t>相符</w:t>
                  </w:r>
                </w:p>
              </w:tc>
            </w:tr>
            <w:tr w14:paraId="6C5A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759" w:type="pct"/>
                  <w:vAlign w:val="center"/>
                </w:tcPr>
                <w:p w14:paraId="21EE51E9">
                  <w:pPr>
                    <w:pStyle w:val="72"/>
                    <w:rPr>
                      <w:b w:val="0"/>
                      <w:color w:val="auto"/>
                    </w:rPr>
                  </w:pPr>
                  <w:r>
                    <w:rPr>
                      <w:b w:val="0"/>
                      <w:color w:val="auto"/>
                    </w:rPr>
                    <w:t>（三）</w:t>
                  </w:r>
                  <w:r>
                    <w:rPr>
                      <w:b w:val="0"/>
                      <w:color w:val="auto"/>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77" w:type="pct"/>
                  <w:vAlign w:val="center"/>
                </w:tcPr>
                <w:p w14:paraId="01C53C60">
                  <w:pPr>
                    <w:pStyle w:val="72"/>
                    <w:rPr>
                      <w:b w:val="0"/>
                      <w:color w:val="auto"/>
                    </w:rPr>
                  </w:pPr>
                  <w:r>
                    <w:rPr>
                      <w:b w:val="0"/>
                      <w:color w:val="auto"/>
                    </w:rPr>
                    <w:t>项目位于云南寻甸产业园区金所片区金所组团内，项目选址区域不涉及</w:t>
                  </w:r>
                  <w:r>
                    <w:rPr>
                      <w:b w:val="0"/>
                      <w:color w:val="auto"/>
                      <w:lang w:val="zh-CN"/>
                    </w:rPr>
                    <w:t>饮用水水源一、二级保护区，</w:t>
                  </w:r>
                  <w:r>
                    <w:rPr>
                      <w:b w:val="0"/>
                      <w:color w:val="auto"/>
                    </w:rPr>
                    <w:t>不涉及条款禁止行为。</w:t>
                  </w:r>
                </w:p>
              </w:tc>
              <w:tc>
                <w:tcPr>
                  <w:tcW w:w="563" w:type="pct"/>
                  <w:vAlign w:val="center"/>
                </w:tcPr>
                <w:p w14:paraId="6C0487DD">
                  <w:pPr>
                    <w:pStyle w:val="72"/>
                    <w:rPr>
                      <w:b w:val="0"/>
                      <w:color w:val="auto"/>
                    </w:rPr>
                  </w:pPr>
                  <w:r>
                    <w:rPr>
                      <w:b w:val="0"/>
                      <w:color w:val="auto"/>
                    </w:rPr>
                    <w:t>相符</w:t>
                  </w:r>
                </w:p>
              </w:tc>
            </w:tr>
            <w:tr w14:paraId="2F71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2759" w:type="pct"/>
                  <w:vAlign w:val="center"/>
                </w:tcPr>
                <w:p w14:paraId="7A7AF33D">
                  <w:pPr>
                    <w:pStyle w:val="72"/>
                    <w:rPr>
                      <w:b w:val="0"/>
                      <w:color w:val="auto"/>
                    </w:rPr>
                  </w:pPr>
                  <w:r>
                    <w:rPr>
                      <w:b w:val="0"/>
                      <w:color w:val="auto"/>
                    </w:rPr>
                    <w:t>（四）</w:t>
                  </w:r>
                  <w:r>
                    <w:rPr>
                      <w:b w:val="0"/>
                      <w:color w:val="auto"/>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77" w:type="pct"/>
                  <w:vAlign w:val="center"/>
                </w:tcPr>
                <w:p w14:paraId="70DCEAB2">
                  <w:pPr>
                    <w:pStyle w:val="72"/>
                    <w:rPr>
                      <w:b w:val="0"/>
                      <w:color w:val="auto"/>
                    </w:rPr>
                  </w:pPr>
                  <w:r>
                    <w:rPr>
                      <w:b w:val="0"/>
                      <w:color w:val="auto"/>
                      <w:lang w:val="zh-CN"/>
                    </w:rPr>
                    <w:t>项目不属于在水产种质资源保护区的岸线和河段范围内新建围湖造田、围海造地或围填海等投资建设项目，项目符合主体功能定位的投资建设项目。</w:t>
                  </w:r>
                </w:p>
              </w:tc>
              <w:tc>
                <w:tcPr>
                  <w:tcW w:w="563" w:type="pct"/>
                  <w:vAlign w:val="center"/>
                </w:tcPr>
                <w:p w14:paraId="2DF57C6B">
                  <w:pPr>
                    <w:pStyle w:val="72"/>
                    <w:rPr>
                      <w:b w:val="0"/>
                      <w:color w:val="auto"/>
                    </w:rPr>
                  </w:pPr>
                  <w:r>
                    <w:rPr>
                      <w:b w:val="0"/>
                      <w:color w:val="auto"/>
                    </w:rPr>
                    <w:t>相符</w:t>
                  </w:r>
                </w:p>
              </w:tc>
            </w:tr>
            <w:tr w14:paraId="150B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759" w:type="pct"/>
                  <w:vAlign w:val="center"/>
                </w:tcPr>
                <w:p w14:paraId="4DDA6924">
                  <w:pPr>
                    <w:pStyle w:val="72"/>
                    <w:rPr>
                      <w:b w:val="0"/>
                      <w:color w:val="auto"/>
                    </w:rPr>
                  </w:pPr>
                  <w:r>
                    <w:rPr>
                      <w:b w:val="0"/>
                      <w:color w:val="auto"/>
                    </w:rPr>
                    <w:t>（五）</w:t>
                  </w:r>
                  <w:r>
                    <w:rPr>
                      <w:b w:val="0"/>
                      <w:color w:val="auto"/>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77" w:type="pct"/>
                  <w:vAlign w:val="center"/>
                </w:tcPr>
                <w:p w14:paraId="4B2EA6AC">
                  <w:pPr>
                    <w:pStyle w:val="72"/>
                    <w:rPr>
                      <w:b w:val="0"/>
                      <w:color w:val="auto"/>
                    </w:rPr>
                  </w:pPr>
                  <w:r>
                    <w:rPr>
                      <w:b w:val="0"/>
                      <w:color w:val="auto"/>
                    </w:rPr>
                    <w:t>项目在工业园区内，不属于</w:t>
                  </w:r>
                  <w:r>
                    <w:rPr>
                      <w:b w:val="0"/>
                      <w:color w:val="auto"/>
                      <w:lang w:val="zh-CN"/>
                    </w:rPr>
                    <w:t>违法利用、占用长江流域河湖岸线和投资建设不利于水资源及自然生态保护的项目</w:t>
                  </w:r>
                  <w:r>
                    <w:rPr>
                      <w:b w:val="0"/>
                      <w:color w:val="auto"/>
                    </w:rPr>
                    <w:t>。</w:t>
                  </w:r>
                </w:p>
              </w:tc>
              <w:tc>
                <w:tcPr>
                  <w:tcW w:w="563" w:type="pct"/>
                  <w:vAlign w:val="center"/>
                </w:tcPr>
                <w:p w14:paraId="0EDB7984">
                  <w:pPr>
                    <w:pStyle w:val="72"/>
                    <w:rPr>
                      <w:b w:val="0"/>
                      <w:color w:val="auto"/>
                    </w:rPr>
                  </w:pPr>
                  <w:r>
                    <w:rPr>
                      <w:b w:val="0"/>
                      <w:color w:val="auto"/>
                    </w:rPr>
                    <w:t>相符</w:t>
                  </w:r>
                </w:p>
              </w:tc>
            </w:tr>
            <w:tr w14:paraId="674A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9" w:type="pct"/>
                  <w:vAlign w:val="center"/>
                </w:tcPr>
                <w:p w14:paraId="3BBAE8C6">
                  <w:pPr>
                    <w:pStyle w:val="72"/>
                    <w:rPr>
                      <w:b w:val="0"/>
                      <w:color w:val="auto"/>
                    </w:rPr>
                  </w:pPr>
                  <w:r>
                    <w:rPr>
                      <w:b w:val="0"/>
                      <w:color w:val="auto"/>
                    </w:rPr>
                    <w:t>（六）</w:t>
                  </w:r>
                  <w:r>
                    <w:rPr>
                      <w:b w:val="0"/>
                      <w:color w:val="auto"/>
                      <w:lang w:val="zh-CN"/>
                    </w:rPr>
                    <w:t>禁止未经许可在长江干支流及湖泊新设、改设或扩大排污口。</w:t>
                  </w:r>
                </w:p>
              </w:tc>
              <w:tc>
                <w:tcPr>
                  <w:tcW w:w="1677" w:type="pct"/>
                  <w:vAlign w:val="center"/>
                </w:tcPr>
                <w:p w14:paraId="716E857D">
                  <w:pPr>
                    <w:pStyle w:val="72"/>
                    <w:rPr>
                      <w:b w:val="0"/>
                      <w:color w:val="auto"/>
                    </w:rPr>
                  </w:pPr>
                  <w:r>
                    <w:rPr>
                      <w:b w:val="0"/>
                      <w:color w:val="auto"/>
                    </w:rPr>
                    <w:t>项目废水不外排。</w:t>
                  </w:r>
                </w:p>
              </w:tc>
              <w:tc>
                <w:tcPr>
                  <w:tcW w:w="563" w:type="pct"/>
                  <w:vAlign w:val="center"/>
                </w:tcPr>
                <w:p w14:paraId="1B410064">
                  <w:pPr>
                    <w:pStyle w:val="72"/>
                    <w:rPr>
                      <w:b w:val="0"/>
                      <w:color w:val="auto"/>
                    </w:rPr>
                  </w:pPr>
                  <w:r>
                    <w:rPr>
                      <w:b w:val="0"/>
                      <w:color w:val="auto"/>
                    </w:rPr>
                    <w:t>相符</w:t>
                  </w:r>
                </w:p>
              </w:tc>
            </w:tr>
            <w:tr w14:paraId="667D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9" w:type="pct"/>
                  <w:vAlign w:val="center"/>
                </w:tcPr>
                <w:p w14:paraId="5CE5C05F">
                  <w:pPr>
                    <w:pStyle w:val="72"/>
                    <w:rPr>
                      <w:b w:val="0"/>
                      <w:color w:val="auto"/>
                    </w:rPr>
                  </w:pPr>
                  <w:r>
                    <w:rPr>
                      <w:b w:val="0"/>
                      <w:color w:val="auto"/>
                    </w:rPr>
                    <w:t>（七）</w:t>
                  </w:r>
                  <w:r>
                    <w:rPr>
                      <w:b w:val="0"/>
                      <w:color w:val="auto"/>
                      <w:lang w:val="zh-CN"/>
                    </w:rPr>
                    <w:t>禁止在“一江一口两湖七河”和332个水生生物保护区开展生产性捕捞。</w:t>
                  </w:r>
                </w:p>
              </w:tc>
              <w:tc>
                <w:tcPr>
                  <w:tcW w:w="1677" w:type="pct"/>
                  <w:vAlign w:val="center"/>
                </w:tcPr>
                <w:p w14:paraId="572E8DD4">
                  <w:pPr>
                    <w:pStyle w:val="72"/>
                    <w:rPr>
                      <w:b w:val="0"/>
                      <w:color w:val="auto"/>
                    </w:rPr>
                  </w:pPr>
                  <w:r>
                    <w:rPr>
                      <w:b w:val="0"/>
                      <w:color w:val="auto"/>
                    </w:rPr>
                    <w:t>项目不涉及捕捞。</w:t>
                  </w:r>
                </w:p>
              </w:tc>
              <w:tc>
                <w:tcPr>
                  <w:tcW w:w="563" w:type="pct"/>
                  <w:vAlign w:val="center"/>
                </w:tcPr>
                <w:p w14:paraId="08E77AD1">
                  <w:pPr>
                    <w:pStyle w:val="72"/>
                    <w:rPr>
                      <w:b w:val="0"/>
                      <w:color w:val="auto"/>
                    </w:rPr>
                  </w:pPr>
                  <w:r>
                    <w:rPr>
                      <w:b w:val="0"/>
                      <w:color w:val="auto"/>
                    </w:rPr>
                    <w:t>相符</w:t>
                  </w:r>
                </w:p>
              </w:tc>
            </w:tr>
            <w:tr w14:paraId="10EA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759" w:type="pct"/>
                  <w:vAlign w:val="center"/>
                </w:tcPr>
                <w:p w14:paraId="5A5A9A65">
                  <w:pPr>
                    <w:pStyle w:val="72"/>
                    <w:rPr>
                      <w:b w:val="0"/>
                      <w:color w:val="auto"/>
                    </w:rPr>
                  </w:pPr>
                  <w:r>
                    <w:rPr>
                      <w:b w:val="0"/>
                      <w:color w:val="auto"/>
                    </w:rPr>
                    <w:t>（八）</w:t>
                  </w:r>
                  <w:r>
                    <w:rPr>
                      <w:b w:val="0"/>
                      <w:color w:val="auto"/>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77" w:type="pct"/>
                  <w:vAlign w:val="center"/>
                </w:tcPr>
                <w:p w14:paraId="2E841346">
                  <w:pPr>
                    <w:pStyle w:val="72"/>
                    <w:rPr>
                      <w:b w:val="0"/>
                      <w:color w:val="auto"/>
                    </w:rPr>
                  </w:pPr>
                  <w:r>
                    <w:rPr>
                      <w:b w:val="0"/>
                      <w:color w:val="auto"/>
                    </w:rPr>
                    <w:t>项目位于云南寻甸产业园区金所片区金所组团内，位于合规园区内，项目不属于</w:t>
                  </w:r>
                  <w:r>
                    <w:rPr>
                      <w:b w:val="0"/>
                      <w:color w:val="auto"/>
                      <w:lang w:val="zh-CN"/>
                    </w:rPr>
                    <w:t>尾矿库、冶炼渣库和磷石膏库的项目</w:t>
                  </w:r>
                  <w:r>
                    <w:rPr>
                      <w:b w:val="0"/>
                      <w:color w:val="auto"/>
                    </w:rPr>
                    <w:t>。</w:t>
                  </w:r>
                </w:p>
              </w:tc>
              <w:tc>
                <w:tcPr>
                  <w:tcW w:w="563" w:type="pct"/>
                  <w:vAlign w:val="center"/>
                </w:tcPr>
                <w:p w14:paraId="5009EA67">
                  <w:pPr>
                    <w:pStyle w:val="72"/>
                    <w:rPr>
                      <w:b w:val="0"/>
                      <w:color w:val="auto"/>
                    </w:rPr>
                  </w:pPr>
                  <w:r>
                    <w:rPr>
                      <w:b w:val="0"/>
                      <w:color w:val="auto"/>
                    </w:rPr>
                    <w:t>相符</w:t>
                  </w:r>
                </w:p>
              </w:tc>
            </w:tr>
            <w:tr w14:paraId="5C09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759" w:type="pct"/>
                  <w:vAlign w:val="center"/>
                </w:tcPr>
                <w:p w14:paraId="51851896">
                  <w:pPr>
                    <w:pStyle w:val="72"/>
                    <w:rPr>
                      <w:b w:val="0"/>
                      <w:color w:val="auto"/>
                    </w:rPr>
                  </w:pPr>
                  <w:r>
                    <w:rPr>
                      <w:b w:val="0"/>
                      <w:color w:val="auto"/>
                    </w:rPr>
                    <w:t>（九）</w:t>
                  </w:r>
                  <w:r>
                    <w:rPr>
                      <w:b w:val="0"/>
                      <w:color w:val="auto"/>
                      <w:lang w:val="zh-CN"/>
                    </w:rPr>
                    <w:t>禁止在合规园区外新建、扩建钢铁、石化、化工、焦化、建材、有色、制浆造纸等高污染项目。</w:t>
                  </w:r>
                </w:p>
              </w:tc>
              <w:tc>
                <w:tcPr>
                  <w:tcW w:w="1677" w:type="pct"/>
                  <w:vAlign w:val="center"/>
                </w:tcPr>
                <w:p w14:paraId="21A83962">
                  <w:pPr>
                    <w:pStyle w:val="72"/>
                    <w:rPr>
                      <w:b w:val="0"/>
                      <w:color w:val="auto"/>
                    </w:rPr>
                  </w:pPr>
                  <w:r>
                    <w:rPr>
                      <w:b w:val="0"/>
                      <w:color w:val="auto"/>
                    </w:rPr>
                    <w:t>项目位于</w:t>
                  </w:r>
                  <w:r>
                    <w:rPr>
                      <w:b w:val="0"/>
                      <w:color w:val="auto"/>
                      <w:lang w:val="zh-CN"/>
                    </w:rPr>
                    <w:t>合规园区内</w:t>
                  </w:r>
                  <w:r>
                    <w:rPr>
                      <w:b w:val="0"/>
                      <w:color w:val="auto"/>
                    </w:rPr>
                    <w:t>。</w:t>
                  </w:r>
                </w:p>
              </w:tc>
              <w:tc>
                <w:tcPr>
                  <w:tcW w:w="563" w:type="pct"/>
                  <w:vAlign w:val="center"/>
                </w:tcPr>
                <w:p w14:paraId="1587E63A">
                  <w:pPr>
                    <w:pStyle w:val="72"/>
                    <w:rPr>
                      <w:b w:val="0"/>
                      <w:color w:val="auto"/>
                    </w:rPr>
                  </w:pPr>
                  <w:r>
                    <w:rPr>
                      <w:b w:val="0"/>
                      <w:color w:val="auto"/>
                    </w:rPr>
                    <w:t>相符</w:t>
                  </w:r>
                </w:p>
              </w:tc>
            </w:tr>
            <w:tr w14:paraId="7597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2759" w:type="pct"/>
                  <w:vAlign w:val="center"/>
                </w:tcPr>
                <w:p w14:paraId="6A4D2265">
                  <w:pPr>
                    <w:pStyle w:val="72"/>
                    <w:rPr>
                      <w:b w:val="0"/>
                      <w:color w:val="auto"/>
                    </w:rPr>
                  </w:pPr>
                  <w:r>
                    <w:rPr>
                      <w:b w:val="0"/>
                      <w:color w:val="auto"/>
                    </w:rPr>
                    <w:t>（十）</w:t>
                  </w:r>
                  <w:r>
                    <w:rPr>
                      <w:b w:val="0"/>
                      <w:color w:val="auto"/>
                      <w:lang w:val="zh-CN"/>
                    </w:rPr>
                    <w:t>禁止新建、扩建法律法规和相关政策明令禁止的落后产能项目。禁止新建、扩建不符合国家产能置换要求的严重过剩产能行业的项目。禁止新建、扩建不符合要求的高耗能高排放项目。</w:t>
                  </w:r>
                </w:p>
              </w:tc>
              <w:tc>
                <w:tcPr>
                  <w:tcW w:w="1677" w:type="pct"/>
                  <w:vAlign w:val="center"/>
                </w:tcPr>
                <w:p w14:paraId="313BCE5D">
                  <w:pPr>
                    <w:pStyle w:val="72"/>
                    <w:rPr>
                      <w:b w:val="0"/>
                      <w:color w:val="auto"/>
                    </w:rPr>
                  </w:pPr>
                  <w:r>
                    <w:rPr>
                      <w:b w:val="0"/>
                      <w:color w:val="auto"/>
                    </w:rPr>
                    <w:t>项目不属于</w:t>
                  </w:r>
                  <w:r>
                    <w:rPr>
                      <w:b w:val="0"/>
                      <w:color w:val="auto"/>
                      <w:lang w:val="zh-CN"/>
                    </w:rPr>
                    <w:t>新建、扩建法律法规和相关政策明令禁止的落后产能项目，不属于禁止新建、扩建不符合国家产能置换要求的严重过剩产能行业的项目，不属于禁止新建、扩建不符合要求的高耗能高排放项目</w:t>
                  </w:r>
                  <w:r>
                    <w:rPr>
                      <w:b w:val="0"/>
                      <w:color w:val="auto"/>
                    </w:rPr>
                    <w:t>。</w:t>
                  </w:r>
                </w:p>
              </w:tc>
              <w:tc>
                <w:tcPr>
                  <w:tcW w:w="563" w:type="pct"/>
                  <w:vAlign w:val="center"/>
                </w:tcPr>
                <w:p w14:paraId="4DD21722">
                  <w:pPr>
                    <w:pStyle w:val="72"/>
                    <w:rPr>
                      <w:b w:val="0"/>
                      <w:color w:val="auto"/>
                    </w:rPr>
                  </w:pPr>
                  <w:r>
                    <w:rPr>
                      <w:b w:val="0"/>
                      <w:color w:val="auto"/>
                    </w:rPr>
                    <w:t>相符</w:t>
                  </w:r>
                </w:p>
              </w:tc>
            </w:tr>
          </w:tbl>
          <w:p w14:paraId="2D45A499">
            <w:pPr>
              <w:spacing w:line="360" w:lineRule="auto"/>
              <w:ind w:firstLine="420" w:firstLineChars="200"/>
            </w:pPr>
            <w:bookmarkStart w:id="9" w:name="_Toc15006"/>
            <w:r>
              <w:rPr>
                <w:rFonts w:hint="eastAsia"/>
              </w:rPr>
              <w:t>综上分析，</w:t>
            </w:r>
            <w:r>
              <w:rPr>
                <w:sz w:val="24"/>
              </w:rPr>
              <w:t>项目</w:t>
            </w:r>
            <w:r>
              <w:rPr>
                <w:rFonts w:hint="eastAsia"/>
                <w:sz w:val="24"/>
              </w:rPr>
              <w:t>符合</w:t>
            </w:r>
            <w:r>
              <w:rPr>
                <w:sz w:val="24"/>
              </w:rPr>
              <w:t>《长江经济带发展负面清单指南》（试行，2022年版）的通知》</w:t>
            </w:r>
            <w:r>
              <w:rPr>
                <w:rFonts w:hint="eastAsia"/>
                <w:sz w:val="24"/>
              </w:rPr>
              <w:t>的相关要求。</w:t>
            </w:r>
          </w:p>
          <w:p w14:paraId="205A8896">
            <w:pPr>
              <w:spacing w:line="360" w:lineRule="auto"/>
              <w:ind w:firstLine="482" w:firstLineChars="200"/>
              <w:rPr>
                <w:b/>
                <w:bCs/>
                <w:kern w:val="0"/>
                <w:sz w:val="24"/>
              </w:rPr>
            </w:pPr>
            <w:r>
              <w:rPr>
                <w:rFonts w:hint="eastAsia"/>
                <w:b/>
                <w:bCs/>
                <w:kern w:val="0"/>
                <w:sz w:val="24"/>
              </w:rPr>
              <w:t>7</w:t>
            </w:r>
            <w:r>
              <w:rPr>
                <w:b/>
                <w:bCs/>
                <w:kern w:val="0"/>
                <w:sz w:val="24"/>
              </w:rPr>
              <w:t>、与《云南省长江经济带发展负面清单指南实施细则（试行，2022年版）》的符合性分析</w:t>
            </w:r>
            <w:bookmarkEnd w:id="9"/>
          </w:p>
          <w:p w14:paraId="0CCF1E04">
            <w:pPr>
              <w:pStyle w:val="56"/>
            </w:pPr>
            <w:r>
              <w:t>表1-</w:t>
            </w:r>
            <w:r>
              <w:rPr>
                <w:rFonts w:hint="eastAsia"/>
              </w:rPr>
              <w:t>9</w:t>
            </w:r>
            <w:r>
              <w:t xml:space="preserve"> 《云南省长江经济带发展负面清单指南实施细则》符合性分析</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
            <w:tblGrid>
              <w:gridCol w:w="5135"/>
              <w:gridCol w:w="2351"/>
              <w:gridCol w:w="656"/>
            </w:tblGrid>
            <w:tr w14:paraId="51BEB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F024D21">
                  <w:pPr>
                    <w:pStyle w:val="72"/>
                    <w:rPr>
                      <w:b w:val="0"/>
                      <w:color w:val="auto"/>
                    </w:rPr>
                  </w:pPr>
                  <w:r>
                    <w:rPr>
                      <w:b w:val="0"/>
                      <w:color w:val="auto"/>
                    </w:rPr>
                    <w:t>规范要求</w:t>
                  </w:r>
                </w:p>
              </w:tc>
              <w:tc>
                <w:tcPr>
                  <w:tcW w:w="1444" w:type="pct"/>
                  <w:vAlign w:val="center"/>
                </w:tcPr>
                <w:p w14:paraId="02E83FBB">
                  <w:pPr>
                    <w:pStyle w:val="72"/>
                    <w:rPr>
                      <w:b w:val="0"/>
                      <w:color w:val="auto"/>
                    </w:rPr>
                  </w:pPr>
                  <w:r>
                    <w:rPr>
                      <w:b w:val="0"/>
                      <w:color w:val="auto"/>
                    </w:rPr>
                    <w:t>项目实际情况</w:t>
                  </w:r>
                </w:p>
              </w:tc>
              <w:tc>
                <w:tcPr>
                  <w:tcW w:w="403" w:type="pct"/>
                  <w:vAlign w:val="center"/>
                </w:tcPr>
                <w:p w14:paraId="75688C7E">
                  <w:pPr>
                    <w:pStyle w:val="72"/>
                    <w:rPr>
                      <w:b w:val="0"/>
                      <w:color w:val="auto"/>
                    </w:rPr>
                  </w:pPr>
                  <w:r>
                    <w:rPr>
                      <w:b w:val="0"/>
                      <w:color w:val="auto"/>
                    </w:rPr>
                    <w:t>相符性</w:t>
                  </w:r>
                </w:p>
              </w:tc>
            </w:tr>
            <w:tr w14:paraId="06101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BCBF586">
                  <w:pPr>
                    <w:pStyle w:val="72"/>
                    <w:rPr>
                      <w:b w:val="0"/>
                      <w:color w:val="auto"/>
                    </w:rPr>
                  </w:pPr>
                  <w:r>
                    <w:rPr>
                      <w:b w:val="0"/>
                      <w:color w:val="auto"/>
                    </w:rPr>
                    <w:t>禁止新建、改建和扩建不符合《全国内河航道与港</w:t>
                  </w:r>
                </w:p>
                <w:p w14:paraId="1E6028C0">
                  <w:pPr>
                    <w:pStyle w:val="72"/>
                    <w:rPr>
                      <w:b w:val="0"/>
                      <w:color w:val="auto"/>
                    </w:rPr>
                  </w:pPr>
                  <w:r>
                    <w:rPr>
                      <w:b w:val="0"/>
                      <w:color w:val="auto"/>
                    </w:rPr>
                    <w:t>口布局规划》等全国港口规划和《昭通市港口码头岸线规划（金沙江段 2019 年—2035年）》、《景洪港总体规划（2019—2035年）》等州（市）级以上港口布局规划以及港口总体规划的码头项目。</w:t>
                  </w:r>
                </w:p>
              </w:tc>
              <w:tc>
                <w:tcPr>
                  <w:tcW w:w="1444" w:type="pct"/>
                  <w:vAlign w:val="center"/>
                </w:tcPr>
                <w:p w14:paraId="092CED73">
                  <w:pPr>
                    <w:pStyle w:val="72"/>
                    <w:rPr>
                      <w:b w:val="0"/>
                      <w:color w:val="auto"/>
                    </w:rPr>
                  </w:pPr>
                  <w:r>
                    <w:rPr>
                      <w:b w:val="0"/>
                      <w:color w:val="auto"/>
                    </w:rPr>
                    <w:t>本项目不属于港口布局规划以及港口总体规划的码头项目。</w:t>
                  </w:r>
                </w:p>
              </w:tc>
              <w:tc>
                <w:tcPr>
                  <w:tcW w:w="403" w:type="pct"/>
                  <w:vAlign w:val="center"/>
                </w:tcPr>
                <w:p w14:paraId="4264A2C5">
                  <w:pPr>
                    <w:pStyle w:val="72"/>
                    <w:rPr>
                      <w:b w:val="0"/>
                      <w:color w:val="auto"/>
                    </w:rPr>
                  </w:pPr>
                  <w:r>
                    <w:rPr>
                      <w:b w:val="0"/>
                      <w:color w:val="auto"/>
                    </w:rPr>
                    <w:t>相符</w:t>
                  </w:r>
                </w:p>
              </w:tc>
            </w:tr>
            <w:tr w14:paraId="6208E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0FF3127">
                  <w:pPr>
                    <w:pStyle w:val="72"/>
                    <w:rPr>
                      <w:b w:val="0"/>
                      <w:color w:val="auto"/>
                    </w:rPr>
                  </w:pPr>
                  <w:r>
                    <w:rPr>
                      <w:b w:val="0"/>
                      <w:color w:val="auto"/>
                    </w:rPr>
                    <w:t>禁止在自然保护区核心区、缓冲区的岸线和河段范</w:t>
                  </w:r>
                </w:p>
                <w:p w14:paraId="60C896BB">
                  <w:pPr>
                    <w:pStyle w:val="72"/>
                    <w:rPr>
                      <w:b w:val="0"/>
                      <w:color w:val="auto"/>
                    </w:rPr>
                  </w:pPr>
                  <w:r>
                    <w:rPr>
                      <w:b w:val="0"/>
                      <w:color w:val="auto"/>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44" w:type="pct"/>
                  <w:vAlign w:val="center"/>
                </w:tcPr>
                <w:p w14:paraId="2244BF0F">
                  <w:pPr>
                    <w:pStyle w:val="72"/>
                    <w:rPr>
                      <w:b w:val="0"/>
                      <w:color w:val="auto"/>
                    </w:rPr>
                  </w:pPr>
                  <w:r>
                    <w:rPr>
                      <w:b w:val="0"/>
                      <w:color w:val="auto"/>
                    </w:rPr>
                    <w:t>本项目不涉及《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403" w:type="pct"/>
                  <w:vAlign w:val="center"/>
                </w:tcPr>
                <w:p w14:paraId="0D026002">
                  <w:pPr>
                    <w:pStyle w:val="72"/>
                    <w:rPr>
                      <w:b w:val="0"/>
                      <w:color w:val="auto"/>
                    </w:rPr>
                  </w:pPr>
                  <w:r>
                    <w:rPr>
                      <w:b w:val="0"/>
                      <w:color w:val="auto"/>
                    </w:rPr>
                    <w:t>相符</w:t>
                  </w:r>
                </w:p>
              </w:tc>
            </w:tr>
            <w:tr w14:paraId="6F44D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7D362C68">
                  <w:pPr>
                    <w:pStyle w:val="72"/>
                    <w:rPr>
                      <w:b w:val="0"/>
                      <w:color w:val="auto"/>
                    </w:rPr>
                  </w:pPr>
                  <w:r>
                    <w:rPr>
                      <w:b w:val="0"/>
                      <w:color w:val="auto"/>
                    </w:rPr>
                    <w:t>禁止在风景名胜区核心景区的岸线和河段范围内</w:t>
                  </w:r>
                </w:p>
                <w:p w14:paraId="4B669D9A">
                  <w:pPr>
                    <w:pStyle w:val="72"/>
                    <w:rPr>
                      <w:b w:val="0"/>
                      <w:color w:val="auto"/>
                    </w:rPr>
                  </w:pPr>
                  <w:r>
                    <w:rPr>
                      <w:b w:val="0"/>
                      <w:color w:val="auto"/>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44" w:type="pct"/>
                  <w:vAlign w:val="center"/>
                </w:tcPr>
                <w:p w14:paraId="2812A52F">
                  <w:pPr>
                    <w:pStyle w:val="72"/>
                    <w:rPr>
                      <w:b w:val="0"/>
                      <w:color w:val="auto"/>
                    </w:rPr>
                  </w:pPr>
                  <w:r>
                    <w:rPr>
                      <w:b w:val="0"/>
                      <w:color w:val="auto"/>
                    </w:rPr>
                    <w:t>项目用地不涉及风景名胜区。</w:t>
                  </w:r>
                </w:p>
              </w:tc>
              <w:tc>
                <w:tcPr>
                  <w:tcW w:w="403" w:type="pct"/>
                  <w:vAlign w:val="center"/>
                </w:tcPr>
                <w:p w14:paraId="30703912">
                  <w:pPr>
                    <w:pStyle w:val="72"/>
                    <w:rPr>
                      <w:b w:val="0"/>
                      <w:color w:val="auto"/>
                    </w:rPr>
                  </w:pPr>
                  <w:r>
                    <w:rPr>
                      <w:b w:val="0"/>
                      <w:color w:val="auto"/>
                    </w:rPr>
                    <w:t>相符</w:t>
                  </w:r>
                </w:p>
              </w:tc>
            </w:tr>
            <w:tr w14:paraId="1A49C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780290BA">
                  <w:pPr>
                    <w:pStyle w:val="72"/>
                    <w:rPr>
                      <w:b w:val="0"/>
                      <w:color w:val="auto"/>
                    </w:rPr>
                  </w:pPr>
                  <w:r>
                    <w:rPr>
                      <w:b w:val="0"/>
                      <w:color w:val="auto"/>
                    </w:rPr>
                    <w:t>禁止在饮用水水源一级保护区的岸线和河段范围</w:t>
                  </w:r>
                </w:p>
                <w:p w14:paraId="76D2F291">
                  <w:pPr>
                    <w:pStyle w:val="72"/>
                    <w:rPr>
                      <w:b w:val="0"/>
                      <w:color w:val="auto"/>
                    </w:rPr>
                  </w:pPr>
                  <w:r>
                    <w:rPr>
                      <w:b w:val="0"/>
                      <w:color w:val="auto"/>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44" w:type="pct"/>
                  <w:vAlign w:val="center"/>
                </w:tcPr>
                <w:p w14:paraId="46516781">
                  <w:pPr>
                    <w:pStyle w:val="72"/>
                    <w:rPr>
                      <w:b w:val="0"/>
                      <w:color w:val="auto"/>
                    </w:rPr>
                  </w:pPr>
                  <w:r>
                    <w:rPr>
                      <w:b w:val="0"/>
                      <w:color w:val="auto"/>
                    </w:rPr>
                    <w:t>本项目不涉及饮用水水源一级保护区、饮用水水源二级保护区。</w:t>
                  </w:r>
                </w:p>
              </w:tc>
              <w:tc>
                <w:tcPr>
                  <w:tcW w:w="403" w:type="pct"/>
                  <w:vAlign w:val="center"/>
                </w:tcPr>
                <w:p w14:paraId="0A2335BC">
                  <w:pPr>
                    <w:pStyle w:val="72"/>
                    <w:rPr>
                      <w:b w:val="0"/>
                      <w:color w:val="auto"/>
                    </w:rPr>
                  </w:pPr>
                  <w:r>
                    <w:rPr>
                      <w:b w:val="0"/>
                      <w:color w:val="auto"/>
                    </w:rPr>
                    <w:t>相符</w:t>
                  </w:r>
                </w:p>
              </w:tc>
            </w:tr>
            <w:tr w14:paraId="35308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142B6606">
                  <w:pPr>
                    <w:pStyle w:val="72"/>
                    <w:rPr>
                      <w:b w:val="0"/>
                      <w:color w:val="auto"/>
                    </w:rPr>
                  </w:pPr>
                  <w:r>
                    <w:rPr>
                      <w:b w:val="0"/>
                      <w:color w:val="auto"/>
                    </w:rPr>
                    <w:t>禁止在水产种质资源保护区的岸线和河段范围内</w:t>
                  </w:r>
                </w:p>
                <w:p w14:paraId="24B5A3D6">
                  <w:pPr>
                    <w:pStyle w:val="72"/>
                    <w:rPr>
                      <w:b w:val="0"/>
                      <w:color w:val="auto"/>
                    </w:rPr>
                  </w:pPr>
                  <w:r>
                    <w:rPr>
                      <w:b w:val="0"/>
                      <w:color w:val="auto"/>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44" w:type="pct"/>
                  <w:vAlign w:val="center"/>
                </w:tcPr>
                <w:p w14:paraId="5704BBD4">
                  <w:pPr>
                    <w:pStyle w:val="72"/>
                    <w:rPr>
                      <w:b w:val="0"/>
                      <w:color w:val="auto"/>
                    </w:rPr>
                  </w:pPr>
                  <w:r>
                    <w:rPr>
                      <w:b w:val="0"/>
                      <w:color w:val="auto"/>
                    </w:rPr>
                    <w:t>本项目不涉及水产种质资源保护区的岸线或河段范围；本项目不涉及国家湿地公园的土地。</w:t>
                  </w:r>
                </w:p>
              </w:tc>
              <w:tc>
                <w:tcPr>
                  <w:tcW w:w="403" w:type="pct"/>
                  <w:vAlign w:val="center"/>
                </w:tcPr>
                <w:p w14:paraId="018777DC">
                  <w:pPr>
                    <w:pStyle w:val="72"/>
                    <w:rPr>
                      <w:b w:val="0"/>
                      <w:color w:val="auto"/>
                    </w:rPr>
                  </w:pPr>
                  <w:r>
                    <w:rPr>
                      <w:b w:val="0"/>
                      <w:color w:val="auto"/>
                    </w:rPr>
                    <w:t>相符</w:t>
                  </w:r>
                </w:p>
              </w:tc>
            </w:tr>
            <w:tr w14:paraId="2F409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27F98C5A">
                  <w:pPr>
                    <w:pStyle w:val="72"/>
                    <w:rPr>
                      <w:b w:val="0"/>
                      <w:color w:val="auto"/>
                    </w:rPr>
                  </w:pPr>
                  <w:r>
                    <w:rPr>
                      <w:b w:val="0"/>
                      <w:color w:val="auto"/>
                    </w:rPr>
                    <w:t>禁止违法利用、占用长江流域河湖岸线。禁止在金</w:t>
                  </w:r>
                </w:p>
                <w:p w14:paraId="0DEF595F">
                  <w:pPr>
                    <w:pStyle w:val="72"/>
                    <w:rPr>
                      <w:b w:val="0"/>
                      <w:color w:val="auto"/>
                    </w:rPr>
                  </w:pPr>
                  <w:r>
                    <w:rPr>
                      <w:b w:val="0"/>
                      <w:color w:val="auto"/>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44" w:type="pct"/>
                  <w:vAlign w:val="center"/>
                </w:tcPr>
                <w:p w14:paraId="4E17878A">
                  <w:pPr>
                    <w:pStyle w:val="72"/>
                    <w:rPr>
                      <w:b w:val="0"/>
                      <w:color w:val="auto"/>
                    </w:rPr>
                  </w:pPr>
                  <w:r>
                    <w:rPr>
                      <w:b w:val="0"/>
                      <w:color w:val="auto"/>
                    </w:rPr>
                    <w:t>本项目不涉及占用长江流域河湖岸线项目。</w:t>
                  </w:r>
                </w:p>
              </w:tc>
              <w:tc>
                <w:tcPr>
                  <w:tcW w:w="403" w:type="pct"/>
                  <w:vAlign w:val="center"/>
                </w:tcPr>
                <w:p w14:paraId="1C112076">
                  <w:pPr>
                    <w:pStyle w:val="72"/>
                    <w:rPr>
                      <w:b w:val="0"/>
                      <w:color w:val="auto"/>
                    </w:rPr>
                  </w:pPr>
                  <w:r>
                    <w:rPr>
                      <w:b w:val="0"/>
                      <w:color w:val="auto"/>
                    </w:rPr>
                    <w:t>相符</w:t>
                  </w:r>
                </w:p>
              </w:tc>
            </w:tr>
            <w:tr w14:paraId="3FFFB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15941E98">
                  <w:pPr>
                    <w:pStyle w:val="72"/>
                    <w:rPr>
                      <w:b w:val="0"/>
                      <w:color w:val="auto"/>
                    </w:rPr>
                  </w:pPr>
                  <w:r>
                    <w:rPr>
                      <w:b w:val="0"/>
                      <w:color w:val="auto"/>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44" w:type="pct"/>
                  <w:vAlign w:val="center"/>
                </w:tcPr>
                <w:p w14:paraId="247292F7">
                  <w:pPr>
                    <w:pStyle w:val="72"/>
                    <w:rPr>
                      <w:b w:val="0"/>
                      <w:color w:val="auto"/>
                    </w:rPr>
                  </w:pPr>
                  <w:r>
                    <w:rPr>
                      <w:b w:val="0"/>
                      <w:color w:val="auto"/>
                    </w:rPr>
                    <w:t>项目不属于过江基础设施项目，项目不涉及新设、改设或扩大排污口。</w:t>
                  </w:r>
                </w:p>
              </w:tc>
              <w:tc>
                <w:tcPr>
                  <w:tcW w:w="403" w:type="pct"/>
                  <w:vAlign w:val="center"/>
                </w:tcPr>
                <w:p w14:paraId="64A840FA">
                  <w:pPr>
                    <w:pStyle w:val="72"/>
                    <w:rPr>
                      <w:b w:val="0"/>
                      <w:color w:val="auto"/>
                    </w:rPr>
                  </w:pPr>
                  <w:r>
                    <w:rPr>
                      <w:b w:val="0"/>
                      <w:color w:val="auto"/>
                    </w:rPr>
                    <w:t>相符</w:t>
                  </w:r>
                </w:p>
              </w:tc>
            </w:tr>
            <w:tr w14:paraId="12AFE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2E8DB0E1">
                  <w:pPr>
                    <w:pStyle w:val="72"/>
                    <w:rPr>
                      <w:b w:val="0"/>
                      <w:color w:val="auto"/>
                    </w:rPr>
                  </w:pPr>
                  <w:r>
                    <w:rPr>
                      <w:b w:val="0"/>
                      <w:color w:val="auto"/>
                    </w:rPr>
                    <w:t>禁止在金沙江干流、长江一级支流、水生生物保护区和长江流域禁捕水域开展天然渔业资源生产性捕捞。</w:t>
                  </w:r>
                </w:p>
              </w:tc>
              <w:tc>
                <w:tcPr>
                  <w:tcW w:w="1444" w:type="pct"/>
                  <w:vAlign w:val="center"/>
                </w:tcPr>
                <w:p w14:paraId="15A82FF8">
                  <w:pPr>
                    <w:pStyle w:val="72"/>
                    <w:rPr>
                      <w:b w:val="0"/>
                      <w:color w:val="auto"/>
                    </w:rPr>
                  </w:pPr>
                  <w:r>
                    <w:rPr>
                      <w:b w:val="0"/>
                      <w:color w:val="auto"/>
                    </w:rPr>
                    <w:t>本项目不涉及天然渔业资源生产性捕捞。</w:t>
                  </w:r>
                </w:p>
              </w:tc>
              <w:tc>
                <w:tcPr>
                  <w:tcW w:w="403" w:type="pct"/>
                  <w:vAlign w:val="center"/>
                </w:tcPr>
                <w:p w14:paraId="6295DEF1">
                  <w:pPr>
                    <w:pStyle w:val="72"/>
                    <w:rPr>
                      <w:b w:val="0"/>
                      <w:color w:val="auto"/>
                    </w:rPr>
                  </w:pPr>
                  <w:r>
                    <w:rPr>
                      <w:b w:val="0"/>
                      <w:color w:val="auto"/>
                    </w:rPr>
                    <w:t>相符</w:t>
                  </w:r>
                </w:p>
              </w:tc>
            </w:tr>
            <w:tr w14:paraId="5227A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7D6B1232">
                  <w:pPr>
                    <w:pStyle w:val="72"/>
                    <w:rPr>
                      <w:b w:val="0"/>
                      <w:color w:val="auto"/>
                    </w:rPr>
                  </w:pPr>
                  <w:r>
                    <w:rPr>
                      <w:b w:val="0"/>
                      <w:color w:val="auto"/>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44" w:type="pct"/>
                  <w:vAlign w:val="center"/>
                </w:tcPr>
                <w:p w14:paraId="17B3D49F">
                  <w:pPr>
                    <w:pStyle w:val="72"/>
                    <w:rPr>
                      <w:b w:val="0"/>
                      <w:color w:val="auto"/>
                    </w:rPr>
                  </w:pPr>
                  <w:r>
                    <w:rPr>
                      <w:b w:val="0"/>
                      <w:color w:val="auto"/>
                    </w:rPr>
                    <w:t>本项目所在区域不属于金沙江干流、长江一级支流、水生生物保护区、九大高原湖泊岸线一公里范围。</w:t>
                  </w:r>
                </w:p>
              </w:tc>
              <w:tc>
                <w:tcPr>
                  <w:tcW w:w="403" w:type="pct"/>
                  <w:vAlign w:val="center"/>
                </w:tcPr>
                <w:p w14:paraId="2B01DB38">
                  <w:pPr>
                    <w:pStyle w:val="72"/>
                    <w:rPr>
                      <w:b w:val="0"/>
                      <w:color w:val="auto"/>
                    </w:rPr>
                  </w:pPr>
                  <w:r>
                    <w:rPr>
                      <w:b w:val="0"/>
                      <w:color w:val="auto"/>
                    </w:rPr>
                    <w:t>相符</w:t>
                  </w:r>
                </w:p>
              </w:tc>
            </w:tr>
            <w:tr w14:paraId="0B7E2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614066D">
                  <w:pPr>
                    <w:pStyle w:val="72"/>
                    <w:rPr>
                      <w:b w:val="0"/>
                      <w:color w:val="auto"/>
                    </w:rPr>
                  </w:pPr>
                  <w:r>
                    <w:rPr>
                      <w:b w:val="0"/>
                      <w:color w:val="auto"/>
                    </w:rPr>
                    <w:t>禁止在合规园区外新建、扩建钢铁、石化、化工、焦化、建材、有色、制浆造纸行业中的高污染项目。</w:t>
                  </w:r>
                </w:p>
              </w:tc>
              <w:tc>
                <w:tcPr>
                  <w:tcW w:w="1444" w:type="pct"/>
                  <w:vAlign w:val="center"/>
                </w:tcPr>
                <w:p w14:paraId="1FB6BA34">
                  <w:pPr>
                    <w:pStyle w:val="72"/>
                    <w:rPr>
                      <w:b w:val="0"/>
                      <w:color w:val="auto"/>
                    </w:rPr>
                  </w:pPr>
                  <w:r>
                    <w:rPr>
                      <w:b w:val="0"/>
                      <w:color w:val="auto"/>
                    </w:rPr>
                    <w:t>本项目建设地址为合规园区。</w:t>
                  </w:r>
                </w:p>
              </w:tc>
              <w:tc>
                <w:tcPr>
                  <w:tcW w:w="403" w:type="pct"/>
                  <w:vAlign w:val="center"/>
                </w:tcPr>
                <w:p w14:paraId="3AFD6C43">
                  <w:pPr>
                    <w:pStyle w:val="72"/>
                    <w:rPr>
                      <w:b w:val="0"/>
                      <w:color w:val="auto"/>
                    </w:rPr>
                  </w:pPr>
                  <w:r>
                    <w:rPr>
                      <w:b w:val="0"/>
                      <w:color w:val="auto"/>
                    </w:rPr>
                    <w:t>相符</w:t>
                  </w:r>
                </w:p>
              </w:tc>
            </w:tr>
            <w:tr w14:paraId="06590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38DB8F7A">
                  <w:pPr>
                    <w:pStyle w:val="72"/>
                    <w:rPr>
                      <w:b w:val="0"/>
                      <w:color w:val="auto"/>
                    </w:rPr>
                  </w:pPr>
                  <w:r>
                    <w:rPr>
                      <w:b w:val="0"/>
                      <w:color w:val="auto"/>
                    </w:rPr>
                    <w:t>禁止新建、扩建不符合国家石化、现代煤化工等产业布局规划的项目。禁止列入《云南省城镇人口密集区危险化学品生产企业搬迁改造名单》的搬迁改造企业在原址新建、扩建危险化学品生产项目。</w:t>
                  </w:r>
                </w:p>
              </w:tc>
              <w:tc>
                <w:tcPr>
                  <w:tcW w:w="1444" w:type="pct"/>
                  <w:vAlign w:val="center"/>
                </w:tcPr>
                <w:p w14:paraId="3F6C3DF4">
                  <w:pPr>
                    <w:pStyle w:val="72"/>
                    <w:rPr>
                      <w:b w:val="0"/>
                      <w:color w:val="auto"/>
                    </w:rPr>
                  </w:pPr>
                  <w:r>
                    <w:rPr>
                      <w:b w:val="0"/>
                      <w:color w:val="auto"/>
                    </w:rPr>
                    <w:t>本项目</w:t>
                  </w:r>
                  <w:r>
                    <w:rPr>
                      <w:rFonts w:hint="eastAsia"/>
                      <w:b w:val="0"/>
                      <w:color w:val="auto"/>
                    </w:rPr>
                    <w:t>为一般工业固体废物综合利用项目，</w:t>
                  </w:r>
                  <w:r>
                    <w:rPr>
                      <w:b w:val="0"/>
                      <w:color w:val="auto"/>
                    </w:rPr>
                    <w:t>不属于不符合国家石化、现代煤化工等产业布局规划的项目；本项目不属于危险化学品生产项目。</w:t>
                  </w:r>
                </w:p>
              </w:tc>
              <w:tc>
                <w:tcPr>
                  <w:tcW w:w="403" w:type="pct"/>
                  <w:vAlign w:val="center"/>
                </w:tcPr>
                <w:p w14:paraId="24065DBE">
                  <w:pPr>
                    <w:pStyle w:val="72"/>
                    <w:rPr>
                      <w:b w:val="0"/>
                      <w:color w:val="auto"/>
                    </w:rPr>
                  </w:pPr>
                  <w:r>
                    <w:rPr>
                      <w:b w:val="0"/>
                      <w:color w:val="auto"/>
                    </w:rPr>
                    <w:t>相符</w:t>
                  </w:r>
                </w:p>
              </w:tc>
            </w:tr>
            <w:tr w14:paraId="68269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500C7F1C">
                  <w:pPr>
                    <w:pStyle w:val="72"/>
                    <w:rPr>
                      <w:b w:val="0"/>
                      <w:color w:val="auto"/>
                    </w:rPr>
                  </w:pPr>
                  <w:r>
                    <w:rPr>
                      <w:b w:val="0"/>
                      <w:color w:val="auto"/>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44" w:type="pct"/>
                  <w:vAlign w:val="center"/>
                </w:tcPr>
                <w:p w14:paraId="4158D3D0">
                  <w:pPr>
                    <w:pStyle w:val="72"/>
                    <w:rPr>
                      <w:b w:val="0"/>
                      <w:color w:val="auto"/>
                    </w:rPr>
                  </w:pPr>
                  <w:r>
                    <w:rPr>
                      <w:b w:val="0"/>
                      <w:color w:val="auto"/>
                    </w:rPr>
                    <w:t>本项目不属于落后产能项目、过剩产能行业的项目、高能耗、高排放项目。本项目不涉及建设高毒高残留以及对环境影响大的农药原药生产装置，不属于尿素、磷铵、电石、焦炭、黄磷、烧碱、纯碱、聚氯乙烯等行业。</w:t>
                  </w:r>
                </w:p>
              </w:tc>
              <w:tc>
                <w:tcPr>
                  <w:tcW w:w="403" w:type="pct"/>
                  <w:vAlign w:val="center"/>
                </w:tcPr>
                <w:p w14:paraId="4E3196EE">
                  <w:pPr>
                    <w:pStyle w:val="72"/>
                    <w:rPr>
                      <w:b w:val="0"/>
                      <w:color w:val="auto"/>
                    </w:rPr>
                  </w:pPr>
                  <w:r>
                    <w:rPr>
                      <w:b w:val="0"/>
                      <w:color w:val="auto"/>
                    </w:rPr>
                    <w:t>相符</w:t>
                  </w:r>
                </w:p>
              </w:tc>
            </w:tr>
          </w:tbl>
          <w:p w14:paraId="4BDA4E34">
            <w:pPr>
              <w:adjustRightInd w:val="0"/>
              <w:snapToGrid w:val="0"/>
              <w:spacing w:line="360" w:lineRule="auto"/>
              <w:ind w:firstLine="480" w:firstLineChars="200"/>
              <w:rPr>
                <w:b/>
                <w:sz w:val="24"/>
              </w:rPr>
            </w:pPr>
            <w:r>
              <w:rPr>
                <w:sz w:val="24"/>
              </w:rPr>
              <w:t>综上，本项目与《云南省长江经济带发展负面清单指南实施细则（试行，2022年版）》规定的内容相符合。</w:t>
            </w:r>
          </w:p>
          <w:p w14:paraId="12871E83">
            <w:pPr>
              <w:spacing w:line="360" w:lineRule="auto"/>
              <w:ind w:firstLine="482" w:firstLineChars="200"/>
              <w:rPr>
                <w:b/>
                <w:spacing w:val="4"/>
                <w:kern w:val="24"/>
                <w:szCs w:val="21"/>
                <w:lang w:bidi="ar"/>
              </w:rPr>
            </w:pPr>
            <w:bookmarkStart w:id="10" w:name="_Toc26297"/>
            <w:r>
              <w:rPr>
                <w:rFonts w:hint="eastAsia"/>
                <w:b/>
                <w:sz w:val="24"/>
              </w:rPr>
              <w:t>8</w:t>
            </w:r>
            <w:r>
              <w:rPr>
                <w:b/>
                <w:sz w:val="24"/>
              </w:rPr>
              <w:t>、</w:t>
            </w:r>
            <w:bookmarkEnd w:id="10"/>
            <w:r>
              <w:rPr>
                <w:b/>
                <w:spacing w:val="4"/>
                <w:kern w:val="24"/>
                <w:sz w:val="24"/>
                <w:lang w:bidi="ar"/>
              </w:rPr>
              <w:t>与《昆明市大气污染防治条例》相符性分析</w:t>
            </w:r>
          </w:p>
          <w:p w14:paraId="28FAC978">
            <w:pPr>
              <w:pStyle w:val="56"/>
              <w:rPr>
                <w:spacing w:val="4"/>
                <w:kern w:val="24"/>
                <w:szCs w:val="21"/>
                <w:lang w:bidi="ar"/>
              </w:rPr>
            </w:pPr>
            <w:r>
              <w:rPr>
                <w:spacing w:val="4"/>
                <w:kern w:val="24"/>
                <w:szCs w:val="21"/>
                <w:lang w:bidi="ar"/>
              </w:rPr>
              <w:t>表1-</w:t>
            </w:r>
            <w:r>
              <w:rPr>
                <w:rFonts w:hint="eastAsia"/>
                <w:spacing w:val="4"/>
                <w:kern w:val="24"/>
                <w:szCs w:val="21"/>
                <w:lang w:bidi="ar"/>
              </w:rPr>
              <w:t>10</w:t>
            </w:r>
            <w:r>
              <w:rPr>
                <w:spacing w:val="4"/>
                <w:kern w:val="24"/>
                <w:szCs w:val="21"/>
                <w:lang w:bidi="ar"/>
              </w:rPr>
              <w:t xml:space="preserve">  与《昆明市大气污染防治条例》符合性分析</w:t>
            </w:r>
          </w:p>
          <w:tbl>
            <w:tblPr>
              <w:tblStyle w:val="23"/>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6FBF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387" w:type="dxa"/>
                  <w:vAlign w:val="center"/>
                </w:tcPr>
                <w:p w14:paraId="0657F68D">
                  <w:pPr>
                    <w:pStyle w:val="72"/>
                    <w:rPr>
                      <w:b w:val="0"/>
                      <w:bCs/>
                      <w:color w:val="auto"/>
                    </w:rPr>
                  </w:pPr>
                  <w:r>
                    <w:rPr>
                      <w:b w:val="0"/>
                      <w:bCs/>
                      <w:color w:val="auto"/>
                    </w:rPr>
                    <w:t>相关要求</w:t>
                  </w:r>
                </w:p>
              </w:tc>
              <w:tc>
                <w:tcPr>
                  <w:tcW w:w="3547" w:type="dxa"/>
                  <w:vAlign w:val="center"/>
                </w:tcPr>
                <w:p w14:paraId="4F3DF177">
                  <w:pPr>
                    <w:pStyle w:val="72"/>
                    <w:rPr>
                      <w:b w:val="0"/>
                      <w:bCs/>
                      <w:color w:val="auto"/>
                    </w:rPr>
                  </w:pPr>
                  <w:r>
                    <w:rPr>
                      <w:b w:val="0"/>
                      <w:bCs/>
                      <w:color w:val="auto"/>
                    </w:rPr>
                    <w:t>项目情况</w:t>
                  </w:r>
                </w:p>
              </w:tc>
              <w:tc>
                <w:tcPr>
                  <w:tcW w:w="949" w:type="dxa"/>
                  <w:vAlign w:val="center"/>
                </w:tcPr>
                <w:p w14:paraId="47BE8A62">
                  <w:pPr>
                    <w:pStyle w:val="72"/>
                    <w:rPr>
                      <w:b w:val="0"/>
                      <w:bCs/>
                      <w:color w:val="auto"/>
                    </w:rPr>
                  </w:pPr>
                  <w:r>
                    <w:rPr>
                      <w:b w:val="0"/>
                      <w:bCs/>
                      <w:color w:val="auto"/>
                    </w:rPr>
                    <w:t>符合性</w:t>
                  </w:r>
                </w:p>
              </w:tc>
            </w:tr>
            <w:tr w14:paraId="3D0B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389668CD">
                  <w:pPr>
                    <w:pStyle w:val="72"/>
                    <w:rPr>
                      <w:b w:val="0"/>
                      <w:bCs/>
                      <w:color w:val="auto"/>
                    </w:rPr>
                  </w:pPr>
                  <w:r>
                    <w:rPr>
                      <w:b w:val="0"/>
                      <w:bCs/>
                      <w:color w:val="auto"/>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3547" w:type="dxa"/>
                  <w:vMerge w:val="restart"/>
                  <w:vAlign w:val="center"/>
                </w:tcPr>
                <w:p w14:paraId="2542416C">
                  <w:pPr>
                    <w:pStyle w:val="72"/>
                    <w:rPr>
                      <w:b w:val="0"/>
                      <w:bCs/>
                      <w:color w:val="auto"/>
                    </w:rPr>
                  </w:pPr>
                  <w:r>
                    <w:rPr>
                      <w:b w:val="0"/>
                      <w:bCs/>
                      <w:color w:val="auto"/>
                    </w:rPr>
                    <w:t>本项目</w:t>
                  </w:r>
                  <w:r>
                    <w:rPr>
                      <w:rFonts w:hint="eastAsia"/>
                      <w:b w:val="0"/>
                      <w:bCs/>
                      <w:color w:val="auto"/>
                    </w:rPr>
                    <w:t>为一般工业固体废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 w:val="0"/>
                      <w:bCs/>
                      <w:color w:val="auto"/>
                    </w:rPr>
                    <w:t>废气均经过有效的治理措施处理后</w:t>
                  </w:r>
                  <w:r>
                    <w:rPr>
                      <w:rFonts w:hint="eastAsia"/>
                      <w:b w:val="0"/>
                      <w:bCs/>
                      <w:color w:val="auto"/>
                    </w:rPr>
                    <w:t>对周围环境影响不大。</w:t>
                  </w:r>
                </w:p>
              </w:tc>
              <w:tc>
                <w:tcPr>
                  <w:tcW w:w="949" w:type="dxa"/>
                  <w:vAlign w:val="center"/>
                </w:tcPr>
                <w:p w14:paraId="1BEC5C76">
                  <w:pPr>
                    <w:pStyle w:val="72"/>
                    <w:rPr>
                      <w:b w:val="0"/>
                      <w:bCs/>
                      <w:color w:val="auto"/>
                    </w:rPr>
                  </w:pPr>
                  <w:r>
                    <w:rPr>
                      <w:b w:val="0"/>
                      <w:bCs/>
                      <w:color w:val="auto"/>
                    </w:rPr>
                    <w:t>符合</w:t>
                  </w:r>
                </w:p>
              </w:tc>
            </w:tr>
            <w:tr w14:paraId="42D6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5C0440CE">
                  <w:pPr>
                    <w:pStyle w:val="72"/>
                    <w:rPr>
                      <w:b w:val="0"/>
                      <w:bCs/>
                      <w:color w:val="auto"/>
                    </w:rPr>
                  </w:pPr>
                  <w:r>
                    <w:rPr>
                      <w:b w:val="0"/>
                      <w:bCs/>
                      <w:color w:val="auto"/>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3547" w:type="dxa"/>
                  <w:vMerge w:val="continue"/>
                  <w:vAlign w:val="center"/>
                </w:tcPr>
                <w:p w14:paraId="3F9AE9D0">
                  <w:pPr>
                    <w:pStyle w:val="72"/>
                    <w:rPr>
                      <w:b w:val="0"/>
                      <w:bCs/>
                      <w:color w:val="auto"/>
                    </w:rPr>
                  </w:pPr>
                </w:p>
              </w:tc>
              <w:tc>
                <w:tcPr>
                  <w:tcW w:w="949" w:type="dxa"/>
                  <w:vAlign w:val="center"/>
                </w:tcPr>
                <w:p w14:paraId="32D69186">
                  <w:pPr>
                    <w:pStyle w:val="72"/>
                    <w:rPr>
                      <w:b w:val="0"/>
                      <w:bCs/>
                      <w:color w:val="auto"/>
                    </w:rPr>
                  </w:pPr>
                  <w:r>
                    <w:rPr>
                      <w:b w:val="0"/>
                      <w:bCs/>
                      <w:color w:val="auto"/>
                    </w:rPr>
                    <w:t>符合</w:t>
                  </w:r>
                </w:p>
              </w:tc>
            </w:tr>
            <w:tr w14:paraId="63A4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1BA47D05">
                  <w:pPr>
                    <w:pStyle w:val="72"/>
                    <w:rPr>
                      <w:b w:val="0"/>
                      <w:bCs/>
                      <w:color w:val="auto"/>
                    </w:rPr>
                  </w:pPr>
                  <w:r>
                    <w:rPr>
                      <w:b w:val="0"/>
                      <w:bCs/>
                      <w:color w:val="auto"/>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3547" w:type="dxa"/>
                  <w:vAlign w:val="center"/>
                </w:tcPr>
                <w:p w14:paraId="4819A72E">
                  <w:pPr>
                    <w:pStyle w:val="72"/>
                    <w:rPr>
                      <w:b w:val="0"/>
                      <w:bCs/>
                      <w:color w:val="auto"/>
                    </w:rPr>
                  </w:pPr>
                  <w:r>
                    <w:rPr>
                      <w:b w:val="0"/>
                      <w:bCs/>
                      <w:color w:val="auto"/>
                    </w:rPr>
                    <w:t>本项目生产的产品</w:t>
                  </w:r>
                  <w:r>
                    <w:rPr>
                      <w:rFonts w:hint="eastAsia"/>
                      <w:b w:val="0"/>
                      <w:bCs/>
                      <w:color w:val="auto"/>
                    </w:rPr>
                    <w:t>不</w:t>
                  </w:r>
                  <w:r>
                    <w:rPr>
                      <w:b w:val="0"/>
                      <w:bCs/>
                      <w:color w:val="auto"/>
                    </w:rPr>
                    <w:t>含挥发性有机物。</w:t>
                  </w:r>
                </w:p>
              </w:tc>
              <w:tc>
                <w:tcPr>
                  <w:tcW w:w="949" w:type="dxa"/>
                  <w:vAlign w:val="center"/>
                </w:tcPr>
                <w:p w14:paraId="75CD3323">
                  <w:pPr>
                    <w:pStyle w:val="72"/>
                    <w:rPr>
                      <w:b w:val="0"/>
                      <w:bCs/>
                      <w:color w:val="auto"/>
                    </w:rPr>
                  </w:pPr>
                  <w:r>
                    <w:rPr>
                      <w:b w:val="0"/>
                      <w:bCs/>
                      <w:color w:val="auto"/>
                    </w:rPr>
                    <w:t>符合</w:t>
                  </w:r>
                </w:p>
              </w:tc>
            </w:tr>
          </w:tbl>
          <w:p w14:paraId="4BF57747">
            <w:pPr>
              <w:adjustRightInd w:val="0"/>
              <w:snapToGrid w:val="0"/>
              <w:spacing w:line="360" w:lineRule="auto"/>
              <w:ind w:firstLine="496" w:firstLineChars="200"/>
              <w:rPr>
                <w:b/>
                <w:sz w:val="24"/>
              </w:rPr>
            </w:pPr>
            <w:r>
              <w:rPr>
                <w:bCs/>
                <w:spacing w:val="4"/>
                <w:kern w:val="24"/>
                <w:sz w:val="24"/>
                <w:lang w:bidi="ar"/>
              </w:rPr>
              <w:t>综上，</w:t>
            </w:r>
            <w:r>
              <w:rPr>
                <w:kern w:val="0"/>
                <w:sz w:val="24"/>
              </w:rPr>
              <w:t>项目符合</w:t>
            </w:r>
            <w:r>
              <w:rPr>
                <w:sz w:val="24"/>
              </w:rPr>
              <w:t>《昆明市大气污染防治条例》要求。</w:t>
            </w:r>
          </w:p>
          <w:p w14:paraId="1ED1DBFF">
            <w:pPr>
              <w:spacing w:line="360" w:lineRule="auto"/>
              <w:ind w:firstLine="482" w:firstLineChars="200"/>
              <w:rPr>
                <w:b/>
                <w:spacing w:val="4"/>
                <w:kern w:val="24"/>
                <w:sz w:val="24"/>
                <w:lang w:bidi="ar"/>
              </w:rPr>
            </w:pPr>
            <w:r>
              <w:rPr>
                <w:rFonts w:hint="eastAsia"/>
                <w:b/>
                <w:sz w:val="24"/>
              </w:rPr>
              <w:t>9、与</w:t>
            </w:r>
            <w:r>
              <w:rPr>
                <w:b/>
                <w:spacing w:val="4"/>
                <w:kern w:val="24"/>
                <w:sz w:val="24"/>
                <w:lang w:bidi="ar"/>
              </w:rPr>
              <w:t>《</w:t>
            </w:r>
            <w:r>
              <w:rPr>
                <w:rFonts w:hint="eastAsia"/>
                <w:b/>
                <w:spacing w:val="4"/>
                <w:kern w:val="24"/>
                <w:sz w:val="24"/>
                <w:lang w:bidi="ar"/>
              </w:rPr>
              <w:t>中华人民共和国大气污染防治法</w:t>
            </w:r>
            <w:r>
              <w:rPr>
                <w:b/>
                <w:spacing w:val="4"/>
                <w:kern w:val="24"/>
                <w:sz w:val="24"/>
                <w:lang w:bidi="ar"/>
              </w:rPr>
              <w:t>》相符性分析</w:t>
            </w:r>
          </w:p>
          <w:p w14:paraId="7E9F2BDB">
            <w:pPr>
              <w:pStyle w:val="56"/>
            </w:pPr>
            <w:r>
              <w:t>表1-</w:t>
            </w:r>
            <w:r>
              <w:rPr>
                <w:rFonts w:hint="eastAsia"/>
              </w:rPr>
              <w:t>11</w:t>
            </w:r>
            <w:r>
              <w:t xml:space="preserve"> 与《</w:t>
            </w:r>
            <w:r>
              <w:rPr>
                <w:rFonts w:hint="eastAsia"/>
              </w:rPr>
              <w:t>中华人民共和国大气污染防治法</w:t>
            </w:r>
            <w:r>
              <w:t>》符合性分析</w:t>
            </w:r>
          </w:p>
          <w:tbl>
            <w:tblPr>
              <w:tblStyle w:val="23"/>
              <w:tblpPr w:leftFromText="180" w:rightFromText="180" w:vertAnchor="text" w:horzAnchor="page" w:tblpX="213" w:tblpY="258"/>
              <w:tblOverlap w:val="never"/>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51DF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387" w:type="dxa"/>
                  <w:vAlign w:val="center"/>
                </w:tcPr>
                <w:p w14:paraId="45BCEE62">
                  <w:pPr>
                    <w:pStyle w:val="72"/>
                    <w:rPr>
                      <w:b w:val="0"/>
                      <w:color w:val="auto"/>
                    </w:rPr>
                  </w:pPr>
                  <w:r>
                    <w:rPr>
                      <w:b w:val="0"/>
                      <w:color w:val="auto"/>
                    </w:rPr>
                    <w:t>相关要求</w:t>
                  </w:r>
                </w:p>
              </w:tc>
              <w:tc>
                <w:tcPr>
                  <w:tcW w:w="3547" w:type="dxa"/>
                  <w:vAlign w:val="center"/>
                </w:tcPr>
                <w:p w14:paraId="2EB565AF">
                  <w:pPr>
                    <w:pStyle w:val="72"/>
                    <w:rPr>
                      <w:b w:val="0"/>
                      <w:color w:val="auto"/>
                    </w:rPr>
                  </w:pPr>
                  <w:r>
                    <w:rPr>
                      <w:b w:val="0"/>
                      <w:color w:val="auto"/>
                    </w:rPr>
                    <w:t>项目情况</w:t>
                  </w:r>
                </w:p>
              </w:tc>
              <w:tc>
                <w:tcPr>
                  <w:tcW w:w="949" w:type="dxa"/>
                  <w:vAlign w:val="center"/>
                </w:tcPr>
                <w:p w14:paraId="0C4A179D">
                  <w:pPr>
                    <w:pStyle w:val="72"/>
                    <w:rPr>
                      <w:b w:val="0"/>
                      <w:color w:val="auto"/>
                    </w:rPr>
                  </w:pPr>
                  <w:r>
                    <w:rPr>
                      <w:b w:val="0"/>
                      <w:color w:val="auto"/>
                    </w:rPr>
                    <w:t>符合性</w:t>
                  </w:r>
                </w:p>
              </w:tc>
            </w:tr>
            <w:tr w14:paraId="4B13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30800FE4">
                  <w:pPr>
                    <w:pStyle w:val="72"/>
                    <w:rPr>
                      <w:b w:val="0"/>
                      <w:color w:val="auto"/>
                    </w:rPr>
                  </w:pPr>
                  <w:r>
                    <w:rPr>
                      <w:b w:val="0"/>
                      <w:color w:val="auto"/>
                    </w:rPr>
                    <w:t>防治大气污染，应当加强对燃煤、工业、机动车船、扬尘、农业等大气污染的综合防治，推行区域大气污染联合防治，对颗粒物、二氧化硫、氮氧化物、挥发性有机物、氨等大气污染物和温室气体实施协同控制。</w:t>
                  </w:r>
                </w:p>
              </w:tc>
              <w:tc>
                <w:tcPr>
                  <w:tcW w:w="3547" w:type="dxa"/>
                  <w:vAlign w:val="center"/>
                </w:tcPr>
                <w:p w14:paraId="3E8AFD0B">
                  <w:pPr>
                    <w:pStyle w:val="72"/>
                    <w:jc w:val="both"/>
                    <w:rPr>
                      <w:b w:val="0"/>
                      <w:color w:val="auto"/>
                    </w:rPr>
                  </w:pPr>
                  <w:r>
                    <w:rPr>
                      <w:b w:val="0"/>
                      <w:bCs/>
                      <w:color w:val="auto"/>
                    </w:rPr>
                    <w:t>本项目</w:t>
                  </w:r>
                  <w:r>
                    <w:rPr>
                      <w:rFonts w:hint="eastAsia"/>
                      <w:b w:val="0"/>
                      <w:bCs/>
                      <w:color w:val="auto"/>
                    </w:rPr>
                    <w:t>为一般工业固体废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 w:val="0"/>
                      <w:bCs/>
                      <w:color w:val="auto"/>
                    </w:rPr>
                    <w:t>废气均经过有效的治理措施处理后</w:t>
                  </w:r>
                  <w:r>
                    <w:rPr>
                      <w:rFonts w:hint="eastAsia"/>
                      <w:b w:val="0"/>
                      <w:bCs/>
                      <w:color w:val="auto"/>
                    </w:rPr>
                    <w:t>对周围环境影响不大。</w:t>
                  </w:r>
                </w:p>
              </w:tc>
              <w:tc>
                <w:tcPr>
                  <w:tcW w:w="949" w:type="dxa"/>
                  <w:vAlign w:val="center"/>
                </w:tcPr>
                <w:p w14:paraId="69C41A9A">
                  <w:pPr>
                    <w:pStyle w:val="72"/>
                    <w:rPr>
                      <w:b w:val="0"/>
                      <w:color w:val="auto"/>
                    </w:rPr>
                  </w:pPr>
                  <w:r>
                    <w:rPr>
                      <w:b w:val="0"/>
                      <w:color w:val="auto"/>
                    </w:rPr>
                    <w:t>符合</w:t>
                  </w:r>
                </w:p>
              </w:tc>
            </w:tr>
            <w:tr w14:paraId="26E2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1A1AAFAE">
                  <w:pPr>
                    <w:pStyle w:val="72"/>
                    <w:rPr>
                      <w:b w:val="0"/>
                      <w:color w:val="auto"/>
                    </w:rPr>
                  </w:pPr>
                  <w:r>
                    <w:rPr>
                      <w:b w:val="0"/>
                      <w:color w:val="auto"/>
                    </w:rPr>
                    <w:t>单位存放煤炭、煤矸石、煤渣、煤灰等物料，应当采取防燃措施，防止大气污染。</w:t>
                  </w:r>
                </w:p>
              </w:tc>
              <w:tc>
                <w:tcPr>
                  <w:tcW w:w="3547" w:type="dxa"/>
                  <w:vAlign w:val="center"/>
                </w:tcPr>
                <w:p w14:paraId="3E4DD5EC">
                  <w:pPr>
                    <w:pStyle w:val="72"/>
                    <w:rPr>
                      <w:b w:val="0"/>
                      <w:color w:val="auto"/>
                    </w:rPr>
                  </w:pPr>
                  <w:r>
                    <w:rPr>
                      <w:rFonts w:hint="eastAsia"/>
                      <w:b w:val="0"/>
                      <w:color w:val="auto"/>
                    </w:rPr>
                    <w:t>本项目不存放</w:t>
                  </w:r>
                  <w:r>
                    <w:rPr>
                      <w:b w:val="0"/>
                      <w:color w:val="auto"/>
                    </w:rPr>
                    <w:t>煤炭、煤矸石、煤渣、煤灰等物料</w:t>
                  </w:r>
                  <w:r>
                    <w:rPr>
                      <w:rFonts w:hint="eastAsia"/>
                      <w:b w:val="0"/>
                      <w:color w:val="auto"/>
                    </w:rPr>
                    <w:t>，车间内设置有消防器材。</w:t>
                  </w:r>
                </w:p>
              </w:tc>
              <w:tc>
                <w:tcPr>
                  <w:tcW w:w="949" w:type="dxa"/>
                  <w:vAlign w:val="center"/>
                </w:tcPr>
                <w:p w14:paraId="5AE8EF6D">
                  <w:pPr>
                    <w:pStyle w:val="72"/>
                    <w:rPr>
                      <w:b w:val="0"/>
                      <w:color w:val="auto"/>
                    </w:rPr>
                  </w:pPr>
                  <w:r>
                    <w:rPr>
                      <w:b w:val="0"/>
                      <w:color w:val="auto"/>
                    </w:rPr>
                    <w:t>符合</w:t>
                  </w:r>
                </w:p>
              </w:tc>
            </w:tr>
            <w:tr w14:paraId="2AB4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505AFCDC">
                  <w:pPr>
                    <w:pStyle w:val="72"/>
                    <w:rPr>
                      <w:b w:val="0"/>
                      <w:color w:val="auto"/>
                    </w:rPr>
                  </w:pPr>
                  <w:r>
                    <w:rPr>
                      <w:b w:val="0"/>
                      <w:color w:val="auto"/>
                    </w:rPr>
                    <w:t>在禁燃区内，禁止销售、燃用高污染燃料</w:t>
                  </w:r>
                  <w:r>
                    <w:rPr>
                      <w:rFonts w:hint="eastAsia"/>
                      <w:b w:val="0"/>
                      <w:color w:val="auto"/>
                    </w:rPr>
                    <w:t>；</w:t>
                  </w:r>
                  <w:r>
                    <w:rPr>
                      <w:b w:val="0"/>
                      <w:color w:val="auto"/>
                    </w:rPr>
                    <w:t>禁止新建、扩建燃用高污染燃料的设施，已建成的，应当在城市人民政府规定的期限内改用天然气、页岩气、液化石油气、电或者其他清洁能源。</w:t>
                  </w:r>
                </w:p>
              </w:tc>
              <w:tc>
                <w:tcPr>
                  <w:tcW w:w="3547" w:type="dxa"/>
                  <w:vAlign w:val="center"/>
                </w:tcPr>
                <w:p w14:paraId="5D5DAD8C">
                  <w:pPr>
                    <w:pStyle w:val="72"/>
                    <w:rPr>
                      <w:b w:val="0"/>
                      <w:color w:val="auto"/>
                    </w:rPr>
                  </w:pPr>
                  <w:r>
                    <w:rPr>
                      <w:rFonts w:hint="eastAsia"/>
                      <w:b w:val="0"/>
                      <w:color w:val="auto"/>
                    </w:rPr>
                    <w:t>本项目位于</w:t>
                  </w:r>
                  <w:r>
                    <w:rPr>
                      <w:b w:val="0"/>
                      <w:color w:val="auto"/>
                    </w:rPr>
                    <w:t>云南寻甸产业园区金所片区金所组团内</w:t>
                  </w:r>
                  <w:r>
                    <w:rPr>
                      <w:rFonts w:hint="eastAsia"/>
                      <w:b w:val="0"/>
                      <w:color w:val="auto"/>
                    </w:rPr>
                    <w:t>，不属于禁燃区。</w:t>
                  </w:r>
                </w:p>
              </w:tc>
              <w:tc>
                <w:tcPr>
                  <w:tcW w:w="949" w:type="dxa"/>
                  <w:vAlign w:val="center"/>
                </w:tcPr>
                <w:p w14:paraId="4812CF55">
                  <w:pPr>
                    <w:pStyle w:val="72"/>
                    <w:rPr>
                      <w:b w:val="0"/>
                      <w:color w:val="auto"/>
                    </w:rPr>
                  </w:pPr>
                  <w:r>
                    <w:rPr>
                      <w:b w:val="0"/>
                      <w:color w:val="auto"/>
                    </w:rPr>
                    <w:t>符合</w:t>
                  </w:r>
                </w:p>
              </w:tc>
            </w:tr>
            <w:tr w14:paraId="3708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1EE5D8C7">
                  <w:pPr>
                    <w:pStyle w:val="72"/>
                    <w:rPr>
                      <w:b w:val="0"/>
                      <w:color w:val="auto"/>
                    </w:rPr>
                  </w:pPr>
                  <w:r>
                    <w:rPr>
                      <w:b w:val="0"/>
                      <w:color w:val="auto"/>
                    </w:rPr>
                    <w:t>燃煤电厂和其他燃煤单位应当采用清洁生产工艺，配套建设除尘、脱硫、脱硝等装置，或者采取技术改造等其他控制大气污染物排放的措施。国家鼓励燃煤单位采用先进的除尘、脱硫、脱硝、脱汞等大气污染物协同控制的技术和装置，减少大气污染物的排放。</w:t>
                  </w:r>
                </w:p>
              </w:tc>
              <w:tc>
                <w:tcPr>
                  <w:tcW w:w="3547" w:type="dxa"/>
                  <w:vMerge w:val="restart"/>
                  <w:vAlign w:val="center"/>
                </w:tcPr>
                <w:p w14:paraId="43098E36">
                  <w:pPr>
                    <w:jc w:val="center"/>
                  </w:pPr>
                  <w:r>
                    <w:rPr>
                      <w:bCs/>
                      <w:szCs w:val="21"/>
                    </w:rPr>
                    <w:t>本项目</w:t>
                  </w:r>
                  <w:r>
                    <w:rPr>
                      <w:rFonts w:hint="eastAsia"/>
                      <w:bCs/>
                      <w:szCs w:val="21"/>
                    </w:rPr>
                    <w:t>为一般工业固体废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Cs/>
                      <w:szCs w:val="21"/>
                    </w:rPr>
                    <w:t>废气均经过有效的治理措施处理后</w:t>
                  </w:r>
                  <w:r>
                    <w:rPr>
                      <w:rFonts w:hint="eastAsia"/>
                      <w:bCs/>
                      <w:szCs w:val="21"/>
                    </w:rPr>
                    <w:t>对周围环境影响不大。</w:t>
                  </w:r>
                </w:p>
              </w:tc>
              <w:tc>
                <w:tcPr>
                  <w:tcW w:w="949" w:type="dxa"/>
                  <w:vAlign w:val="center"/>
                </w:tcPr>
                <w:p w14:paraId="5C45A731">
                  <w:pPr>
                    <w:pStyle w:val="72"/>
                    <w:rPr>
                      <w:b w:val="0"/>
                      <w:color w:val="auto"/>
                    </w:rPr>
                  </w:pPr>
                  <w:r>
                    <w:rPr>
                      <w:rFonts w:hint="eastAsia"/>
                      <w:b w:val="0"/>
                      <w:color w:val="auto"/>
                    </w:rPr>
                    <w:t>符合</w:t>
                  </w:r>
                </w:p>
              </w:tc>
            </w:tr>
            <w:tr w14:paraId="35E4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533A0C77">
                  <w:pPr>
                    <w:pStyle w:val="72"/>
                    <w:rPr>
                      <w:b w:val="0"/>
                      <w:color w:val="auto"/>
                    </w:rPr>
                  </w:pPr>
                  <w:r>
                    <w:rPr>
                      <w:b w:val="0"/>
                      <w:color w:val="auto"/>
                    </w:rPr>
                    <w:t>钢铁、建材、有色金属、石油、化工等企业生产过程中排放粉尘、硫化物和氮氧化物的，应当采用清洁生产工艺，配套建设除尘、脱硫、脱硝等装置，或者采取技术改造等其他控制大气污染物排放的措施。</w:t>
                  </w:r>
                </w:p>
              </w:tc>
              <w:tc>
                <w:tcPr>
                  <w:tcW w:w="3547" w:type="dxa"/>
                  <w:vMerge w:val="continue"/>
                  <w:vAlign w:val="center"/>
                </w:tcPr>
                <w:p w14:paraId="0312A54A">
                  <w:pPr>
                    <w:widowControl/>
                    <w:jc w:val="center"/>
                  </w:pPr>
                </w:p>
              </w:tc>
              <w:tc>
                <w:tcPr>
                  <w:tcW w:w="949" w:type="dxa"/>
                  <w:vAlign w:val="center"/>
                </w:tcPr>
                <w:p w14:paraId="244C7098">
                  <w:pPr>
                    <w:pStyle w:val="72"/>
                    <w:rPr>
                      <w:b w:val="0"/>
                      <w:color w:val="auto"/>
                    </w:rPr>
                  </w:pPr>
                  <w:r>
                    <w:rPr>
                      <w:rFonts w:hint="eastAsia"/>
                      <w:b w:val="0"/>
                      <w:color w:val="auto"/>
                    </w:rPr>
                    <w:t>符合</w:t>
                  </w:r>
                </w:p>
              </w:tc>
            </w:tr>
            <w:tr w14:paraId="1298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4C2B22E4">
                  <w:pPr>
                    <w:pStyle w:val="72"/>
                    <w:rPr>
                      <w:b w:val="0"/>
                      <w:color w:val="auto"/>
                    </w:rPr>
                  </w:pPr>
                  <w:r>
                    <w:rPr>
                      <w:b w:val="0"/>
                      <w:color w:val="auto"/>
                    </w:rPr>
                    <w:t>运输煤炭、垃圾、渣土、砂石、土方、灰浆等散装、流体物料的车辆应当采取密闭或者其他措施防止物料遗撒造成扬尘污染，并按照规定路线行驶。装卸物料应当采取密闭或者喷淋等方式防治扬尘污染。</w:t>
                  </w:r>
                </w:p>
              </w:tc>
              <w:tc>
                <w:tcPr>
                  <w:tcW w:w="3547" w:type="dxa"/>
                  <w:vAlign w:val="center"/>
                </w:tcPr>
                <w:p w14:paraId="6676D0DE">
                  <w:pPr>
                    <w:pStyle w:val="72"/>
                    <w:rPr>
                      <w:b w:val="0"/>
                      <w:color w:val="auto"/>
                    </w:rPr>
                  </w:pPr>
                  <w:r>
                    <w:rPr>
                      <w:rFonts w:hint="eastAsia"/>
                      <w:b w:val="0"/>
                      <w:color w:val="auto"/>
                    </w:rPr>
                    <w:t>本项目原料运输进场时车辆加盖篷布，为密闭式，按</w:t>
                  </w:r>
                  <w:r>
                    <w:rPr>
                      <w:b w:val="0"/>
                      <w:color w:val="auto"/>
                    </w:rPr>
                    <w:t>照规定路线行驶</w:t>
                  </w:r>
                  <w:r>
                    <w:rPr>
                      <w:rFonts w:hint="eastAsia"/>
                      <w:b w:val="0"/>
                      <w:color w:val="auto"/>
                    </w:rPr>
                    <w:t>。卸料在密闭的车间内进行。</w:t>
                  </w:r>
                </w:p>
              </w:tc>
              <w:tc>
                <w:tcPr>
                  <w:tcW w:w="949" w:type="dxa"/>
                  <w:vAlign w:val="center"/>
                </w:tcPr>
                <w:p w14:paraId="5A298730">
                  <w:pPr>
                    <w:pStyle w:val="72"/>
                    <w:rPr>
                      <w:b w:val="0"/>
                      <w:color w:val="auto"/>
                    </w:rPr>
                  </w:pPr>
                  <w:r>
                    <w:rPr>
                      <w:rFonts w:hint="eastAsia"/>
                      <w:b w:val="0"/>
                      <w:color w:val="auto"/>
                    </w:rPr>
                    <w:t>符合</w:t>
                  </w:r>
                </w:p>
              </w:tc>
            </w:tr>
            <w:tr w14:paraId="5894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21A747F1">
                  <w:pPr>
                    <w:pStyle w:val="72"/>
                    <w:rPr>
                      <w:b w:val="0"/>
                      <w:color w:val="auto"/>
                    </w:rPr>
                  </w:pPr>
                  <w:r>
                    <w:rPr>
                      <w:b w:val="0"/>
                      <w:color w:val="auto"/>
                    </w:rPr>
                    <w:t>贮存煤炭、煤矸石、煤渣、煤灰、水泥、石灰、石膏、砂土等易产生扬尘的物料应当密闭</w:t>
                  </w:r>
                  <w:r>
                    <w:rPr>
                      <w:rFonts w:hint="eastAsia"/>
                      <w:b w:val="0"/>
                      <w:color w:val="auto"/>
                    </w:rPr>
                    <w:t>；</w:t>
                  </w:r>
                  <w:r>
                    <w:rPr>
                      <w:b w:val="0"/>
                      <w:color w:val="auto"/>
                    </w:rPr>
                    <w:t>不能密闭的，应当设置不低于堆放物高度的严密围挡，并采取有效覆盖措施防治扬尘污染。</w:t>
                  </w:r>
                </w:p>
              </w:tc>
              <w:tc>
                <w:tcPr>
                  <w:tcW w:w="3547" w:type="dxa"/>
                  <w:vAlign w:val="center"/>
                </w:tcPr>
                <w:p w14:paraId="6CEDF6B0">
                  <w:pPr>
                    <w:pStyle w:val="72"/>
                    <w:rPr>
                      <w:b w:val="0"/>
                      <w:color w:val="auto"/>
                    </w:rPr>
                  </w:pPr>
                  <w:r>
                    <w:rPr>
                      <w:rFonts w:hint="eastAsia"/>
                      <w:b w:val="0"/>
                      <w:color w:val="auto"/>
                    </w:rPr>
                    <w:t>本项目原料及成品堆场均为全密闭。</w:t>
                  </w:r>
                </w:p>
              </w:tc>
              <w:tc>
                <w:tcPr>
                  <w:tcW w:w="949" w:type="dxa"/>
                  <w:vAlign w:val="center"/>
                </w:tcPr>
                <w:p w14:paraId="52C257F9">
                  <w:pPr>
                    <w:pStyle w:val="72"/>
                    <w:rPr>
                      <w:b w:val="0"/>
                      <w:color w:val="auto"/>
                    </w:rPr>
                  </w:pPr>
                  <w:r>
                    <w:rPr>
                      <w:rFonts w:hint="eastAsia"/>
                      <w:b w:val="0"/>
                      <w:color w:val="auto"/>
                    </w:rPr>
                    <w:t>符合</w:t>
                  </w:r>
                </w:p>
              </w:tc>
            </w:tr>
          </w:tbl>
          <w:p w14:paraId="365ABA52">
            <w:pPr>
              <w:spacing w:line="360" w:lineRule="auto"/>
              <w:ind w:firstLine="496" w:firstLineChars="200"/>
              <w:rPr>
                <w:b/>
                <w:sz w:val="24"/>
              </w:rPr>
            </w:pPr>
            <w:r>
              <w:rPr>
                <w:bCs/>
                <w:spacing w:val="4"/>
                <w:kern w:val="24"/>
                <w:sz w:val="24"/>
                <w:lang w:bidi="ar"/>
              </w:rPr>
              <w:t>综上，</w:t>
            </w:r>
            <w:r>
              <w:rPr>
                <w:kern w:val="0"/>
                <w:sz w:val="24"/>
              </w:rPr>
              <w:t>项目符合</w:t>
            </w:r>
            <w:r>
              <w:rPr>
                <w:bCs/>
                <w:spacing w:val="4"/>
                <w:kern w:val="24"/>
                <w:sz w:val="24"/>
                <w:lang w:bidi="ar"/>
              </w:rPr>
              <w:t>《</w:t>
            </w:r>
            <w:r>
              <w:rPr>
                <w:rFonts w:hint="eastAsia"/>
                <w:bCs/>
                <w:spacing w:val="4"/>
                <w:kern w:val="24"/>
                <w:sz w:val="24"/>
                <w:lang w:bidi="ar"/>
              </w:rPr>
              <w:t>中华人民共和国大气污染防治法</w:t>
            </w:r>
            <w:r>
              <w:rPr>
                <w:bCs/>
                <w:spacing w:val="4"/>
                <w:kern w:val="24"/>
                <w:sz w:val="24"/>
                <w:lang w:bidi="ar"/>
              </w:rPr>
              <w:t>》</w:t>
            </w:r>
            <w:r>
              <w:rPr>
                <w:sz w:val="24"/>
              </w:rPr>
              <w:t>要求。</w:t>
            </w:r>
          </w:p>
          <w:p w14:paraId="0B2CBE2B">
            <w:pPr>
              <w:spacing w:line="360" w:lineRule="auto"/>
              <w:ind w:firstLine="482" w:firstLineChars="200"/>
              <w:rPr>
                <w:b/>
                <w:spacing w:val="4"/>
                <w:kern w:val="24"/>
                <w:sz w:val="24"/>
                <w:lang w:bidi="ar"/>
              </w:rPr>
            </w:pPr>
            <w:r>
              <w:rPr>
                <w:rFonts w:hint="eastAsia"/>
                <w:b/>
                <w:sz w:val="24"/>
              </w:rPr>
              <w:t>10、与</w:t>
            </w:r>
            <w:r>
              <w:rPr>
                <w:b/>
                <w:spacing w:val="4"/>
                <w:kern w:val="24"/>
                <w:sz w:val="24"/>
                <w:lang w:bidi="ar"/>
              </w:rPr>
              <w:t>《</w:t>
            </w:r>
            <w:r>
              <w:rPr>
                <w:rFonts w:hint="eastAsia"/>
                <w:b/>
                <w:spacing w:val="4"/>
                <w:kern w:val="24"/>
                <w:sz w:val="24"/>
                <w:lang w:bidi="ar"/>
              </w:rPr>
              <w:t>固体废物综合治理行动计划</w:t>
            </w:r>
            <w:r>
              <w:rPr>
                <w:b/>
                <w:spacing w:val="4"/>
                <w:kern w:val="24"/>
                <w:sz w:val="24"/>
                <w:lang w:bidi="ar"/>
              </w:rPr>
              <w:t>》相符性分析</w:t>
            </w:r>
          </w:p>
          <w:p w14:paraId="525B21AB">
            <w:pPr>
              <w:pStyle w:val="56"/>
            </w:pPr>
            <w:r>
              <w:t>表1-</w:t>
            </w:r>
            <w:r>
              <w:rPr>
                <w:rFonts w:hint="eastAsia"/>
              </w:rPr>
              <w:t xml:space="preserve">12 </w:t>
            </w:r>
            <w:r>
              <w:t>与《</w:t>
            </w:r>
            <w:r>
              <w:rPr>
                <w:rFonts w:hint="eastAsia"/>
              </w:rPr>
              <w:t>固体废物综合治理行动计划</w:t>
            </w:r>
            <w:r>
              <w:t>》符合性分析</w:t>
            </w:r>
          </w:p>
          <w:tbl>
            <w:tblPr>
              <w:tblStyle w:val="23"/>
              <w:tblpPr w:leftFromText="180" w:rightFromText="180" w:vertAnchor="text" w:horzAnchor="page" w:tblpX="213" w:tblpY="258"/>
              <w:tblOverlap w:val="never"/>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006B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387" w:type="dxa"/>
                  <w:vAlign w:val="center"/>
                </w:tcPr>
                <w:p w14:paraId="3D965F4D">
                  <w:pPr>
                    <w:pStyle w:val="72"/>
                    <w:rPr>
                      <w:b w:val="0"/>
                      <w:color w:val="auto"/>
                    </w:rPr>
                  </w:pPr>
                  <w:r>
                    <w:rPr>
                      <w:b w:val="0"/>
                      <w:color w:val="auto"/>
                    </w:rPr>
                    <w:t>相关要求</w:t>
                  </w:r>
                </w:p>
              </w:tc>
              <w:tc>
                <w:tcPr>
                  <w:tcW w:w="3547" w:type="dxa"/>
                  <w:vAlign w:val="center"/>
                </w:tcPr>
                <w:p w14:paraId="216075E0">
                  <w:pPr>
                    <w:pStyle w:val="72"/>
                    <w:rPr>
                      <w:b w:val="0"/>
                      <w:color w:val="auto"/>
                    </w:rPr>
                  </w:pPr>
                  <w:r>
                    <w:rPr>
                      <w:b w:val="0"/>
                      <w:color w:val="auto"/>
                    </w:rPr>
                    <w:t>项目情况</w:t>
                  </w:r>
                </w:p>
              </w:tc>
              <w:tc>
                <w:tcPr>
                  <w:tcW w:w="949" w:type="dxa"/>
                  <w:vAlign w:val="center"/>
                </w:tcPr>
                <w:p w14:paraId="532F8258">
                  <w:pPr>
                    <w:pStyle w:val="72"/>
                    <w:rPr>
                      <w:b w:val="0"/>
                      <w:color w:val="auto"/>
                    </w:rPr>
                  </w:pPr>
                  <w:r>
                    <w:rPr>
                      <w:b w:val="0"/>
                      <w:color w:val="auto"/>
                    </w:rPr>
                    <w:t>符合性</w:t>
                  </w:r>
                </w:p>
              </w:tc>
            </w:tr>
            <w:tr w14:paraId="1599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5E4F945A">
                  <w:pPr>
                    <w:pStyle w:val="72"/>
                    <w:rPr>
                      <w:b w:val="0"/>
                      <w:color w:val="auto"/>
                    </w:rPr>
                  </w:pPr>
                  <w:r>
                    <w:rPr>
                      <w:rFonts w:hint="eastAsia"/>
                      <w:b w:val="0"/>
                      <w:color w:val="auto"/>
                    </w:rPr>
                    <w:t>加强大宗固体废弃物综合利用。提升冶炼渣、尾矿、共伴生矿、赤泥、建筑垃圾综合利用能力，加强有价组分高效提取及整体利用，因地制宜推动煤矸石多元化利用。拓宽秸秆综合利用途径，提高秸秆还田科学化、规范化水平。推进畜禽养殖废弃物资源化利用。</w:t>
                  </w:r>
                </w:p>
              </w:tc>
              <w:tc>
                <w:tcPr>
                  <w:tcW w:w="3547" w:type="dxa"/>
                  <w:vAlign w:val="center"/>
                </w:tcPr>
                <w:p w14:paraId="3E6F0C00">
                  <w:pPr>
                    <w:pStyle w:val="72"/>
                    <w:jc w:val="both"/>
                    <w:rPr>
                      <w:b w:val="0"/>
                      <w:color w:val="auto"/>
                    </w:rPr>
                  </w:pPr>
                  <w:r>
                    <w:rPr>
                      <w:b w:val="0"/>
                      <w:bCs/>
                      <w:color w:val="auto"/>
                    </w:rPr>
                    <w:t>本项目</w:t>
                  </w:r>
                  <w:r>
                    <w:rPr>
                      <w:rFonts w:hint="eastAsia"/>
                      <w:b w:val="0"/>
                      <w:bCs/>
                      <w:color w:val="auto"/>
                    </w:rPr>
                    <w:t>为固体废弃物综合利用项目，项目采用中化云龙有限公司磷矿石浮选生产中产生的尾矿和煤炭开采过程中产生的低变质褐煤为原料生产有机肥，能有效的利用固废中的腐殖酸、有机质和微量元素等，使之变废为宝，提高固废的综合利用。</w:t>
                  </w:r>
                </w:p>
              </w:tc>
              <w:tc>
                <w:tcPr>
                  <w:tcW w:w="949" w:type="dxa"/>
                  <w:vAlign w:val="center"/>
                </w:tcPr>
                <w:p w14:paraId="24AC159F">
                  <w:pPr>
                    <w:pStyle w:val="72"/>
                    <w:rPr>
                      <w:b w:val="0"/>
                      <w:color w:val="auto"/>
                    </w:rPr>
                  </w:pPr>
                  <w:r>
                    <w:rPr>
                      <w:b w:val="0"/>
                      <w:color w:val="auto"/>
                    </w:rPr>
                    <w:t>符合</w:t>
                  </w:r>
                </w:p>
              </w:tc>
            </w:tr>
            <w:tr w14:paraId="75A6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1BCF760D">
                  <w:pPr>
                    <w:pStyle w:val="72"/>
                    <w:rPr>
                      <w:b w:val="0"/>
                      <w:color w:val="auto"/>
                    </w:rPr>
                  </w:pPr>
                  <w:r>
                    <w:rPr>
                      <w:rFonts w:hint="eastAsia"/>
                      <w:b w:val="0"/>
                      <w:color w:val="auto"/>
                    </w:rPr>
                    <w:t>稳妥有序探索规模化消纳利用渠道。在符合环境质量标准、污染风险管控要求和安全生产要求前提下，探索通过井下充填、矿坑回填、生态修复等方式规模化消纳利用大宗工业固体废物。</w:t>
                  </w:r>
                </w:p>
              </w:tc>
              <w:tc>
                <w:tcPr>
                  <w:tcW w:w="3547" w:type="dxa"/>
                  <w:vAlign w:val="center"/>
                </w:tcPr>
                <w:p w14:paraId="112EDC45">
                  <w:pPr>
                    <w:pStyle w:val="72"/>
                    <w:rPr>
                      <w:b w:val="0"/>
                      <w:color w:val="auto"/>
                    </w:rPr>
                  </w:pPr>
                  <w:r>
                    <w:rPr>
                      <w:rFonts w:hint="eastAsia"/>
                      <w:b w:val="0"/>
                      <w:color w:val="auto"/>
                    </w:rPr>
                    <w:t>本项目原料为低变质褐煤、尾矿、锯木屑和尿素等，无化学品等安全隐患较大的原料使用，生产过程中采取各</w:t>
                  </w:r>
                  <w:r>
                    <w:rPr>
                      <w:rFonts w:hint="eastAsia"/>
                      <w:b w:val="0"/>
                      <w:color w:val="auto"/>
                      <w:lang w:eastAsia="zh-CN"/>
                    </w:rPr>
                    <w:t>种</w:t>
                  </w:r>
                  <w:r>
                    <w:rPr>
                      <w:rFonts w:hint="eastAsia"/>
                      <w:b w:val="0"/>
                      <w:color w:val="auto"/>
                    </w:rPr>
                    <w:t>污染防控措施后，污染物产排量较小，污染物均达标排放，对区域环境质量影响较小，可以满足环境质量标准、污染风险管控要求和安全生产要求。</w:t>
                  </w:r>
                </w:p>
              </w:tc>
              <w:tc>
                <w:tcPr>
                  <w:tcW w:w="949" w:type="dxa"/>
                  <w:vAlign w:val="center"/>
                </w:tcPr>
                <w:p w14:paraId="6795CC85">
                  <w:pPr>
                    <w:pStyle w:val="72"/>
                    <w:rPr>
                      <w:b w:val="0"/>
                      <w:color w:val="auto"/>
                    </w:rPr>
                  </w:pPr>
                  <w:r>
                    <w:rPr>
                      <w:b w:val="0"/>
                      <w:color w:val="auto"/>
                    </w:rPr>
                    <w:t>符合</w:t>
                  </w:r>
                </w:p>
              </w:tc>
            </w:tr>
          </w:tbl>
          <w:p w14:paraId="59FF7A38">
            <w:pPr>
              <w:spacing w:line="360" w:lineRule="auto"/>
              <w:ind w:firstLine="496" w:firstLineChars="200"/>
              <w:rPr>
                <w:b/>
                <w:sz w:val="24"/>
              </w:rPr>
            </w:pPr>
            <w:r>
              <w:rPr>
                <w:bCs/>
                <w:spacing w:val="4"/>
                <w:kern w:val="24"/>
                <w:sz w:val="24"/>
                <w:lang w:bidi="ar"/>
              </w:rPr>
              <w:t>综上，</w:t>
            </w:r>
            <w:r>
              <w:rPr>
                <w:kern w:val="0"/>
                <w:sz w:val="24"/>
              </w:rPr>
              <w:t>项目符合</w:t>
            </w:r>
            <w:r>
              <w:rPr>
                <w:bCs/>
                <w:spacing w:val="4"/>
                <w:kern w:val="24"/>
                <w:sz w:val="24"/>
                <w:lang w:bidi="ar"/>
              </w:rPr>
              <w:t>《</w:t>
            </w:r>
            <w:r>
              <w:rPr>
                <w:rFonts w:hint="eastAsia"/>
                <w:bCs/>
                <w:spacing w:val="4"/>
                <w:kern w:val="24"/>
                <w:sz w:val="24"/>
                <w:lang w:bidi="ar"/>
              </w:rPr>
              <w:t>固体废物综合治理行动计划</w:t>
            </w:r>
            <w:r>
              <w:rPr>
                <w:bCs/>
                <w:spacing w:val="4"/>
                <w:kern w:val="24"/>
                <w:sz w:val="24"/>
                <w:lang w:bidi="ar"/>
              </w:rPr>
              <w:t>》</w:t>
            </w:r>
            <w:r>
              <w:rPr>
                <w:sz w:val="24"/>
              </w:rPr>
              <w:t>要求。</w:t>
            </w:r>
          </w:p>
          <w:p w14:paraId="71DBB400">
            <w:pPr>
              <w:spacing w:line="360" w:lineRule="auto"/>
              <w:ind w:firstLine="482" w:firstLineChars="200"/>
              <w:rPr>
                <w:b/>
                <w:spacing w:val="4"/>
                <w:kern w:val="24"/>
                <w:sz w:val="24"/>
                <w:lang w:bidi="ar"/>
              </w:rPr>
            </w:pPr>
            <w:r>
              <w:rPr>
                <w:rFonts w:hint="eastAsia"/>
                <w:b/>
                <w:sz w:val="24"/>
              </w:rPr>
              <w:t>11、与</w:t>
            </w:r>
            <w:r>
              <w:rPr>
                <w:b/>
                <w:spacing w:val="4"/>
                <w:kern w:val="24"/>
                <w:sz w:val="24"/>
                <w:lang w:bidi="ar"/>
              </w:rPr>
              <w:t>《</w:t>
            </w:r>
            <w:r>
              <w:rPr>
                <w:rFonts w:hint="eastAsia"/>
                <w:b/>
                <w:spacing w:val="4"/>
                <w:kern w:val="24"/>
                <w:sz w:val="24"/>
                <w:lang w:bidi="ar"/>
              </w:rPr>
              <w:t>空气质量持续改善行动计划</w:t>
            </w:r>
            <w:r>
              <w:rPr>
                <w:b/>
                <w:spacing w:val="4"/>
                <w:kern w:val="24"/>
                <w:sz w:val="24"/>
                <w:lang w:bidi="ar"/>
              </w:rPr>
              <w:t>》相符性分析</w:t>
            </w:r>
          </w:p>
          <w:p w14:paraId="08F8F3A1">
            <w:pPr>
              <w:pStyle w:val="56"/>
            </w:pPr>
            <w:r>
              <w:t>表1-</w:t>
            </w:r>
            <w:r>
              <w:rPr>
                <w:rFonts w:hint="eastAsia"/>
              </w:rPr>
              <w:t xml:space="preserve">12 </w:t>
            </w:r>
            <w:r>
              <w:t>与《</w:t>
            </w:r>
            <w:r>
              <w:rPr>
                <w:rFonts w:hint="eastAsia"/>
              </w:rPr>
              <w:t>空气质量持续改善行动计划</w:t>
            </w:r>
            <w:r>
              <w:t>》符合性分析</w:t>
            </w:r>
          </w:p>
          <w:tbl>
            <w:tblPr>
              <w:tblStyle w:val="23"/>
              <w:tblpPr w:leftFromText="180" w:rightFromText="180" w:vertAnchor="text" w:horzAnchor="page" w:tblpX="213" w:tblpY="258"/>
              <w:tblOverlap w:val="never"/>
              <w:tblW w:w="80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6"/>
              <w:gridCol w:w="3333"/>
              <w:gridCol w:w="917"/>
            </w:tblGrid>
            <w:tr w14:paraId="117B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836" w:type="dxa"/>
                  <w:vAlign w:val="center"/>
                </w:tcPr>
                <w:p w14:paraId="4E8674DC">
                  <w:pPr>
                    <w:pStyle w:val="72"/>
                    <w:rPr>
                      <w:b w:val="0"/>
                      <w:color w:val="auto"/>
                    </w:rPr>
                  </w:pPr>
                  <w:r>
                    <w:rPr>
                      <w:b w:val="0"/>
                      <w:color w:val="auto"/>
                    </w:rPr>
                    <w:t>相关要求</w:t>
                  </w:r>
                </w:p>
              </w:tc>
              <w:tc>
                <w:tcPr>
                  <w:tcW w:w="3333" w:type="dxa"/>
                  <w:vAlign w:val="center"/>
                </w:tcPr>
                <w:p w14:paraId="70D7C920">
                  <w:pPr>
                    <w:pStyle w:val="72"/>
                    <w:rPr>
                      <w:b w:val="0"/>
                      <w:color w:val="auto"/>
                    </w:rPr>
                  </w:pPr>
                  <w:r>
                    <w:rPr>
                      <w:b w:val="0"/>
                      <w:color w:val="auto"/>
                    </w:rPr>
                    <w:t>项目情况</w:t>
                  </w:r>
                </w:p>
              </w:tc>
              <w:tc>
                <w:tcPr>
                  <w:tcW w:w="917" w:type="dxa"/>
                  <w:vAlign w:val="center"/>
                </w:tcPr>
                <w:p w14:paraId="6E1ECF05">
                  <w:pPr>
                    <w:pStyle w:val="72"/>
                    <w:rPr>
                      <w:b w:val="0"/>
                      <w:color w:val="auto"/>
                    </w:rPr>
                  </w:pPr>
                  <w:r>
                    <w:rPr>
                      <w:b w:val="0"/>
                      <w:color w:val="auto"/>
                    </w:rPr>
                    <w:t>符合性</w:t>
                  </w:r>
                </w:p>
              </w:tc>
            </w:tr>
            <w:tr w14:paraId="5582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67691A43">
                  <w:pPr>
                    <w:pStyle w:val="72"/>
                    <w:rPr>
                      <w:b w:val="0"/>
                      <w:color w:val="auto"/>
                    </w:rPr>
                  </w:pPr>
                  <w:r>
                    <w:rPr>
                      <w:rFonts w:hint="eastAsia"/>
                      <w:b w:val="0"/>
                      <w:color w:val="auto"/>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w:t>
                  </w:r>
                </w:p>
                <w:p w14:paraId="1AEB7D71">
                  <w:pPr>
                    <w:pStyle w:val="72"/>
                    <w:rPr>
                      <w:b w:val="0"/>
                      <w:color w:val="auto"/>
                    </w:rPr>
                  </w:pPr>
                  <w:r>
                    <w:rPr>
                      <w:rFonts w:hint="eastAsia"/>
                      <w:b w:val="0"/>
                      <w:color w:val="auto"/>
                    </w:rPr>
                    <w:t>涉及产能置换的项目，被置换产能及其配套设施关停后，新建项目方可投产。严禁新增钢铁产能。推行钢铁、焦化、烧结一体化布局，大幅减少独立焦化、烧结、球团和热轧企业及工序，淘汰落后煤炭洗选产能；有序引导高炉—转炉长流程炼钢转型为电炉短流程炼钢。</w:t>
                  </w:r>
                </w:p>
              </w:tc>
              <w:tc>
                <w:tcPr>
                  <w:tcW w:w="3333" w:type="dxa"/>
                  <w:vAlign w:val="center"/>
                </w:tcPr>
                <w:p w14:paraId="45CDBE25">
                  <w:pPr>
                    <w:pStyle w:val="72"/>
                    <w:jc w:val="both"/>
                    <w:rPr>
                      <w:b w:val="0"/>
                      <w:bCs/>
                      <w:color w:val="auto"/>
                    </w:rPr>
                  </w:pPr>
                  <w:r>
                    <w:rPr>
                      <w:b w:val="0"/>
                      <w:bCs/>
                      <w:color w:val="auto"/>
                    </w:rPr>
                    <w:t>本项目</w:t>
                  </w:r>
                  <w:r>
                    <w:rPr>
                      <w:rFonts w:hint="eastAsia"/>
                      <w:b w:val="0"/>
                      <w:bCs/>
                      <w:color w:val="auto"/>
                    </w:rPr>
                    <w:t>为固体废弃物综合利用项目，项目采用中化云龙有限公司磷矿石浮选生产中产生的尾矿和煤炭开采过程中产生的低变质褐煤为原料生产有机肥，能有效的利用固废中的腐殖酸、有机质和微量元素等，使之变废为宝，提高固废的综合利用。</w:t>
                  </w:r>
                  <w:r>
                    <w:rPr>
                      <w:rFonts w:hint="eastAsia"/>
                      <w:b w:val="0"/>
                      <w:color w:val="auto"/>
                    </w:rPr>
                    <w:t>生产过程中采取各</w:t>
                  </w:r>
                  <w:r>
                    <w:rPr>
                      <w:rFonts w:hint="eastAsia"/>
                      <w:b w:val="0"/>
                      <w:color w:val="auto"/>
                      <w:lang w:eastAsia="zh-CN"/>
                    </w:rPr>
                    <w:t>项</w:t>
                  </w:r>
                  <w:r>
                    <w:rPr>
                      <w:rFonts w:hint="eastAsia"/>
                      <w:b w:val="0"/>
                      <w:color w:val="auto"/>
                    </w:rPr>
                    <w:t>污染防控措施后，污染物产排量较小，污染物均达标排放，对区域环境质量影响较小。</w:t>
                  </w:r>
                  <w:r>
                    <w:rPr>
                      <w:rFonts w:hint="eastAsia"/>
                      <w:b w:val="0"/>
                      <w:bCs/>
                      <w:color w:val="auto"/>
                    </w:rPr>
                    <w:t>排放污染物不涉及重点污染物；不使用锅炉，不使用高污染燃料不属于高耗能、高排放、低</w:t>
                  </w:r>
                </w:p>
                <w:p w14:paraId="080F2AD7">
                  <w:pPr>
                    <w:pStyle w:val="72"/>
                    <w:jc w:val="both"/>
                    <w:rPr>
                      <w:b w:val="0"/>
                      <w:color w:val="auto"/>
                    </w:rPr>
                  </w:pPr>
                  <w:r>
                    <w:rPr>
                      <w:rFonts w:hint="eastAsia"/>
                      <w:b w:val="0"/>
                      <w:bCs/>
                      <w:color w:val="auto"/>
                    </w:rPr>
                    <w:t>水平。</w:t>
                  </w:r>
                </w:p>
              </w:tc>
              <w:tc>
                <w:tcPr>
                  <w:tcW w:w="917" w:type="dxa"/>
                  <w:vAlign w:val="center"/>
                </w:tcPr>
                <w:p w14:paraId="5B51F9C7">
                  <w:pPr>
                    <w:pStyle w:val="72"/>
                    <w:rPr>
                      <w:b w:val="0"/>
                      <w:color w:val="auto"/>
                    </w:rPr>
                  </w:pPr>
                  <w:r>
                    <w:rPr>
                      <w:b w:val="0"/>
                      <w:color w:val="auto"/>
                    </w:rPr>
                    <w:t>符合</w:t>
                  </w:r>
                </w:p>
              </w:tc>
            </w:tr>
            <w:tr w14:paraId="3D9D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63B4690E">
                  <w:pPr>
                    <w:pStyle w:val="72"/>
                    <w:rPr>
                      <w:b w:val="0"/>
                      <w:color w:val="auto"/>
                    </w:rPr>
                  </w:pPr>
                  <w:r>
                    <w:rPr>
                      <w:rFonts w:hint="eastAsia"/>
                      <w:b w:val="0"/>
                      <w:color w:val="auto"/>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3333" w:type="dxa"/>
                  <w:vAlign w:val="center"/>
                </w:tcPr>
                <w:p w14:paraId="7CCC0064">
                  <w:pPr>
                    <w:pStyle w:val="72"/>
                    <w:rPr>
                      <w:b w:val="0"/>
                      <w:color w:val="auto"/>
                    </w:rPr>
                  </w:pPr>
                  <w:r>
                    <w:rPr>
                      <w:rFonts w:hint="eastAsia"/>
                      <w:b w:val="0"/>
                      <w:color w:val="auto"/>
                    </w:rPr>
                    <w:t>对照《产业结构调整指导目录（2024 年本)》，本项目属于鼓励类。</w:t>
                  </w:r>
                </w:p>
              </w:tc>
              <w:tc>
                <w:tcPr>
                  <w:tcW w:w="917" w:type="dxa"/>
                  <w:vAlign w:val="center"/>
                </w:tcPr>
                <w:p w14:paraId="2B8BDA69">
                  <w:pPr>
                    <w:pStyle w:val="72"/>
                    <w:rPr>
                      <w:b w:val="0"/>
                      <w:color w:val="auto"/>
                    </w:rPr>
                  </w:pPr>
                  <w:r>
                    <w:rPr>
                      <w:b w:val="0"/>
                      <w:color w:val="auto"/>
                    </w:rPr>
                    <w:t>符合</w:t>
                  </w:r>
                </w:p>
              </w:tc>
            </w:tr>
            <w:tr w14:paraId="5235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3AD6A0AD">
                  <w:pPr>
                    <w:pStyle w:val="72"/>
                    <w:rPr>
                      <w:b w:val="0"/>
                      <w:color w:val="auto"/>
                    </w:rPr>
                  </w:pPr>
                  <w:r>
                    <w:rPr>
                      <w:rFonts w:hint="eastAsia"/>
                      <w:b w:val="0"/>
                      <w:color w:val="auto"/>
                    </w:rPr>
                    <w:t>深化扬尘污染综合治理。鼓励经济发达地区 5000平方米及以上建筑工地安装视频监控并接入当地监管平台；重点区域道路、水务等长距离线性工程实行分段施工。将防治扬尘污染费用纳入工程造价。到 2025 年，装配式建筑占新建建筑面积比例达 30%；地级及以上城市</w:t>
                  </w:r>
                </w:p>
                <w:p w14:paraId="362AB206">
                  <w:pPr>
                    <w:pStyle w:val="72"/>
                    <w:rPr>
                      <w:b w:val="0"/>
                      <w:color w:val="auto"/>
                    </w:rPr>
                  </w:pPr>
                  <w:r>
                    <w:rPr>
                      <w:rFonts w:hint="eastAsia"/>
                      <w:b w:val="0"/>
                      <w:color w:val="auto"/>
                    </w:rPr>
                    <w:t>建成区道路机械化清扫率达 80%左右，县城达 70%左右。对城市公共裸地进行排查建档并采取防尘措施。城市大型煤炭、矿石等干散货码头物料堆场基本完成抑尘设施建设和物料输送系统封闭改造。</w:t>
                  </w:r>
                </w:p>
              </w:tc>
              <w:tc>
                <w:tcPr>
                  <w:tcW w:w="3333" w:type="dxa"/>
                  <w:vAlign w:val="center"/>
                </w:tcPr>
                <w:p w14:paraId="523886A4">
                  <w:pPr>
                    <w:pStyle w:val="72"/>
                    <w:rPr>
                      <w:b w:val="0"/>
                      <w:color w:val="auto"/>
                    </w:rPr>
                  </w:pPr>
                  <w:r>
                    <w:rPr>
                      <w:rFonts w:hint="eastAsia"/>
                      <w:b w:val="0"/>
                      <w:color w:val="auto"/>
                    </w:rPr>
                    <w:t>本项目生产过程中在密闭的生产厂房内进行，生产过程中严格控制原料的含水率，并在厂房内设置移动式雾炮机进行喷雾降尘。</w:t>
                  </w:r>
                </w:p>
              </w:tc>
              <w:tc>
                <w:tcPr>
                  <w:tcW w:w="917" w:type="dxa"/>
                  <w:vAlign w:val="center"/>
                </w:tcPr>
                <w:p w14:paraId="34F293BA">
                  <w:pPr>
                    <w:pStyle w:val="72"/>
                    <w:rPr>
                      <w:b w:val="0"/>
                      <w:color w:val="auto"/>
                    </w:rPr>
                  </w:pPr>
                </w:p>
              </w:tc>
            </w:tr>
            <w:tr w14:paraId="5D94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138F0D27">
                  <w:pPr>
                    <w:pStyle w:val="72"/>
                    <w:rPr>
                      <w:b w:val="0"/>
                      <w:color w:val="auto"/>
                    </w:rPr>
                  </w:pPr>
                  <w:r>
                    <w:rPr>
                      <w:rFonts w:hint="eastAsia"/>
                      <w:b w:val="0"/>
                      <w:color w:val="auto"/>
                    </w:rPr>
                    <w:t>开展餐饮油烟、恶臭异味专项治理。严格居民楼附近餐饮服务单位布局管理。拟开设餐饮服务单位的建筑应设计建设专用烟道。推动有条件的地区实施治理</w:t>
                  </w:r>
                </w:p>
                <w:p w14:paraId="00680967">
                  <w:pPr>
                    <w:pStyle w:val="72"/>
                    <w:rPr>
                      <w:b w:val="0"/>
                      <w:color w:val="auto"/>
                    </w:rPr>
                  </w:pPr>
                  <w:r>
                    <w:rPr>
                      <w:rFonts w:hint="eastAsia"/>
                      <w:b w:val="0"/>
                      <w:color w:val="auto"/>
                    </w:rPr>
                    <w:t>设施第三方运维管理及在线监控。对群众反映强烈的恶臭异味扰民问题加强排查整治，投诉集中的工业园区、重点企业要安装运行在线监测系统。各地要加强部门联动，因地制宜解决人民群众反映集中的油烟及恶臭异味扰民问题。</w:t>
                  </w:r>
                </w:p>
              </w:tc>
              <w:tc>
                <w:tcPr>
                  <w:tcW w:w="3333" w:type="dxa"/>
                  <w:vAlign w:val="center"/>
                </w:tcPr>
                <w:p w14:paraId="119455EC">
                  <w:pPr>
                    <w:pStyle w:val="72"/>
                    <w:rPr>
                      <w:b w:val="0"/>
                      <w:color w:val="auto"/>
                    </w:rPr>
                  </w:pPr>
                  <w:r>
                    <w:rPr>
                      <w:rFonts w:hint="eastAsia"/>
                      <w:b w:val="0"/>
                      <w:color w:val="auto"/>
                    </w:rPr>
                    <w:t>本项目员工不在项目区食宿，不设置食堂，无油烟产生。</w:t>
                  </w:r>
                </w:p>
              </w:tc>
              <w:tc>
                <w:tcPr>
                  <w:tcW w:w="917" w:type="dxa"/>
                  <w:vAlign w:val="center"/>
                </w:tcPr>
                <w:p w14:paraId="13377DC1">
                  <w:pPr>
                    <w:pStyle w:val="72"/>
                    <w:rPr>
                      <w:b w:val="0"/>
                      <w:color w:val="auto"/>
                    </w:rPr>
                  </w:pPr>
                </w:p>
              </w:tc>
            </w:tr>
          </w:tbl>
          <w:p w14:paraId="17453B81">
            <w:pPr>
              <w:ind w:firstLine="496" w:firstLineChars="200"/>
              <w:rPr>
                <w:b/>
                <w:sz w:val="24"/>
              </w:rPr>
            </w:pPr>
            <w:r>
              <w:rPr>
                <w:bCs/>
                <w:spacing w:val="4"/>
                <w:kern w:val="24"/>
                <w:sz w:val="24"/>
                <w:lang w:bidi="ar"/>
              </w:rPr>
              <w:t>综上，</w:t>
            </w:r>
            <w:r>
              <w:rPr>
                <w:kern w:val="0"/>
                <w:sz w:val="24"/>
              </w:rPr>
              <w:t>项目符合</w:t>
            </w:r>
            <w:r>
              <w:rPr>
                <w:bCs/>
                <w:spacing w:val="4"/>
                <w:kern w:val="24"/>
                <w:sz w:val="24"/>
                <w:lang w:bidi="ar"/>
              </w:rPr>
              <w:t>《</w:t>
            </w:r>
            <w:r>
              <w:rPr>
                <w:rFonts w:hint="eastAsia"/>
                <w:bCs/>
                <w:spacing w:val="4"/>
                <w:kern w:val="24"/>
                <w:sz w:val="24"/>
                <w:lang w:bidi="ar"/>
              </w:rPr>
              <w:t>空气质量持续改善行动计划</w:t>
            </w:r>
            <w:r>
              <w:rPr>
                <w:bCs/>
                <w:spacing w:val="4"/>
                <w:kern w:val="24"/>
                <w:sz w:val="24"/>
                <w:lang w:bidi="ar"/>
              </w:rPr>
              <w:t>》</w:t>
            </w:r>
            <w:r>
              <w:rPr>
                <w:sz w:val="24"/>
              </w:rPr>
              <w:t>要求。</w:t>
            </w:r>
          </w:p>
          <w:p w14:paraId="0B9CB6CB">
            <w:pPr>
              <w:spacing w:line="360" w:lineRule="auto"/>
              <w:ind w:firstLine="482" w:firstLineChars="200"/>
              <w:rPr>
                <w:b/>
                <w:sz w:val="24"/>
              </w:rPr>
            </w:pPr>
            <w:r>
              <w:rPr>
                <w:rFonts w:hint="eastAsia"/>
                <w:b/>
                <w:sz w:val="24"/>
              </w:rPr>
              <w:t>12、</w:t>
            </w:r>
            <w:r>
              <w:rPr>
                <w:b/>
                <w:sz w:val="24"/>
              </w:rPr>
              <w:t>选址合理性分析</w:t>
            </w:r>
          </w:p>
          <w:p w14:paraId="298DF2CC">
            <w:pPr>
              <w:spacing w:line="360" w:lineRule="auto"/>
              <w:ind w:firstLine="480" w:firstLineChars="200"/>
              <w:rPr>
                <w:kern w:val="0"/>
                <w:sz w:val="24"/>
                <w:lang w:bidi="ar"/>
              </w:rPr>
            </w:pPr>
            <w:r>
              <w:rPr>
                <w:kern w:val="0"/>
                <w:sz w:val="24"/>
                <w:lang w:bidi="ar"/>
              </w:rPr>
              <w:t>本项目为</w:t>
            </w:r>
            <w:r>
              <w:rPr>
                <w:rFonts w:hint="eastAsia"/>
                <w:sz w:val="24"/>
              </w:rPr>
              <w:t>一般工业固体废物综合利用项目</w:t>
            </w:r>
            <w:r>
              <w:rPr>
                <w:kern w:val="0"/>
                <w:sz w:val="24"/>
                <w:lang w:bidi="ar"/>
              </w:rPr>
              <w:t>，位于</w:t>
            </w:r>
            <w:r>
              <w:rPr>
                <w:sz w:val="24"/>
              </w:rPr>
              <w:t>云南寻甸产业园区金所片区金所组团内</w:t>
            </w:r>
            <w:r>
              <w:rPr>
                <w:kern w:val="0"/>
                <w:sz w:val="24"/>
                <w:lang w:bidi="ar"/>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14:paraId="02A64930">
            <w:pPr>
              <w:spacing w:line="360" w:lineRule="auto"/>
              <w:ind w:firstLine="480" w:firstLineChars="200"/>
              <w:rPr>
                <w:sz w:val="24"/>
              </w:rPr>
            </w:pPr>
            <w:r>
              <w:rPr>
                <w:sz w:val="24"/>
              </w:rPr>
              <w:t>综上，项目建设场地条件、交通运输、环境保护和水、电、通信等条件好，无重大的环境制约因素，项目选址合理。</w:t>
            </w:r>
          </w:p>
          <w:p w14:paraId="3F075533">
            <w:pPr>
              <w:spacing w:line="360" w:lineRule="auto"/>
              <w:ind w:firstLine="482" w:firstLineChars="200"/>
              <w:rPr>
                <w:b/>
                <w:sz w:val="24"/>
              </w:rPr>
            </w:pPr>
            <w:r>
              <w:rPr>
                <w:rFonts w:hint="eastAsia"/>
                <w:b/>
                <w:sz w:val="24"/>
              </w:rPr>
              <w:t>13</w:t>
            </w:r>
            <w:r>
              <w:rPr>
                <w:b/>
                <w:sz w:val="24"/>
              </w:rPr>
              <w:t>、环境相容性分析</w:t>
            </w:r>
          </w:p>
          <w:p w14:paraId="794C518D">
            <w:pPr>
              <w:spacing w:line="360" w:lineRule="auto"/>
              <w:ind w:firstLine="480" w:firstLineChars="200"/>
              <w:rPr>
                <w:sz w:val="24"/>
              </w:rPr>
            </w:pPr>
            <w:r>
              <w:rPr>
                <w:sz w:val="24"/>
              </w:rPr>
              <w:t>本项目位于云南省昆明市寻甸县特色产业园区金所片区，项目500m范围内保护目标主要为竹沟村零散居民户。根据分析，项目主要废气污染物为颗粒物</w:t>
            </w:r>
            <w:r>
              <w:rPr>
                <w:rFonts w:hint="eastAsia"/>
                <w:sz w:val="24"/>
              </w:rPr>
              <w:t>、异味</w:t>
            </w:r>
            <w:r>
              <w:rPr>
                <w:sz w:val="24"/>
              </w:rPr>
              <w:t>，经采取措施治理后</w:t>
            </w:r>
            <w:r>
              <w:rPr>
                <w:rFonts w:hint="eastAsia"/>
                <w:sz w:val="24"/>
              </w:rPr>
              <w:t>，</w:t>
            </w:r>
            <w:r>
              <w:rPr>
                <w:sz w:val="24"/>
              </w:rPr>
              <w:t>经稀释扩散后对周围环境及环境空气保护目标影响较小。项目运营期噪声采取措施治理后厂界达标，对以上环境保护目标影响可以接受。根据现场调查，项目周边企业情况见下表：</w:t>
            </w:r>
          </w:p>
          <w:p w14:paraId="7FE3E15C">
            <w:pPr>
              <w:pStyle w:val="56"/>
            </w:pPr>
            <w:r>
              <w:t>表1-1</w:t>
            </w:r>
            <w:r>
              <w:rPr>
                <w:rFonts w:hint="eastAsia"/>
              </w:rPr>
              <w:t>3</w:t>
            </w:r>
            <w:r>
              <w:t xml:space="preserve">  本项目周边企业情况一览表</w:t>
            </w:r>
          </w:p>
          <w:tbl>
            <w:tblPr>
              <w:tblStyle w:val="23"/>
              <w:tblW w:w="8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790"/>
              <w:gridCol w:w="1732"/>
              <w:gridCol w:w="1485"/>
              <w:gridCol w:w="1467"/>
            </w:tblGrid>
            <w:tr w14:paraId="30F5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69" w:type="dxa"/>
                  <w:vAlign w:val="center"/>
                </w:tcPr>
                <w:p w14:paraId="41EB4DD4">
                  <w:pPr>
                    <w:pStyle w:val="72"/>
                    <w:rPr>
                      <w:b w:val="0"/>
                      <w:color w:val="auto"/>
                    </w:rPr>
                  </w:pPr>
                  <w:r>
                    <w:rPr>
                      <w:b w:val="0"/>
                      <w:color w:val="auto"/>
                    </w:rPr>
                    <w:t>序号</w:t>
                  </w:r>
                </w:p>
              </w:tc>
              <w:tc>
                <w:tcPr>
                  <w:tcW w:w="2790" w:type="dxa"/>
                  <w:vAlign w:val="center"/>
                </w:tcPr>
                <w:p w14:paraId="3E2A6965">
                  <w:pPr>
                    <w:pStyle w:val="72"/>
                    <w:rPr>
                      <w:b w:val="0"/>
                      <w:color w:val="auto"/>
                    </w:rPr>
                  </w:pPr>
                  <w:r>
                    <w:rPr>
                      <w:b w:val="0"/>
                      <w:color w:val="auto"/>
                    </w:rPr>
                    <w:t>名称</w:t>
                  </w:r>
                </w:p>
              </w:tc>
              <w:tc>
                <w:tcPr>
                  <w:tcW w:w="1732" w:type="dxa"/>
                  <w:vAlign w:val="center"/>
                </w:tcPr>
                <w:p w14:paraId="776E7584">
                  <w:pPr>
                    <w:pStyle w:val="72"/>
                    <w:rPr>
                      <w:b w:val="0"/>
                      <w:color w:val="auto"/>
                    </w:rPr>
                  </w:pPr>
                  <w:r>
                    <w:rPr>
                      <w:b w:val="0"/>
                      <w:color w:val="auto"/>
                    </w:rPr>
                    <w:t>方位</w:t>
                  </w:r>
                </w:p>
              </w:tc>
              <w:tc>
                <w:tcPr>
                  <w:tcW w:w="1485" w:type="dxa"/>
                  <w:vAlign w:val="center"/>
                </w:tcPr>
                <w:p w14:paraId="19CDE5E5">
                  <w:pPr>
                    <w:pStyle w:val="72"/>
                    <w:rPr>
                      <w:b w:val="0"/>
                      <w:color w:val="auto"/>
                    </w:rPr>
                  </w:pPr>
                  <w:r>
                    <w:rPr>
                      <w:b w:val="0"/>
                      <w:color w:val="auto"/>
                    </w:rPr>
                    <w:t>厂界距离m</w:t>
                  </w:r>
                </w:p>
              </w:tc>
              <w:tc>
                <w:tcPr>
                  <w:tcW w:w="1467" w:type="dxa"/>
                  <w:vAlign w:val="center"/>
                </w:tcPr>
                <w:p w14:paraId="0CE89A78">
                  <w:pPr>
                    <w:pStyle w:val="72"/>
                    <w:rPr>
                      <w:b w:val="0"/>
                      <w:color w:val="auto"/>
                    </w:rPr>
                  </w:pPr>
                  <w:r>
                    <w:rPr>
                      <w:rFonts w:hint="eastAsia"/>
                      <w:b w:val="0"/>
                      <w:color w:val="auto"/>
                    </w:rPr>
                    <w:t>主要污染物</w:t>
                  </w:r>
                </w:p>
              </w:tc>
            </w:tr>
            <w:tr w14:paraId="5E2A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5F6B7FD9">
                  <w:pPr>
                    <w:pStyle w:val="72"/>
                    <w:rPr>
                      <w:b w:val="0"/>
                      <w:color w:val="auto"/>
                    </w:rPr>
                  </w:pPr>
                  <w:r>
                    <w:rPr>
                      <w:rFonts w:hint="eastAsia"/>
                      <w:b w:val="0"/>
                      <w:color w:val="auto"/>
                    </w:rPr>
                    <w:t>①</w:t>
                  </w:r>
                </w:p>
              </w:tc>
              <w:tc>
                <w:tcPr>
                  <w:tcW w:w="2790" w:type="dxa"/>
                  <w:vAlign w:val="center"/>
                </w:tcPr>
                <w:p w14:paraId="11F2178A">
                  <w:pPr>
                    <w:pStyle w:val="72"/>
                    <w:rPr>
                      <w:b w:val="0"/>
                      <w:color w:val="auto"/>
                    </w:rPr>
                  </w:pPr>
                  <w:r>
                    <w:rPr>
                      <w:b w:val="0"/>
                      <w:color w:val="auto"/>
                    </w:rPr>
                    <w:t>云南建工云岭水泥有限公司</w:t>
                  </w:r>
                </w:p>
              </w:tc>
              <w:tc>
                <w:tcPr>
                  <w:tcW w:w="1732" w:type="dxa"/>
                  <w:vAlign w:val="center"/>
                </w:tcPr>
                <w:p w14:paraId="4E651DE3">
                  <w:pPr>
                    <w:pStyle w:val="72"/>
                    <w:rPr>
                      <w:b w:val="0"/>
                      <w:color w:val="auto"/>
                    </w:rPr>
                  </w:pPr>
                  <w:r>
                    <w:rPr>
                      <w:rFonts w:hint="eastAsia"/>
                      <w:b w:val="0"/>
                      <w:color w:val="auto"/>
                    </w:rPr>
                    <w:t>项目租用其厂房</w:t>
                  </w:r>
                </w:p>
              </w:tc>
              <w:tc>
                <w:tcPr>
                  <w:tcW w:w="1485" w:type="dxa"/>
                  <w:vAlign w:val="center"/>
                </w:tcPr>
                <w:p w14:paraId="606F6A2B">
                  <w:pPr>
                    <w:pStyle w:val="72"/>
                    <w:rPr>
                      <w:b w:val="0"/>
                      <w:color w:val="auto"/>
                    </w:rPr>
                  </w:pPr>
                  <w:r>
                    <w:rPr>
                      <w:rFonts w:hint="eastAsia"/>
                      <w:b w:val="0"/>
                      <w:color w:val="auto"/>
                    </w:rPr>
                    <w:t>0</w:t>
                  </w:r>
                </w:p>
              </w:tc>
              <w:tc>
                <w:tcPr>
                  <w:tcW w:w="1467" w:type="dxa"/>
                  <w:vAlign w:val="center"/>
                </w:tcPr>
                <w:p w14:paraId="3C66C00C">
                  <w:pPr>
                    <w:pStyle w:val="72"/>
                    <w:rPr>
                      <w:b w:val="0"/>
                      <w:color w:val="auto"/>
                    </w:rPr>
                  </w:pPr>
                  <w:r>
                    <w:rPr>
                      <w:rFonts w:hint="eastAsia"/>
                      <w:b w:val="0"/>
                      <w:color w:val="auto"/>
                    </w:rPr>
                    <w:t>已停产</w:t>
                  </w:r>
                </w:p>
              </w:tc>
            </w:tr>
            <w:tr w14:paraId="5BC3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225180FC">
                  <w:pPr>
                    <w:pStyle w:val="72"/>
                    <w:rPr>
                      <w:b w:val="0"/>
                      <w:color w:val="auto"/>
                    </w:rPr>
                  </w:pPr>
                  <w:r>
                    <w:rPr>
                      <w:rFonts w:hint="eastAsia"/>
                      <w:b w:val="0"/>
                      <w:color w:val="auto"/>
                    </w:rPr>
                    <w:t>②</w:t>
                  </w:r>
                </w:p>
              </w:tc>
              <w:tc>
                <w:tcPr>
                  <w:tcW w:w="2790" w:type="dxa"/>
                  <w:vAlign w:val="center"/>
                </w:tcPr>
                <w:p w14:paraId="47C07A8E">
                  <w:pPr>
                    <w:pStyle w:val="72"/>
                    <w:rPr>
                      <w:b w:val="0"/>
                      <w:color w:val="auto"/>
                    </w:rPr>
                  </w:pPr>
                  <w:r>
                    <w:rPr>
                      <w:b w:val="0"/>
                      <w:color w:val="auto"/>
                    </w:rPr>
                    <w:t>云南南磷集团寻甸有限公司</w:t>
                  </w:r>
                </w:p>
              </w:tc>
              <w:tc>
                <w:tcPr>
                  <w:tcW w:w="1732" w:type="dxa"/>
                  <w:vAlign w:val="center"/>
                </w:tcPr>
                <w:p w14:paraId="22D12E02">
                  <w:pPr>
                    <w:pStyle w:val="72"/>
                    <w:rPr>
                      <w:b w:val="0"/>
                      <w:color w:val="auto"/>
                    </w:rPr>
                  </w:pPr>
                  <w:r>
                    <w:rPr>
                      <w:rFonts w:hint="eastAsia"/>
                      <w:b w:val="0"/>
                      <w:color w:val="auto"/>
                    </w:rPr>
                    <w:t>南</w:t>
                  </w:r>
                </w:p>
              </w:tc>
              <w:tc>
                <w:tcPr>
                  <w:tcW w:w="1485" w:type="dxa"/>
                  <w:vAlign w:val="center"/>
                </w:tcPr>
                <w:p w14:paraId="15D44737">
                  <w:pPr>
                    <w:pStyle w:val="72"/>
                    <w:rPr>
                      <w:b w:val="0"/>
                      <w:color w:val="auto"/>
                    </w:rPr>
                  </w:pPr>
                  <w:r>
                    <w:rPr>
                      <w:rFonts w:hint="eastAsia"/>
                      <w:b w:val="0"/>
                      <w:color w:val="auto"/>
                    </w:rPr>
                    <w:t>180</w:t>
                  </w:r>
                </w:p>
              </w:tc>
              <w:tc>
                <w:tcPr>
                  <w:tcW w:w="1467" w:type="dxa"/>
                  <w:vMerge w:val="restart"/>
                  <w:vAlign w:val="center"/>
                </w:tcPr>
                <w:p w14:paraId="07BFB27D">
                  <w:pPr>
                    <w:pStyle w:val="72"/>
                    <w:rPr>
                      <w:b w:val="0"/>
                      <w:color w:val="auto"/>
                    </w:rPr>
                  </w:pPr>
                  <w:r>
                    <w:rPr>
                      <w:rFonts w:hint="eastAsia"/>
                      <w:b w:val="0"/>
                      <w:color w:val="auto"/>
                    </w:rPr>
                    <w:t>生产废气、生产废水</w:t>
                  </w:r>
                </w:p>
              </w:tc>
            </w:tr>
            <w:tr w14:paraId="4E6D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3E96F1F0">
                  <w:pPr>
                    <w:pStyle w:val="72"/>
                    <w:rPr>
                      <w:b w:val="0"/>
                      <w:color w:val="auto"/>
                    </w:rPr>
                  </w:pPr>
                  <w:r>
                    <w:rPr>
                      <w:rFonts w:hint="eastAsia"/>
                      <w:b w:val="0"/>
                      <w:color w:val="auto"/>
                    </w:rPr>
                    <w:t>③</w:t>
                  </w:r>
                </w:p>
              </w:tc>
              <w:tc>
                <w:tcPr>
                  <w:tcW w:w="2790" w:type="dxa"/>
                  <w:vAlign w:val="center"/>
                </w:tcPr>
                <w:p w14:paraId="0FBD3DEA">
                  <w:pPr>
                    <w:pStyle w:val="72"/>
                    <w:rPr>
                      <w:b w:val="0"/>
                      <w:color w:val="auto"/>
                    </w:rPr>
                  </w:pPr>
                  <w:r>
                    <w:rPr>
                      <w:b w:val="0"/>
                      <w:color w:val="auto"/>
                    </w:rPr>
                    <w:t>云南先锋化工有限公司</w:t>
                  </w:r>
                </w:p>
              </w:tc>
              <w:tc>
                <w:tcPr>
                  <w:tcW w:w="1732" w:type="dxa"/>
                  <w:vAlign w:val="center"/>
                </w:tcPr>
                <w:p w14:paraId="7371A20D">
                  <w:pPr>
                    <w:pStyle w:val="72"/>
                    <w:rPr>
                      <w:b w:val="0"/>
                      <w:color w:val="auto"/>
                    </w:rPr>
                  </w:pPr>
                  <w:r>
                    <w:rPr>
                      <w:b w:val="0"/>
                      <w:color w:val="auto"/>
                    </w:rPr>
                    <w:t>东</w:t>
                  </w:r>
                  <w:r>
                    <w:rPr>
                      <w:rFonts w:hint="eastAsia"/>
                      <w:b w:val="0"/>
                      <w:color w:val="auto"/>
                    </w:rPr>
                    <w:t>北</w:t>
                  </w:r>
                </w:p>
              </w:tc>
              <w:tc>
                <w:tcPr>
                  <w:tcW w:w="1485" w:type="dxa"/>
                  <w:vAlign w:val="center"/>
                </w:tcPr>
                <w:p w14:paraId="5C2708B4">
                  <w:pPr>
                    <w:pStyle w:val="72"/>
                    <w:rPr>
                      <w:b w:val="0"/>
                      <w:color w:val="auto"/>
                    </w:rPr>
                  </w:pPr>
                  <w:r>
                    <w:rPr>
                      <w:rFonts w:hint="eastAsia"/>
                      <w:b w:val="0"/>
                      <w:color w:val="auto"/>
                    </w:rPr>
                    <w:t>670</w:t>
                  </w:r>
                </w:p>
              </w:tc>
              <w:tc>
                <w:tcPr>
                  <w:tcW w:w="1467" w:type="dxa"/>
                  <w:vMerge w:val="continue"/>
                  <w:vAlign w:val="center"/>
                </w:tcPr>
                <w:p w14:paraId="30FA6530">
                  <w:pPr>
                    <w:pStyle w:val="72"/>
                    <w:rPr>
                      <w:b w:val="0"/>
                      <w:color w:val="auto"/>
                    </w:rPr>
                  </w:pPr>
                </w:p>
              </w:tc>
            </w:tr>
            <w:tr w14:paraId="1D3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771668CE">
                  <w:pPr>
                    <w:pStyle w:val="72"/>
                    <w:rPr>
                      <w:b w:val="0"/>
                      <w:color w:val="auto"/>
                    </w:rPr>
                  </w:pPr>
                  <w:r>
                    <w:rPr>
                      <w:rFonts w:hint="eastAsia"/>
                      <w:b w:val="0"/>
                      <w:color w:val="auto"/>
                    </w:rPr>
                    <w:t>④</w:t>
                  </w:r>
                </w:p>
              </w:tc>
              <w:tc>
                <w:tcPr>
                  <w:tcW w:w="2790" w:type="dxa"/>
                  <w:vAlign w:val="center"/>
                </w:tcPr>
                <w:p w14:paraId="4138BBDF">
                  <w:pPr>
                    <w:pStyle w:val="72"/>
                    <w:rPr>
                      <w:b w:val="0"/>
                      <w:color w:val="auto"/>
                    </w:rPr>
                  </w:pPr>
                  <w:r>
                    <w:rPr>
                      <w:b w:val="0"/>
                      <w:color w:val="auto"/>
                    </w:rPr>
                    <w:t>中化云龙有限公司</w:t>
                  </w:r>
                </w:p>
              </w:tc>
              <w:tc>
                <w:tcPr>
                  <w:tcW w:w="1732" w:type="dxa"/>
                  <w:vAlign w:val="center"/>
                </w:tcPr>
                <w:p w14:paraId="49716529">
                  <w:pPr>
                    <w:pStyle w:val="72"/>
                    <w:rPr>
                      <w:b w:val="0"/>
                      <w:color w:val="auto"/>
                    </w:rPr>
                  </w:pPr>
                  <w:r>
                    <w:rPr>
                      <w:b w:val="0"/>
                      <w:color w:val="auto"/>
                    </w:rPr>
                    <w:t>东南</w:t>
                  </w:r>
                </w:p>
              </w:tc>
              <w:tc>
                <w:tcPr>
                  <w:tcW w:w="1485" w:type="dxa"/>
                  <w:vAlign w:val="center"/>
                </w:tcPr>
                <w:p w14:paraId="17A68A95">
                  <w:pPr>
                    <w:pStyle w:val="72"/>
                    <w:rPr>
                      <w:b w:val="0"/>
                      <w:color w:val="auto"/>
                    </w:rPr>
                  </w:pPr>
                  <w:r>
                    <w:rPr>
                      <w:rFonts w:hint="eastAsia"/>
                      <w:b w:val="0"/>
                      <w:color w:val="auto"/>
                    </w:rPr>
                    <w:t>660</w:t>
                  </w:r>
                </w:p>
              </w:tc>
              <w:tc>
                <w:tcPr>
                  <w:tcW w:w="1467" w:type="dxa"/>
                  <w:vMerge w:val="continue"/>
                  <w:vAlign w:val="center"/>
                </w:tcPr>
                <w:p w14:paraId="3F365564">
                  <w:pPr>
                    <w:pStyle w:val="72"/>
                    <w:rPr>
                      <w:b w:val="0"/>
                      <w:color w:val="auto"/>
                    </w:rPr>
                  </w:pPr>
                </w:p>
              </w:tc>
            </w:tr>
            <w:tr w14:paraId="5670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1E678B0E">
                  <w:pPr>
                    <w:pStyle w:val="72"/>
                    <w:rPr>
                      <w:b w:val="0"/>
                      <w:color w:val="auto"/>
                    </w:rPr>
                  </w:pPr>
                  <w:r>
                    <w:rPr>
                      <w:rFonts w:hint="eastAsia"/>
                      <w:b w:val="0"/>
                      <w:color w:val="auto"/>
                    </w:rPr>
                    <w:t>⑤</w:t>
                  </w:r>
                </w:p>
              </w:tc>
              <w:tc>
                <w:tcPr>
                  <w:tcW w:w="2790" w:type="dxa"/>
                  <w:vAlign w:val="center"/>
                </w:tcPr>
                <w:p w14:paraId="523F8198">
                  <w:pPr>
                    <w:pStyle w:val="72"/>
                    <w:rPr>
                      <w:b w:val="0"/>
                      <w:color w:val="auto"/>
                    </w:rPr>
                  </w:pPr>
                  <w:r>
                    <w:rPr>
                      <w:rFonts w:hint="eastAsia"/>
                      <w:b w:val="0"/>
                      <w:color w:val="auto"/>
                    </w:rPr>
                    <w:t>昆明东屹峰商贸有限公司</w:t>
                  </w:r>
                </w:p>
              </w:tc>
              <w:tc>
                <w:tcPr>
                  <w:tcW w:w="1732" w:type="dxa"/>
                  <w:vAlign w:val="center"/>
                </w:tcPr>
                <w:p w14:paraId="3EAB6D3E">
                  <w:pPr>
                    <w:pStyle w:val="72"/>
                    <w:rPr>
                      <w:b w:val="0"/>
                      <w:color w:val="auto"/>
                    </w:rPr>
                  </w:pPr>
                  <w:r>
                    <w:rPr>
                      <w:rFonts w:hint="eastAsia"/>
                      <w:b w:val="0"/>
                      <w:color w:val="auto"/>
                    </w:rPr>
                    <w:t>北</w:t>
                  </w:r>
                </w:p>
              </w:tc>
              <w:tc>
                <w:tcPr>
                  <w:tcW w:w="1485" w:type="dxa"/>
                  <w:vAlign w:val="center"/>
                </w:tcPr>
                <w:p w14:paraId="1C495A92">
                  <w:pPr>
                    <w:pStyle w:val="72"/>
                    <w:rPr>
                      <w:b w:val="0"/>
                      <w:color w:val="auto"/>
                    </w:rPr>
                  </w:pPr>
                  <w:r>
                    <w:rPr>
                      <w:rFonts w:hint="eastAsia"/>
                      <w:b w:val="0"/>
                      <w:color w:val="auto"/>
                    </w:rPr>
                    <w:t>260</w:t>
                  </w:r>
                </w:p>
              </w:tc>
              <w:tc>
                <w:tcPr>
                  <w:tcW w:w="1467" w:type="dxa"/>
                  <w:vAlign w:val="center"/>
                </w:tcPr>
                <w:p w14:paraId="3A2B8B04">
                  <w:pPr>
                    <w:pStyle w:val="72"/>
                    <w:rPr>
                      <w:b w:val="0"/>
                      <w:color w:val="auto"/>
                    </w:rPr>
                  </w:pPr>
                  <w:r>
                    <w:rPr>
                      <w:rFonts w:hint="eastAsia"/>
                      <w:b w:val="0"/>
                      <w:color w:val="auto"/>
                    </w:rPr>
                    <w:t>生产废气</w:t>
                  </w:r>
                </w:p>
              </w:tc>
            </w:tr>
            <w:tr w14:paraId="4D13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14864FF0">
                  <w:pPr>
                    <w:pStyle w:val="72"/>
                    <w:rPr>
                      <w:b w:val="0"/>
                      <w:color w:val="auto"/>
                    </w:rPr>
                  </w:pPr>
                  <w:r>
                    <w:rPr>
                      <w:rFonts w:hint="eastAsia"/>
                      <w:b w:val="0"/>
                      <w:color w:val="auto"/>
                    </w:rPr>
                    <w:t>⑥</w:t>
                  </w:r>
                </w:p>
              </w:tc>
              <w:tc>
                <w:tcPr>
                  <w:tcW w:w="2790" w:type="dxa"/>
                  <w:vAlign w:val="center"/>
                </w:tcPr>
                <w:p w14:paraId="030C748A">
                  <w:pPr>
                    <w:pStyle w:val="72"/>
                    <w:rPr>
                      <w:b w:val="0"/>
                      <w:color w:val="auto"/>
                    </w:rPr>
                  </w:pPr>
                  <w:r>
                    <w:rPr>
                      <w:b w:val="0"/>
                      <w:color w:val="auto"/>
                    </w:rPr>
                    <w:t>云南</w:t>
                  </w:r>
                  <w:r>
                    <w:rPr>
                      <w:rFonts w:hint="eastAsia"/>
                      <w:b w:val="0"/>
                      <w:color w:val="auto"/>
                    </w:rPr>
                    <w:t>寻甸宏盛</w:t>
                  </w:r>
                  <w:r>
                    <w:rPr>
                      <w:b w:val="0"/>
                      <w:color w:val="auto"/>
                    </w:rPr>
                    <w:t>公司</w:t>
                  </w:r>
                </w:p>
              </w:tc>
              <w:tc>
                <w:tcPr>
                  <w:tcW w:w="1732" w:type="dxa"/>
                  <w:vAlign w:val="center"/>
                </w:tcPr>
                <w:p w14:paraId="34C49454">
                  <w:pPr>
                    <w:pStyle w:val="72"/>
                    <w:rPr>
                      <w:b w:val="0"/>
                      <w:color w:val="auto"/>
                    </w:rPr>
                  </w:pPr>
                  <w:r>
                    <w:rPr>
                      <w:b w:val="0"/>
                      <w:color w:val="auto"/>
                    </w:rPr>
                    <w:t>东</w:t>
                  </w:r>
                </w:p>
              </w:tc>
              <w:tc>
                <w:tcPr>
                  <w:tcW w:w="1485" w:type="dxa"/>
                  <w:vAlign w:val="center"/>
                </w:tcPr>
                <w:p w14:paraId="47AD6372">
                  <w:pPr>
                    <w:pStyle w:val="72"/>
                    <w:rPr>
                      <w:b w:val="0"/>
                      <w:color w:val="auto"/>
                    </w:rPr>
                  </w:pPr>
                  <w:r>
                    <w:rPr>
                      <w:rFonts w:hint="eastAsia"/>
                      <w:b w:val="0"/>
                      <w:color w:val="auto"/>
                    </w:rPr>
                    <w:t>350</w:t>
                  </w:r>
                </w:p>
              </w:tc>
              <w:tc>
                <w:tcPr>
                  <w:tcW w:w="1467" w:type="dxa"/>
                  <w:vAlign w:val="center"/>
                </w:tcPr>
                <w:p w14:paraId="0E283B34">
                  <w:pPr>
                    <w:pStyle w:val="72"/>
                    <w:rPr>
                      <w:b w:val="0"/>
                      <w:color w:val="auto"/>
                    </w:rPr>
                  </w:pPr>
                  <w:r>
                    <w:rPr>
                      <w:rFonts w:hint="eastAsia"/>
                      <w:b w:val="0"/>
                      <w:color w:val="auto"/>
                    </w:rPr>
                    <w:t>生活污水</w:t>
                  </w:r>
                </w:p>
              </w:tc>
            </w:tr>
          </w:tbl>
          <w:p w14:paraId="2049ED7A">
            <w:pPr>
              <w:spacing w:line="360" w:lineRule="auto"/>
              <w:ind w:firstLine="480" w:firstLineChars="200"/>
              <w:rPr>
                <w:sz w:val="24"/>
                <w:lang w:val="zh-CN"/>
              </w:rPr>
            </w:pPr>
            <w:r>
              <w:rPr>
                <w:rFonts w:hint="eastAsia"/>
                <w:sz w:val="24"/>
              </w:rPr>
              <w:t>根据</w:t>
            </w:r>
            <w:r>
              <w:rPr>
                <w:sz w:val="24"/>
              </w:rPr>
              <w:t>项目周边企业情况调查可知，周围的企业</w:t>
            </w:r>
            <w:r>
              <w:rPr>
                <w:rFonts w:hint="eastAsia"/>
                <w:sz w:val="24"/>
              </w:rPr>
              <w:t>主要污染物为生产废气、生产废水和生活污水，</w:t>
            </w:r>
            <w:r>
              <w:rPr>
                <w:sz w:val="24"/>
              </w:rPr>
              <w:t>对本项目无制约性因素。根据工程分析，</w:t>
            </w:r>
            <w:r>
              <w:rPr>
                <w:sz w:val="24"/>
                <w:lang w:val="zh-CN"/>
              </w:rPr>
              <w:t>项目</w:t>
            </w:r>
            <w:r>
              <w:rPr>
                <w:sz w:val="24"/>
              </w:rPr>
              <w:t>产生的</w:t>
            </w:r>
            <w:r>
              <w:rPr>
                <w:sz w:val="24"/>
                <w:lang w:val="zh-CN"/>
              </w:rPr>
              <w:t>噪声、废气、</w:t>
            </w:r>
            <w:r>
              <w:rPr>
                <w:sz w:val="24"/>
              </w:rPr>
              <w:t>废水</w:t>
            </w:r>
            <w:r>
              <w:rPr>
                <w:sz w:val="24"/>
                <w:lang w:val="zh-CN"/>
              </w:rPr>
              <w:t>均能达标排放，</w:t>
            </w:r>
            <w:r>
              <w:rPr>
                <w:sz w:val="24"/>
              </w:rPr>
              <w:t>固体废物100%合理处置，</w:t>
            </w:r>
            <w:r>
              <w:rPr>
                <w:sz w:val="24"/>
                <w:lang w:val="zh-CN"/>
              </w:rPr>
              <w:t>项目的生产对周围企业的影响不大。</w:t>
            </w:r>
          </w:p>
          <w:p w14:paraId="0355BAFB">
            <w:pPr>
              <w:spacing w:line="360" w:lineRule="auto"/>
              <w:ind w:firstLine="480" w:firstLineChars="200"/>
              <w:rPr>
                <w:rFonts w:hint="eastAsia"/>
                <w:sz w:val="24"/>
                <w:lang w:val="zh-CN"/>
              </w:rPr>
            </w:pPr>
            <w:r>
              <w:rPr>
                <w:sz w:val="24"/>
                <w:lang w:val="zh-CN"/>
              </w:rPr>
              <w:t>综上所述，本项目与</w:t>
            </w:r>
            <w:r>
              <w:rPr>
                <w:sz w:val="24"/>
              </w:rPr>
              <w:t>周边</w:t>
            </w:r>
            <w:r>
              <w:rPr>
                <w:sz w:val="24"/>
                <w:lang w:val="zh-CN"/>
              </w:rPr>
              <w:t>环境是相容的。</w:t>
            </w:r>
          </w:p>
          <w:p w14:paraId="2B7E354A">
            <w:pPr>
              <w:spacing w:line="360" w:lineRule="auto"/>
              <w:ind w:firstLine="480" w:firstLineChars="200"/>
              <w:rPr>
                <w:rFonts w:hint="eastAsia"/>
                <w:sz w:val="24"/>
                <w:lang w:val="zh-CN"/>
              </w:rPr>
            </w:pPr>
          </w:p>
          <w:p w14:paraId="0BB07982">
            <w:pPr>
              <w:spacing w:line="360" w:lineRule="auto"/>
              <w:ind w:firstLine="480" w:firstLineChars="200"/>
              <w:rPr>
                <w:rFonts w:hint="eastAsia"/>
                <w:sz w:val="24"/>
                <w:lang w:val="zh-CN"/>
              </w:rPr>
            </w:pPr>
          </w:p>
          <w:p w14:paraId="2972E89A">
            <w:pPr>
              <w:spacing w:line="360" w:lineRule="auto"/>
              <w:ind w:firstLine="480" w:firstLineChars="200"/>
              <w:rPr>
                <w:rFonts w:hint="eastAsia"/>
                <w:sz w:val="24"/>
                <w:lang w:val="zh-CN"/>
              </w:rPr>
            </w:pPr>
          </w:p>
          <w:p w14:paraId="135E4DF5">
            <w:pPr>
              <w:spacing w:line="360" w:lineRule="auto"/>
              <w:ind w:firstLine="480" w:firstLineChars="200"/>
              <w:rPr>
                <w:rFonts w:hint="eastAsia"/>
                <w:sz w:val="24"/>
                <w:lang w:val="zh-CN"/>
              </w:rPr>
            </w:pPr>
          </w:p>
          <w:p w14:paraId="614F2E00">
            <w:pPr>
              <w:spacing w:line="360" w:lineRule="auto"/>
              <w:ind w:firstLine="480" w:firstLineChars="200"/>
              <w:rPr>
                <w:rFonts w:hint="eastAsia"/>
                <w:sz w:val="24"/>
                <w:lang w:val="zh-CN"/>
              </w:rPr>
            </w:pPr>
          </w:p>
          <w:p w14:paraId="73C2004C">
            <w:pPr>
              <w:spacing w:line="360" w:lineRule="auto"/>
              <w:ind w:firstLine="480" w:firstLineChars="200"/>
              <w:rPr>
                <w:rFonts w:hint="eastAsia"/>
                <w:sz w:val="24"/>
                <w:lang w:val="zh-CN"/>
              </w:rPr>
            </w:pPr>
          </w:p>
          <w:p w14:paraId="14A4BA28">
            <w:pPr>
              <w:spacing w:line="360" w:lineRule="auto"/>
              <w:ind w:firstLine="480" w:firstLineChars="200"/>
              <w:rPr>
                <w:rFonts w:hint="eastAsia"/>
                <w:sz w:val="24"/>
                <w:lang w:val="zh-CN"/>
              </w:rPr>
            </w:pPr>
          </w:p>
          <w:p w14:paraId="7FB2C206">
            <w:pPr>
              <w:spacing w:line="360" w:lineRule="auto"/>
              <w:ind w:firstLine="480" w:firstLineChars="200"/>
              <w:rPr>
                <w:rFonts w:hint="eastAsia"/>
                <w:sz w:val="24"/>
                <w:lang w:val="zh-CN"/>
              </w:rPr>
            </w:pPr>
          </w:p>
          <w:p w14:paraId="08D08BBF">
            <w:pPr>
              <w:spacing w:line="360" w:lineRule="auto"/>
              <w:ind w:firstLine="480" w:firstLineChars="200"/>
              <w:rPr>
                <w:rFonts w:hint="eastAsia"/>
                <w:sz w:val="24"/>
                <w:lang w:val="zh-CN"/>
              </w:rPr>
            </w:pPr>
          </w:p>
          <w:p w14:paraId="0FA50E7B">
            <w:pPr>
              <w:spacing w:line="360" w:lineRule="auto"/>
              <w:ind w:firstLine="480" w:firstLineChars="200"/>
              <w:rPr>
                <w:rFonts w:hint="eastAsia"/>
                <w:sz w:val="24"/>
                <w:lang w:val="zh-CN"/>
              </w:rPr>
            </w:pPr>
          </w:p>
          <w:p w14:paraId="5D50BA78">
            <w:pPr>
              <w:spacing w:line="360" w:lineRule="auto"/>
              <w:ind w:firstLine="480" w:firstLineChars="200"/>
              <w:rPr>
                <w:rFonts w:hint="eastAsia"/>
                <w:sz w:val="24"/>
                <w:lang w:val="zh-CN"/>
              </w:rPr>
            </w:pPr>
          </w:p>
          <w:p w14:paraId="19231508">
            <w:pPr>
              <w:spacing w:line="360" w:lineRule="auto"/>
              <w:ind w:firstLine="480" w:firstLineChars="200"/>
              <w:rPr>
                <w:rFonts w:hint="eastAsia"/>
                <w:sz w:val="24"/>
                <w:lang w:val="zh-CN"/>
              </w:rPr>
            </w:pPr>
          </w:p>
          <w:p w14:paraId="72F9E4C7">
            <w:pPr>
              <w:spacing w:line="360" w:lineRule="auto"/>
              <w:ind w:firstLine="480" w:firstLineChars="200"/>
              <w:rPr>
                <w:rFonts w:hint="eastAsia"/>
                <w:sz w:val="24"/>
                <w:lang w:val="zh-CN"/>
              </w:rPr>
            </w:pPr>
          </w:p>
          <w:p w14:paraId="6F06A6E1">
            <w:pPr>
              <w:spacing w:line="360" w:lineRule="auto"/>
              <w:ind w:firstLine="480" w:firstLineChars="200"/>
              <w:rPr>
                <w:rFonts w:hint="eastAsia"/>
                <w:sz w:val="24"/>
                <w:lang w:val="zh-CN"/>
              </w:rPr>
            </w:pPr>
          </w:p>
          <w:p w14:paraId="3F27D6D6">
            <w:pPr>
              <w:spacing w:line="360" w:lineRule="auto"/>
              <w:ind w:firstLine="480" w:firstLineChars="200"/>
              <w:rPr>
                <w:rFonts w:hint="eastAsia"/>
                <w:sz w:val="24"/>
                <w:lang w:val="zh-CN"/>
              </w:rPr>
            </w:pPr>
          </w:p>
          <w:p w14:paraId="429F2D8C">
            <w:pPr>
              <w:spacing w:line="360" w:lineRule="auto"/>
              <w:ind w:firstLine="480" w:firstLineChars="200"/>
              <w:rPr>
                <w:rFonts w:hint="eastAsia"/>
                <w:sz w:val="24"/>
                <w:lang w:val="zh-CN"/>
              </w:rPr>
            </w:pPr>
          </w:p>
          <w:p w14:paraId="34D9337F">
            <w:pPr>
              <w:spacing w:line="360" w:lineRule="auto"/>
              <w:ind w:firstLine="480" w:firstLineChars="200"/>
              <w:rPr>
                <w:rFonts w:hint="eastAsia"/>
                <w:sz w:val="24"/>
                <w:lang w:val="zh-CN"/>
              </w:rPr>
            </w:pPr>
          </w:p>
          <w:p w14:paraId="73C4233D">
            <w:pPr>
              <w:spacing w:line="360" w:lineRule="auto"/>
              <w:ind w:firstLine="480" w:firstLineChars="200"/>
              <w:rPr>
                <w:rFonts w:hint="eastAsia"/>
                <w:sz w:val="24"/>
                <w:lang w:val="zh-CN"/>
              </w:rPr>
            </w:pPr>
          </w:p>
          <w:p w14:paraId="19A0DE61">
            <w:pPr>
              <w:spacing w:line="360" w:lineRule="auto"/>
              <w:ind w:firstLine="480" w:firstLineChars="200"/>
              <w:rPr>
                <w:rFonts w:hint="eastAsia"/>
                <w:sz w:val="24"/>
                <w:lang w:val="zh-CN"/>
              </w:rPr>
            </w:pPr>
          </w:p>
          <w:p w14:paraId="066CC9FB">
            <w:pPr>
              <w:spacing w:line="360" w:lineRule="auto"/>
              <w:ind w:firstLine="480" w:firstLineChars="200"/>
              <w:rPr>
                <w:rFonts w:hint="eastAsia"/>
                <w:sz w:val="24"/>
                <w:lang w:val="zh-CN"/>
              </w:rPr>
            </w:pPr>
          </w:p>
          <w:p w14:paraId="0156EC7A">
            <w:pPr>
              <w:spacing w:line="360" w:lineRule="auto"/>
              <w:ind w:firstLine="360" w:firstLineChars="200"/>
              <w:rPr>
                <w:sz w:val="18"/>
                <w:szCs w:val="18"/>
                <w:lang w:val="zh-CN"/>
              </w:rPr>
            </w:pPr>
          </w:p>
        </w:tc>
      </w:tr>
    </w:tbl>
    <w:p w14:paraId="2ADFE2C7">
      <w:pPr>
        <w:spacing w:line="360" w:lineRule="auto"/>
        <w:rPr>
          <w:rFonts w:eastAsia="黑体"/>
          <w:sz w:val="30"/>
        </w:rPr>
        <w:sectPr>
          <w:headerReference r:id="rId6" w:type="default"/>
          <w:footerReference r:id="rId7" w:type="default"/>
          <w:pgSz w:w="11906" w:h="16838"/>
          <w:pgMar w:top="1701" w:right="1531" w:bottom="1418" w:left="1531" w:header="851" w:footer="1077" w:gutter="0"/>
          <w:pgNumType w:start="1"/>
          <w:cols w:space="720" w:num="1"/>
          <w:docGrid w:linePitch="312" w:charSpace="0"/>
        </w:sectPr>
      </w:pPr>
    </w:p>
    <w:p w14:paraId="38D7E5D0">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11" w:name="_Toc21940"/>
      <w:r>
        <w:rPr>
          <w:rFonts w:ascii="Times New Roman" w:hAnsi="Times New Roman" w:eastAsia="黑体"/>
          <w:snapToGrid w:val="0"/>
          <w:sz w:val="30"/>
          <w:szCs w:val="30"/>
        </w:rPr>
        <w:t>二、建设项目工程分析</w:t>
      </w:r>
      <w:bookmarkEnd w:id="1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40596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157" w:hRule="atLeast"/>
          <w:jc w:val="center"/>
        </w:trPr>
        <w:tc>
          <w:tcPr>
            <w:tcW w:w="823" w:type="dxa"/>
            <w:vAlign w:val="center"/>
          </w:tcPr>
          <w:p w14:paraId="54C3FCA0">
            <w:pPr>
              <w:pStyle w:val="19"/>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161" w:type="dxa"/>
          </w:tcPr>
          <w:p w14:paraId="0D24C557">
            <w:pPr>
              <w:spacing w:line="360" w:lineRule="auto"/>
              <w:rPr>
                <w:b/>
                <w:bCs/>
                <w:sz w:val="24"/>
              </w:rPr>
            </w:pPr>
            <w:r>
              <w:rPr>
                <w:rFonts w:hint="eastAsia"/>
                <w:b/>
                <w:bCs/>
                <w:sz w:val="24"/>
              </w:rPr>
              <w:t>一、项目由来</w:t>
            </w:r>
          </w:p>
          <w:p w14:paraId="5D63B2C6">
            <w:pPr>
              <w:spacing w:line="360" w:lineRule="auto"/>
              <w:ind w:firstLine="480" w:firstLineChars="200"/>
              <w:rPr>
                <w:sz w:val="24"/>
              </w:rPr>
            </w:pPr>
            <w:r>
              <w:rPr>
                <w:rFonts w:hint="eastAsia"/>
                <w:sz w:val="24"/>
              </w:rPr>
              <w:t>青思生物科技（寻甸）有限责任公司拟租用云南建工云岭水泥有限公司厂房，建设《青思生物科技（寻甸）有限责任公司低变质褐煤、磷矿石浮选尾矿综合利用项目》。本项目利用低变质褐煤、锯木屑、发酵菌剂、尿素、磷矿石浮选尾矿等作为原材料生产有机肥，不仅能有效的利用原辅料固废中的腐殖酸、有机质和微量元素等，提高固废的综合利用；还能缓解化肥资源的建设短缺，改善土地板结化、提高农作物的品质和产量，可以实现资源化循环利用，推动生态农业建设的健康发展。因此本项目的建设具有显著的生态环境效益、社会效益和经济效益。</w:t>
            </w:r>
          </w:p>
          <w:p w14:paraId="3712A3A6">
            <w:pPr>
              <w:spacing w:line="360" w:lineRule="auto"/>
              <w:ind w:firstLine="480" w:firstLineChars="200"/>
              <w:rPr>
                <w:sz w:val="24"/>
              </w:rPr>
            </w:pPr>
            <w:r>
              <w:rPr>
                <w:rFonts w:hint="eastAsia"/>
                <w:sz w:val="24"/>
              </w:rPr>
              <w:t>本项目租用云南建工云岭水泥有限公司已建厂房进行建设，建设内容包括原料库、生产区、成品库及配套环保设施等。项目2025年12月26日取得云南寻甸产业园区管理委员会出具的入园申请同意书，2025年10月24日取得了寻甸县发展和改革局核发的项目备案证，项目代码为：2510-530129-04-01-685356。根据《备案证》，项目分两期进行建设，一期建设年产5万吨有机肥生产线，二期建设年产5万吨中量元素有机肥生产线，总规模为10万吨有机肥。根据建设单位实际需求，本项目不进行分期建设，两期项目一次建成并投产运行（见附件12一次性建成承诺书）。</w:t>
            </w:r>
          </w:p>
          <w:p w14:paraId="0D1FE8B5">
            <w:pPr>
              <w:spacing w:line="360" w:lineRule="auto"/>
              <w:ind w:firstLine="480" w:firstLineChars="200"/>
              <w:rPr>
                <w:sz w:val="28"/>
                <w:szCs w:val="28"/>
              </w:rPr>
            </w:pPr>
            <w:r>
              <w:rPr>
                <w:rFonts w:hint="eastAsia"/>
                <w:sz w:val="24"/>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四十七生态保护和环境治理业103、一般工业固体废物、建筑施工废弃物处置及综合利用”，需编制环境影响报告表。</w:t>
            </w:r>
          </w:p>
          <w:p w14:paraId="2803A11D">
            <w:pPr>
              <w:adjustRightInd w:val="0"/>
              <w:snapToGrid w:val="0"/>
              <w:spacing w:line="360" w:lineRule="auto"/>
              <w:rPr>
                <w:b/>
                <w:sz w:val="24"/>
              </w:rPr>
            </w:pPr>
            <w:r>
              <w:rPr>
                <w:rFonts w:hint="eastAsia"/>
                <w:b/>
                <w:sz w:val="24"/>
              </w:rPr>
              <w:t>二</w:t>
            </w:r>
            <w:r>
              <w:rPr>
                <w:b/>
                <w:sz w:val="24"/>
              </w:rPr>
              <w:t>、建设内容</w:t>
            </w:r>
          </w:p>
          <w:p w14:paraId="36883FFD">
            <w:pPr>
              <w:widowControl/>
              <w:autoSpaceDE w:val="0"/>
              <w:autoSpaceDN w:val="0"/>
              <w:snapToGrid w:val="0"/>
              <w:spacing w:line="360" w:lineRule="auto"/>
              <w:ind w:firstLine="480" w:firstLineChars="200"/>
              <w:jc w:val="left"/>
              <w:rPr>
                <w:bCs/>
                <w:sz w:val="24"/>
              </w:rPr>
            </w:pPr>
            <w:r>
              <w:rPr>
                <w:sz w:val="24"/>
              </w:rPr>
              <w:t>项目</w:t>
            </w:r>
            <w:r>
              <w:rPr>
                <w:rFonts w:hint="eastAsia"/>
                <w:sz w:val="24"/>
              </w:rPr>
              <w:t>总占地面积4014</w:t>
            </w:r>
            <w:r>
              <w:rPr>
                <w:sz w:val="24"/>
              </w:rPr>
              <w:t>m</w:t>
            </w:r>
            <w:r>
              <w:rPr>
                <w:sz w:val="24"/>
                <w:vertAlign w:val="superscript"/>
              </w:rPr>
              <w:t>2</w:t>
            </w:r>
            <w:r>
              <w:rPr>
                <w:rFonts w:hint="eastAsia"/>
                <w:sz w:val="24"/>
              </w:rPr>
              <w:t>，包含2幢生产厂房，西侧厂房建筑面积3024</w:t>
            </w:r>
            <w:r>
              <w:rPr>
                <w:sz w:val="24"/>
              </w:rPr>
              <w:t>m</w:t>
            </w:r>
            <w:r>
              <w:rPr>
                <w:sz w:val="24"/>
                <w:vertAlign w:val="superscript"/>
              </w:rPr>
              <w:t>2</w:t>
            </w:r>
            <w:r>
              <w:rPr>
                <w:rFonts w:hint="eastAsia"/>
                <w:sz w:val="24"/>
              </w:rPr>
              <w:t>，东侧厂房建筑面积990</w:t>
            </w:r>
            <w:r>
              <w:rPr>
                <w:sz w:val="24"/>
              </w:rPr>
              <w:t>m</w:t>
            </w:r>
            <w:r>
              <w:rPr>
                <w:sz w:val="24"/>
                <w:vertAlign w:val="superscript"/>
              </w:rPr>
              <w:t>2</w:t>
            </w:r>
            <w:r>
              <w:rPr>
                <w:rFonts w:hint="eastAsia"/>
                <w:sz w:val="24"/>
              </w:rPr>
              <w:t>，主要利用已建建筑建成包括原料库、生产区、成品库及配套环保设施等，办公生活设施依托云南建工云岭水泥有限公司已建的配套设施。</w:t>
            </w:r>
            <w:r>
              <w:rPr>
                <w:bCs/>
                <w:sz w:val="24"/>
              </w:rPr>
              <w:t>建设内容包含主体工程、辅助工程、公用工程和环保工程，建设内容详见下表。</w:t>
            </w:r>
          </w:p>
          <w:p w14:paraId="5619D950">
            <w:pPr>
              <w:adjustRightInd w:val="0"/>
              <w:snapToGrid w:val="0"/>
              <w:jc w:val="center"/>
              <w:rPr>
                <w:b/>
                <w:szCs w:val="21"/>
              </w:rPr>
            </w:pPr>
            <w:r>
              <w:rPr>
                <w:b/>
                <w:szCs w:val="21"/>
              </w:rPr>
              <w:t>表2-1  工程建设内容表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673"/>
              <w:gridCol w:w="1304"/>
              <w:gridCol w:w="4405"/>
              <w:gridCol w:w="799"/>
            </w:tblGrid>
            <w:tr w14:paraId="6258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Align w:val="center"/>
                </w:tcPr>
                <w:p w14:paraId="02A8CFC7">
                  <w:pPr>
                    <w:jc w:val="center"/>
                    <w:outlineLvl w:val="0"/>
                    <w:rPr>
                      <w:b/>
                      <w:bCs/>
                      <w:szCs w:val="21"/>
                    </w:rPr>
                  </w:pPr>
                  <w:bookmarkStart w:id="12" w:name="_Toc31508"/>
                  <w:r>
                    <w:rPr>
                      <w:b/>
                      <w:bCs/>
                      <w:szCs w:val="21"/>
                    </w:rPr>
                    <w:t>工程</w:t>
                  </w:r>
                  <w:bookmarkEnd w:id="12"/>
                </w:p>
                <w:p w14:paraId="1A03405C">
                  <w:pPr>
                    <w:jc w:val="center"/>
                    <w:outlineLvl w:val="0"/>
                    <w:rPr>
                      <w:b/>
                      <w:bCs/>
                      <w:szCs w:val="21"/>
                    </w:rPr>
                  </w:pPr>
                  <w:bookmarkStart w:id="13" w:name="_Toc24910"/>
                  <w:r>
                    <w:rPr>
                      <w:b/>
                      <w:bCs/>
                      <w:szCs w:val="21"/>
                    </w:rPr>
                    <w:t>类别</w:t>
                  </w:r>
                  <w:bookmarkEnd w:id="13"/>
                </w:p>
              </w:tc>
              <w:tc>
                <w:tcPr>
                  <w:tcW w:w="1977" w:type="dxa"/>
                  <w:gridSpan w:val="2"/>
                  <w:vAlign w:val="center"/>
                </w:tcPr>
                <w:p w14:paraId="7FA53F6E">
                  <w:pPr>
                    <w:jc w:val="center"/>
                    <w:outlineLvl w:val="0"/>
                    <w:rPr>
                      <w:b/>
                      <w:bCs/>
                      <w:szCs w:val="21"/>
                    </w:rPr>
                  </w:pPr>
                  <w:bookmarkStart w:id="14" w:name="_Toc13699"/>
                  <w:r>
                    <w:rPr>
                      <w:b/>
                      <w:bCs/>
                      <w:szCs w:val="21"/>
                    </w:rPr>
                    <w:t>工程名称</w:t>
                  </w:r>
                  <w:bookmarkEnd w:id="14"/>
                </w:p>
              </w:tc>
              <w:tc>
                <w:tcPr>
                  <w:tcW w:w="4405" w:type="dxa"/>
                  <w:vAlign w:val="center"/>
                </w:tcPr>
                <w:p w14:paraId="23B6827E">
                  <w:pPr>
                    <w:jc w:val="center"/>
                    <w:outlineLvl w:val="0"/>
                    <w:rPr>
                      <w:b/>
                      <w:bCs/>
                      <w:szCs w:val="21"/>
                    </w:rPr>
                  </w:pPr>
                  <w:bookmarkStart w:id="15" w:name="_Toc18027"/>
                  <w:r>
                    <w:rPr>
                      <w:b/>
                      <w:bCs/>
                      <w:szCs w:val="21"/>
                    </w:rPr>
                    <w:t>工程内容</w:t>
                  </w:r>
                  <w:bookmarkEnd w:id="15"/>
                </w:p>
              </w:tc>
              <w:tc>
                <w:tcPr>
                  <w:tcW w:w="799" w:type="dxa"/>
                  <w:vAlign w:val="center"/>
                </w:tcPr>
                <w:p w14:paraId="2060B3E7">
                  <w:pPr>
                    <w:jc w:val="center"/>
                    <w:outlineLvl w:val="0"/>
                    <w:rPr>
                      <w:b/>
                      <w:bCs/>
                      <w:szCs w:val="21"/>
                    </w:rPr>
                  </w:pPr>
                  <w:bookmarkStart w:id="16" w:name="_Toc17548"/>
                  <w:r>
                    <w:rPr>
                      <w:b/>
                      <w:bCs/>
                      <w:szCs w:val="21"/>
                    </w:rPr>
                    <w:t>备注</w:t>
                  </w:r>
                  <w:bookmarkEnd w:id="16"/>
                </w:p>
              </w:tc>
            </w:tr>
            <w:tr w14:paraId="3475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54" w:type="dxa"/>
                  <w:vMerge w:val="restart"/>
                  <w:vAlign w:val="center"/>
                </w:tcPr>
                <w:p w14:paraId="42CEECAF">
                  <w:pPr>
                    <w:jc w:val="center"/>
                  </w:pPr>
                  <w:r>
                    <w:rPr>
                      <w:rFonts w:hint="eastAsia"/>
                      <w:b/>
                      <w:bCs/>
                    </w:rPr>
                    <w:t>主体工程</w:t>
                  </w:r>
                </w:p>
              </w:tc>
              <w:tc>
                <w:tcPr>
                  <w:tcW w:w="673" w:type="dxa"/>
                  <w:vMerge w:val="restart"/>
                  <w:vAlign w:val="center"/>
                </w:tcPr>
                <w:p w14:paraId="3353E3C9">
                  <w:pPr>
                    <w:jc w:val="center"/>
                  </w:pPr>
                  <w:r>
                    <w:rPr>
                      <w:rFonts w:hint="eastAsia"/>
                    </w:rPr>
                    <w:t>生产厂房（西区）</w:t>
                  </w:r>
                </w:p>
              </w:tc>
              <w:tc>
                <w:tcPr>
                  <w:tcW w:w="1304" w:type="dxa"/>
                  <w:vAlign w:val="center"/>
                </w:tcPr>
                <w:p w14:paraId="39666D09">
                  <w:pPr>
                    <w:jc w:val="center"/>
                    <w:rPr>
                      <w:szCs w:val="21"/>
                    </w:rPr>
                  </w:pPr>
                  <w:r>
                    <w:rPr>
                      <w:rFonts w:hint="eastAsia"/>
                      <w:szCs w:val="21"/>
                    </w:rPr>
                    <w:t>原料库</w:t>
                  </w:r>
                </w:p>
              </w:tc>
              <w:tc>
                <w:tcPr>
                  <w:tcW w:w="4405" w:type="dxa"/>
                  <w:vAlign w:val="center"/>
                </w:tcPr>
                <w:p w14:paraId="52A9BA30">
                  <w:pPr>
                    <w:jc w:val="center"/>
                    <w:rPr>
                      <w:rFonts w:eastAsiaTheme="minorEastAsia"/>
                      <w:szCs w:val="21"/>
                    </w:rPr>
                  </w:pPr>
                  <w:r>
                    <w:rPr>
                      <w:rFonts w:hint="eastAsia"/>
                      <w:szCs w:val="21"/>
                    </w:rPr>
                    <w:t>原料库位于西区生产厂房的西面，占地面积1000m</w:t>
                  </w:r>
                  <w:r>
                    <w:rPr>
                      <w:rFonts w:hint="eastAsia"/>
                      <w:szCs w:val="21"/>
                      <w:vertAlign w:val="superscript"/>
                    </w:rPr>
                    <w:t>2</w:t>
                  </w:r>
                  <w:r>
                    <w:rPr>
                      <w:rFonts w:hint="eastAsia"/>
                      <w:szCs w:val="21"/>
                    </w:rPr>
                    <w:t>，轻钢结构H=8m/1F，主要用于分区堆存原料。原料库按照《一般工业固体废物贮存和填埋污染控制标准》（GB18599-2020）进行建设，</w:t>
                  </w:r>
                  <w:r>
                    <w:rPr>
                      <w:rFonts w:eastAsiaTheme="minorEastAsia"/>
                    </w:rPr>
                    <w:t>防渗要求：渗透系数≤10</w:t>
                  </w:r>
                  <w:r>
                    <w:rPr>
                      <w:rFonts w:eastAsiaTheme="minorEastAsia"/>
                      <w:vertAlign w:val="superscript"/>
                    </w:rPr>
                    <w:t>-7</w:t>
                  </w:r>
                  <w:r>
                    <w:rPr>
                      <w:rFonts w:eastAsiaTheme="minorEastAsia"/>
                    </w:rPr>
                    <w:t>cm/s</w:t>
                  </w:r>
                  <w:r>
                    <w:rPr>
                      <w:rFonts w:hint="eastAsia" w:eastAsiaTheme="minorEastAsia"/>
                    </w:rPr>
                    <w:t>。</w:t>
                  </w:r>
                </w:p>
              </w:tc>
              <w:tc>
                <w:tcPr>
                  <w:tcW w:w="799" w:type="dxa"/>
                  <w:vAlign w:val="center"/>
                </w:tcPr>
                <w:p w14:paraId="2D27680E">
                  <w:pPr>
                    <w:jc w:val="center"/>
                    <w:rPr>
                      <w:szCs w:val="21"/>
                    </w:rPr>
                  </w:pPr>
                  <w:r>
                    <w:rPr>
                      <w:rFonts w:hint="eastAsia"/>
                      <w:szCs w:val="21"/>
                    </w:rPr>
                    <w:t>利旧改造</w:t>
                  </w:r>
                </w:p>
              </w:tc>
            </w:tr>
            <w:tr w14:paraId="0053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54" w:type="dxa"/>
                  <w:vMerge w:val="continue"/>
                  <w:vAlign w:val="center"/>
                </w:tcPr>
                <w:p w14:paraId="70713B7B">
                  <w:pPr>
                    <w:jc w:val="center"/>
                    <w:rPr>
                      <w:szCs w:val="21"/>
                    </w:rPr>
                  </w:pPr>
                </w:p>
              </w:tc>
              <w:tc>
                <w:tcPr>
                  <w:tcW w:w="673" w:type="dxa"/>
                  <w:vMerge w:val="continue"/>
                  <w:vAlign w:val="center"/>
                </w:tcPr>
                <w:p w14:paraId="1733C928">
                  <w:pPr>
                    <w:jc w:val="center"/>
                    <w:rPr>
                      <w:szCs w:val="21"/>
                    </w:rPr>
                  </w:pPr>
                </w:p>
              </w:tc>
              <w:tc>
                <w:tcPr>
                  <w:tcW w:w="1304" w:type="dxa"/>
                  <w:vAlign w:val="center"/>
                </w:tcPr>
                <w:p w14:paraId="57212BEC">
                  <w:pPr>
                    <w:jc w:val="center"/>
                    <w:rPr>
                      <w:szCs w:val="21"/>
                    </w:rPr>
                  </w:pPr>
                  <w:r>
                    <w:rPr>
                      <w:rFonts w:hint="eastAsia"/>
                      <w:szCs w:val="21"/>
                    </w:rPr>
                    <w:t>拌合区</w:t>
                  </w:r>
                </w:p>
              </w:tc>
              <w:tc>
                <w:tcPr>
                  <w:tcW w:w="4405" w:type="dxa"/>
                  <w:vAlign w:val="center"/>
                </w:tcPr>
                <w:p w14:paraId="0AA83E1D">
                  <w:pPr>
                    <w:jc w:val="center"/>
                    <w:rPr>
                      <w:szCs w:val="21"/>
                    </w:rPr>
                  </w:pPr>
                  <w:r>
                    <w:rPr>
                      <w:rFonts w:hint="eastAsia"/>
                      <w:szCs w:val="21"/>
                    </w:rPr>
                    <w:t>拌合区位于西区生产厂房的中部，占地面积1000m</w:t>
                  </w:r>
                  <w:r>
                    <w:rPr>
                      <w:rFonts w:hint="eastAsia"/>
                      <w:szCs w:val="21"/>
                      <w:vertAlign w:val="superscript"/>
                    </w:rPr>
                    <w:t>2</w:t>
                  </w:r>
                  <w:r>
                    <w:rPr>
                      <w:rFonts w:hint="eastAsia"/>
                      <w:szCs w:val="21"/>
                    </w:rPr>
                    <w:t>，轻钢结构H=8m/1F，主要用于低变质褐煤、锯木屑的拌合。</w:t>
                  </w:r>
                </w:p>
              </w:tc>
              <w:tc>
                <w:tcPr>
                  <w:tcW w:w="799" w:type="dxa"/>
                  <w:vAlign w:val="center"/>
                </w:tcPr>
                <w:p w14:paraId="74CDB7D6">
                  <w:pPr>
                    <w:jc w:val="center"/>
                    <w:rPr>
                      <w:szCs w:val="21"/>
                    </w:rPr>
                  </w:pPr>
                  <w:r>
                    <w:rPr>
                      <w:rFonts w:hint="eastAsia"/>
                      <w:szCs w:val="21"/>
                    </w:rPr>
                    <w:t>利旧改造</w:t>
                  </w:r>
                </w:p>
              </w:tc>
            </w:tr>
            <w:tr w14:paraId="5920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754" w:type="dxa"/>
                  <w:vMerge w:val="continue"/>
                  <w:vAlign w:val="center"/>
                </w:tcPr>
                <w:p w14:paraId="45B415C8">
                  <w:pPr>
                    <w:jc w:val="center"/>
                    <w:rPr>
                      <w:szCs w:val="21"/>
                    </w:rPr>
                  </w:pPr>
                </w:p>
              </w:tc>
              <w:tc>
                <w:tcPr>
                  <w:tcW w:w="673" w:type="dxa"/>
                  <w:vMerge w:val="continue"/>
                  <w:vAlign w:val="center"/>
                </w:tcPr>
                <w:p w14:paraId="42255E6C">
                  <w:pPr>
                    <w:jc w:val="center"/>
                    <w:rPr>
                      <w:szCs w:val="21"/>
                    </w:rPr>
                  </w:pPr>
                </w:p>
              </w:tc>
              <w:tc>
                <w:tcPr>
                  <w:tcW w:w="1304" w:type="dxa"/>
                  <w:vAlign w:val="center"/>
                </w:tcPr>
                <w:p w14:paraId="55564770">
                  <w:pPr>
                    <w:jc w:val="center"/>
                    <w:rPr>
                      <w:szCs w:val="21"/>
                    </w:rPr>
                  </w:pPr>
                  <w:r>
                    <w:rPr>
                      <w:rFonts w:hint="eastAsia"/>
                      <w:szCs w:val="21"/>
                    </w:rPr>
                    <w:t>发酵区</w:t>
                  </w:r>
                </w:p>
              </w:tc>
              <w:tc>
                <w:tcPr>
                  <w:tcW w:w="4405" w:type="dxa"/>
                  <w:vAlign w:val="center"/>
                </w:tcPr>
                <w:p w14:paraId="180B12AA">
                  <w:pPr>
                    <w:jc w:val="center"/>
                    <w:rPr>
                      <w:szCs w:val="21"/>
                    </w:rPr>
                  </w:pPr>
                  <w:r>
                    <w:rPr>
                      <w:rFonts w:hint="eastAsia"/>
                      <w:szCs w:val="21"/>
                    </w:rPr>
                    <w:t>发酵区位于西区生产厂房的东部，拌合区的东侧，占地面积1014m</w:t>
                  </w:r>
                  <w:r>
                    <w:rPr>
                      <w:rFonts w:hint="eastAsia"/>
                      <w:szCs w:val="21"/>
                      <w:vertAlign w:val="superscript"/>
                    </w:rPr>
                    <w:t>2</w:t>
                  </w:r>
                  <w:r>
                    <w:rPr>
                      <w:rFonts w:hint="eastAsia"/>
                      <w:szCs w:val="21"/>
                    </w:rPr>
                    <w:t>，轻钢结构H=8m/1F，</w:t>
                  </w:r>
                  <w:r>
                    <w:rPr>
                      <w:szCs w:val="21"/>
                    </w:rPr>
                    <w:t>车间内设置</w:t>
                  </w:r>
                  <w:r>
                    <w:rPr>
                      <w:rFonts w:hint="eastAsia"/>
                      <w:spacing w:val="-2"/>
                      <w:kern w:val="0"/>
                      <w:szCs w:val="21"/>
                      <w:lang w:bidi="ar"/>
                    </w:rPr>
                    <w:t>有机肥</w:t>
                  </w:r>
                  <w:r>
                    <w:rPr>
                      <w:szCs w:val="21"/>
                    </w:rPr>
                    <w:t>生产线一条</w:t>
                  </w:r>
                  <w:r>
                    <w:rPr>
                      <w:rFonts w:hint="eastAsia"/>
                      <w:szCs w:val="21"/>
                    </w:rPr>
                    <w:t>，原料混合后在发酵车间进行发酵。位于发酵区设置60m收集沟，地势低处设置1个渗滤液收集池，渗滤液经收集后回用于发酵工序</w:t>
                  </w:r>
                </w:p>
              </w:tc>
              <w:tc>
                <w:tcPr>
                  <w:tcW w:w="799" w:type="dxa"/>
                  <w:vAlign w:val="center"/>
                </w:tcPr>
                <w:p w14:paraId="6AEB6830">
                  <w:pPr>
                    <w:jc w:val="center"/>
                    <w:rPr>
                      <w:szCs w:val="21"/>
                    </w:rPr>
                  </w:pPr>
                  <w:r>
                    <w:rPr>
                      <w:rFonts w:hint="eastAsia"/>
                      <w:szCs w:val="21"/>
                    </w:rPr>
                    <w:t>利旧改造</w:t>
                  </w:r>
                </w:p>
              </w:tc>
            </w:tr>
            <w:tr w14:paraId="0672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19FE80DD">
                  <w:pPr>
                    <w:pStyle w:val="11"/>
                    <w:rPr>
                      <w:rFonts w:ascii="Times New Roman" w:hAnsi="Times New Roman"/>
                      <w:b/>
                      <w:bCs/>
                      <w:szCs w:val="21"/>
                    </w:rPr>
                  </w:pPr>
                </w:p>
              </w:tc>
              <w:tc>
                <w:tcPr>
                  <w:tcW w:w="673" w:type="dxa"/>
                  <w:vMerge w:val="restart"/>
                  <w:vAlign w:val="center"/>
                </w:tcPr>
                <w:p w14:paraId="2FFF3142">
                  <w:pPr>
                    <w:jc w:val="center"/>
                    <w:rPr>
                      <w:szCs w:val="21"/>
                    </w:rPr>
                  </w:pPr>
                  <w:r>
                    <w:rPr>
                      <w:rFonts w:hint="eastAsia"/>
                    </w:rPr>
                    <w:t>生产厂房（东区）</w:t>
                  </w:r>
                </w:p>
              </w:tc>
              <w:tc>
                <w:tcPr>
                  <w:tcW w:w="1304" w:type="dxa"/>
                  <w:vAlign w:val="center"/>
                </w:tcPr>
                <w:p w14:paraId="78A96AF8">
                  <w:pPr>
                    <w:jc w:val="center"/>
                    <w:rPr>
                      <w:szCs w:val="21"/>
                    </w:rPr>
                  </w:pPr>
                  <w:r>
                    <w:rPr>
                      <w:rFonts w:hint="eastAsia"/>
                      <w:szCs w:val="21"/>
                    </w:rPr>
                    <w:t>混合区</w:t>
                  </w:r>
                </w:p>
              </w:tc>
              <w:tc>
                <w:tcPr>
                  <w:tcW w:w="4405" w:type="dxa"/>
                  <w:vAlign w:val="center"/>
                </w:tcPr>
                <w:p w14:paraId="09E8949E">
                  <w:pPr>
                    <w:outlineLvl w:val="0"/>
                    <w:rPr>
                      <w:szCs w:val="21"/>
                    </w:rPr>
                  </w:pPr>
                  <w:r>
                    <w:rPr>
                      <w:rFonts w:hint="eastAsia"/>
                      <w:szCs w:val="21"/>
                    </w:rPr>
                    <w:t>混合区位于东区生产厂房的北部，占地面积245m</w:t>
                  </w:r>
                  <w:r>
                    <w:rPr>
                      <w:rFonts w:hint="eastAsia"/>
                      <w:szCs w:val="21"/>
                      <w:vertAlign w:val="superscript"/>
                    </w:rPr>
                    <w:t>2</w:t>
                  </w:r>
                  <w:r>
                    <w:rPr>
                      <w:rFonts w:hint="eastAsia"/>
                      <w:szCs w:val="21"/>
                    </w:rPr>
                    <w:t>，轻钢结构H=8m/1F，主要用于发酵腐熟后的有机肥与尾矿的拌合。</w:t>
                  </w:r>
                </w:p>
              </w:tc>
              <w:tc>
                <w:tcPr>
                  <w:tcW w:w="799" w:type="dxa"/>
                  <w:vAlign w:val="center"/>
                </w:tcPr>
                <w:p w14:paraId="2442D84B">
                  <w:pPr>
                    <w:jc w:val="center"/>
                    <w:outlineLvl w:val="0"/>
                    <w:rPr>
                      <w:szCs w:val="21"/>
                    </w:rPr>
                  </w:pPr>
                  <w:r>
                    <w:rPr>
                      <w:rFonts w:hint="eastAsia"/>
                      <w:szCs w:val="21"/>
                    </w:rPr>
                    <w:t>利旧改造</w:t>
                  </w:r>
                </w:p>
              </w:tc>
            </w:tr>
            <w:tr w14:paraId="5062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D1FB918">
                  <w:pPr>
                    <w:pStyle w:val="11"/>
                    <w:rPr>
                      <w:rFonts w:ascii="Times New Roman" w:hAnsi="Times New Roman"/>
                    </w:rPr>
                  </w:pPr>
                </w:p>
              </w:tc>
              <w:tc>
                <w:tcPr>
                  <w:tcW w:w="673" w:type="dxa"/>
                  <w:vMerge w:val="continue"/>
                  <w:vAlign w:val="center"/>
                </w:tcPr>
                <w:p w14:paraId="406C1508">
                  <w:pPr>
                    <w:jc w:val="center"/>
                    <w:outlineLvl w:val="0"/>
                    <w:rPr>
                      <w:szCs w:val="21"/>
                    </w:rPr>
                  </w:pPr>
                </w:p>
              </w:tc>
              <w:tc>
                <w:tcPr>
                  <w:tcW w:w="1304" w:type="dxa"/>
                  <w:vAlign w:val="center"/>
                </w:tcPr>
                <w:p w14:paraId="07A6A77E">
                  <w:pPr>
                    <w:jc w:val="center"/>
                    <w:outlineLvl w:val="0"/>
                    <w:rPr>
                      <w:szCs w:val="21"/>
                    </w:rPr>
                  </w:pPr>
                  <w:r>
                    <w:rPr>
                      <w:rFonts w:hint="eastAsia"/>
                      <w:szCs w:val="21"/>
                    </w:rPr>
                    <w:t>包装区</w:t>
                  </w:r>
                </w:p>
              </w:tc>
              <w:tc>
                <w:tcPr>
                  <w:tcW w:w="4405" w:type="dxa"/>
                  <w:vAlign w:val="center"/>
                </w:tcPr>
                <w:p w14:paraId="0F5DA8A8">
                  <w:pPr>
                    <w:jc w:val="center"/>
                    <w:outlineLvl w:val="0"/>
                    <w:rPr>
                      <w:szCs w:val="21"/>
                    </w:rPr>
                  </w:pPr>
                  <w:r>
                    <w:rPr>
                      <w:rFonts w:hint="eastAsia"/>
                      <w:szCs w:val="21"/>
                    </w:rPr>
                    <w:t>包装区位于东区生产厂房的中部，混合区南面，占地面积245m</w:t>
                  </w:r>
                  <w:r>
                    <w:rPr>
                      <w:rFonts w:hint="eastAsia"/>
                      <w:szCs w:val="21"/>
                      <w:vertAlign w:val="superscript"/>
                    </w:rPr>
                    <w:t>2</w:t>
                  </w:r>
                  <w:r>
                    <w:rPr>
                      <w:rFonts w:hint="eastAsia"/>
                      <w:szCs w:val="21"/>
                    </w:rPr>
                    <w:t>，轻钢结构H=8m/1F，主要用于产品的包装。</w:t>
                  </w:r>
                </w:p>
              </w:tc>
              <w:tc>
                <w:tcPr>
                  <w:tcW w:w="799" w:type="dxa"/>
                  <w:vAlign w:val="center"/>
                </w:tcPr>
                <w:p w14:paraId="1EF0F4C5">
                  <w:pPr>
                    <w:jc w:val="center"/>
                    <w:rPr>
                      <w:szCs w:val="21"/>
                    </w:rPr>
                  </w:pPr>
                  <w:r>
                    <w:rPr>
                      <w:rFonts w:hint="eastAsia"/>
                      <w:szCs w:val="21"/>
                    </w:rPr>
                    <w:t>利旧改造</w:t>
                  </w:r>
                </w:p>
              </w:tc>
            </w:tr>
            <w:tr w14:paraId="1E2D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22428D1F">
                  <w:pPr>
                    <w:pStyle w:val="11"/>
                    <w:rPr>
                      <w:rFonts w:ascii="Times New Roman" w:hAnsi="Times New Roman"/>
                    </w:rPr>
                  </w:pPr>
                </w:p>
              </w:tc>
              <w:tc>
                <w:tcPr>
                  <w:tcW w:w="673" w:type="dxa"/>
                  <w:vMerge w:val="continue"/>
                  <w:vAlign w:val="center"/>
                </w:tcPr>
                <w:p w14:paraId="17E7005D">
                  <w:pPr>
                    <w:jc w:val="center"/>
                    <w:outlineLvl w:val="0"/>
                    <w:rPr>
                      <w:szCs w:val="21"/>
                    </w:rPr>
                  </w:pPr>
                </w:p>
              </w:tc>
              <w:tc>
                <w:tcPr>
                  <w:tcW w:w="1304" w:type="dxa"/>
                  <w:vAlign w:val="center"/>
                </w:tcPr>
                <w:p w14:paraId="166FBE2D">
                  <w:pPr>
                    <w:jc w:val="center"/>
                    <w:outlineLvl w:val="0"/>
                    <w:rPr>
                      <w:szCs w:val="21"/>
                    </w:rPr>
                  </w:pPr>
                  <w:r>
                    <w:rPr>
                      <w:rFonts w:hint="eastAsia"/>
                      <w:szCs w:val="21"/>
                    </w:rPr>
                    <w:t>车辆周转区</w:t>
                  </w:r>
                </w:p>
              </w:tc>
              <w:tc>
                <w:tcPr>
                  <w:tcW w:w="4405" w:type="dxa"/>
                  <w:vAlign w:val="center"/>
                </w:tcPr>
                <w:p w14:paraId="326650A9">
                  <w:pPr>
                    <w:jc w:val="center"/>
                    <w:outlineLvl w:val="0"/>
                    <w:rPr>
                      <w:szCs w:val="21"/>
                    </w:rPr>
                  </w:pPr>
                  <w:r>
                    <w:rPr>
                      <w:rFonts w:hint="eastAsia"/>
                      <w:szCs w:val="21"/>
                    </w:rPr>
                    <w:t>车辆周转区位于东区生产厂房的中部，包装区南面，占地面积245m</w:t>
                  </w:r>
                  <w:r>
                    <w:rPr>
                      <w:rFonts w:hint="eastAsia"/>
                      <w:szCs w:val="21"/>
                      <w:vertAlign w:val="superscript"/>
                    </w:rPr>
                    <w:t>2</w:t>
                  </w:r>
                  <w:r>
                    <w:rPr>
                      <w:rFonts w:hint="eastAsia"/>
                      <w:szCs w:val="21"/>
                    </w:rPr>
                    <w:t>，轻钢结构H=8m/1F，主要用于车辆的装卸和周转。</w:t>
                  </w:r>
                </w:p>
              </w:tc>
              <w:tc>
                <w:tcPr>
                  <w:tcW w:w="799" w:type="dxa"/>
                  <w:vAlign w:val="center"/>
                </w:tcPr>
                <w:p w14:paraId="1FA93BBC">
                  <w:pPr>
                    <w:jc w:val="center"/>
                    <w:rPr>
                      <w:szCs w:val="21"/>
                    </w:rPr>
                  </w:pPr>
                  <w:r>
                    <w:rPr>
                      <w:rFonts w:hint="eastAsia"/>
                      <w:szCs w:val="21"/>
                    </w:rPr>
                    <w:t>利旧改造</w:t>
                  </w:r>
                </w:p>
              </w:tc>
            </w:tr>
            <w:tr w14:paraId="3F7C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15C5B176">
                  <w:pPr>
                    <w:pStyle w:val="11"/>
                    <w:rPr>
                      <w:rFonts w:ascii="Times New Roman" w:hAnsi="Times New Roman"/>
                    </w:rPr>
                  </w:pPr>
                </w:p>
              </w:tc>
              <w:tc>
                <w:tcPr>
                  <w:tcW w:w="673" w:type="dxa"/>
                  <w:vMerge w:val="continue"/>
                  <w:vAlign w:val="center"/>
                </w:tcPr>
                <w:p w14:paraId="3D8F338D">
                  <w:pPr>
                    <w:jc w:val="center"/>
                    <w:outlineLvl w:val="0"/>
                    <w:rPr>
                      <w:szCs w:val="21"/>
                    </w:rPr>
                  </w:pPr>
                </w:p>
              </w:tc>
              <w:tc>
                <w:tcPr>
                  <w:tcW w:w="1304" w:type="dxa"/>
                  <w:vAlign w:val="center"/>
                </w:tcPr>
                <w:p w14:paraId="5A1368C9">
                  <w:pPr>
                    <w:jc w:val="center"/>
                    <w:outlineLvl w:val="0"/>
                    <w:rPr>
                      <w:szCs w:val="21"/>
                    </w:rPr>
                  </w:pPr>
                  <w:r>
                    <w:rPr>
                      <w:rFonts w:hint="eastAsia"/>
                      <w:szCs w:val="21"/>
                    </w:rPr>
                    <w:t>成品库</w:t>
                  </w:r>
                </w:p>
              </w:tc>
              <w:tc>
                <w:tcPr>
                  <w:tcW w:w="4405" w:type="dxa"/>
                  <w:vAlign w:val="center"/>
                </w:tcPr>
                <w:p w14:paraId="744911F3">
                  <w:pPr>
                    <w:jc w:val="center"/>
                    <w:outlineLvl w:val="0"/>
                    <w:rPr>
                      <w:szCs w:val="21"/>
                    </w:rPr>
                  </w:pPr>
                  <w:r>
                    <w:rPr>
                      <w:rFonts w:hint="eastAsia"/>
                      <w:szCs w:val="21"/>
                    </w:rPr>
                    <w:t>成品库位于东区生产厂房的南部，占地面积255m</w:t>
                  </w:r>
                  <w:r>
                    <w:rPr>
                      <w:rFonts w:hint="eastAsia"/>
                      <w:szCs w:val="21"/>
                      <w:vertAlign w:val="superscript"/>
                    </w:rPr>
                    <w:t>2</w:t>
                  </w:r>
                  <w:r>
                    <w:rPr>
                      <w:rFonts w:hint="eastAsia"/>
                      <w:szCs w:val="21"/>
                    </w:rPr>
                    <w:t>，轻钢结构H=8m/1F，主要用于分区堆放成品待售。</w:t>
                  </w:r>
                </w:p>
              </w:tc>
              <w:tc>
                <w:tcPr>
                  <w:tcW w:w="799" w:type="dxa"/>
                  <w:vAlign w:val="center"/>
                </w:tcPr>
                <w:p w14:paraId="2A34126D">
                  <w:pPr>
                    <w:jc w:val="center"/>
                    <w:rPr>
                      <w:szCs w:val="21"/>
                    </w:rPr>
                  </w:pPr>
                  <w:r>
                    <w:rPr>
                      <w:rFonts w:hint="eastAsia"/>
                      <w:szCs w:val="21"/>
                    </w:rPr>
                    <w:t>利旧改造</w:t>
                  </w:r>
                </w:p>
              </w:tc>
            </w:tr>
            <w:tr w14:paraId="3474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09A06288">
                  <w:pPr>
                    <w:jc w:val="center"/>
                    <w:outlineLvl w:val="0"/>
                    <w:rPr>
                      <w:b/>
                      <w:bCs/>
                      <w:szCs w:val="21"/>
                    </w:rPr>
                  </w:pPr>
                  <w:bookmarkStart w:id="17" w:name="_Toc14473"/>
                  <w:r>
                    <w:rPr>
                      <w:b/>
                      <w:bCs/>
                      <w:szCs w:val="21"/>
                    </w:rPr>
                    <w:t>辅助工程</w:t>
                  </w:r>
                  <w:bookmarkEnd w:id="17"/>
                </w:p>
              </w:tc>
              <w:tc>
                <w:tcPr>
                  <w:tcW w:w="1977" w:type="dxa"/>
                  <w:gridSpan w:val="2"/>
                  <w:shd w:val="clear" w:color="auto" w:fill="auto"/>
                  <w:vAlign w:val="center"/>
                </w:tcPr>
                <w:p w14:paraId="5D2E3480">
                  <w:pPr>
                    <w:jc w:val="center"/>
                    <w:rPr>
                      <w:kern w:val="0"/>
                      <w:szCs w:val="21"/>
                    </w:rPr>
                  </w:pPr>
                  <w:r>
                    <w:rPr>
                      <w:kern w:val="0"/>
                      <w:szCs w:val="21"/>
                    </w:rPr>
                    <w:t>办公</w:t>
                  </w:r>
                  <w:r>
                    <w:rPr>
                      <w:rFonts w:hint="eastAsia"/>
                      <w:kern w:val="0"/>
                      <w:szCs w:val="21"/>
                    </w:rPr>
                    <w:t>生活区</w:t>
                  </w:r>
                </w:p>
              </w:tc>
              <w:tc>
                <w:tcPr>
                  <w:tcW w:w="4405" w:type="dxa"/>
                  <w:shd w:val="clear" w:color="auto" w:fill="auto"/>
                  <w:vAlign w:val="center"/>
                </w:tcPr>
                <w:p w14:paraId="2C71F406">
                  <w:pPr>
                    <w:jc w:val="center"/>
                    <w:rPr>
                      <w:szCs w:val="21"/>
                    </w:rPr>
                  </w:pPr>
                  <w:r>
                    <w:rPr>
                      <w:rFonts w:hint="eastAsia"/>
                      <w:szCs w:val="21"/>
                    </w:rPr>
                    <w:t>项目区不设置办公生活区，依托云南建工云岭水泥有限公司已建的配套设施，位于项目东区生产厂房的东面150m处，</w:t>
                  </w:r>
                  <w:r>
                    <w:rPr>
                      <w:szCs w:val="21"/>
                    </w:rPr>
                    <w:t>为</w:t>
                  </w:r>
                  <w:r>
                    <w:rPr>
                      <w:rFonts w:hint="eastAsia"/>
                      <w:szCs w:val="21"/>
                    </w:rPr>
                    <w:t>4幢5层的砖混</w:t>
                  </w:r>
                  <w:r>
                    <w:rPr>
                      <w:szCs w:val="21"/>
                    </w:rPr>
                    <w:t>结构，包含办公室</w:t>
                  </w:r>
                  <w:r>
                    <w:rPr>
                      <w:rFonts w:hint="eastAsia"/>
                      <w:szCs w:val="21"/>
                    </w:rPr>
                    <w:t>、食堂</w:t>
                  </w:r>
                  <w:r>
                    <w:rPr>
                      <w:szCs w:val="21"/>
                    </w:rPr>
                    <w:t>等</w:t>
                  </w:r>
                  <w:r>
                    <w:rPr>
                      <w:rFonts w:hint="eastAsia"/>
                      <w:szCs w:val="21"/>
                    </w:rPr>
                    <w:t>。本项目租用其中一层。</w:t>
                  </w:r>
                </w:p>
              </w:tc>
              <w:tc>
                <w:tcPr>
                  <w:tcW w:w="799" w:type="dxa"/>
                  <w:shd w:val="clear" w:color="auto" w:fill="auto"/>
                  <w:vAlign w:val="center"/>
                </w:tcPr>
                <w:p w14:paraId="5629EB81">
                  <w:pPr>
                    <w:jc w:val="center"/>
                    <w:rPr>
                      <w:szCs w:val="21"/>
                    </w:rPr>
                  </w:pPr>
                  <w:r>
                    <w:rPr>
                      <w:szCs w:val="21"/>
                    </w:rPr>
                    <w:t>依托</w:t>
                  </w:r>
                  <w:r>
                    <w:rPr>
                      <w:rFonts w:hint="eastAsia"/>
                      <w:szCs w:val="21"/>
                    </w:rPr>
                    <w:t>原有</w:t>
                  </w:r>
                </w:p>
              </w:tc>
            </w:tr>
            <w:tr w14:paraId="630C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vMerge w:val="continue"/>
                  <w:vAlign w:val="center"/>
                </w:tcPr>
                <w:p w14:paraId="3E0315E0">
                  <w:pPr>
                    <w:jc w:val="center"/>
                    <w:rPr>
                      <w:b/>
                      <w:bCs/>
                      <w:szCs w:val="21"/>
                    </w:rPr>
                  </w:pPr>
                </w:p>
              </w:tc>
              <w:tc>
                <w:tcPr>
                  <w:tcW w:w="1977" w:type="dxa"/>
                  <w:gridSpan w:val="2"/>
                  <w:shd w:val="clear" w:color="auto" w:fill="auto"/>
                  <w:vAlign w:val="center"/>
                </w:tcPr>
                <w:p w14:paraId="6E8D590E">
                  <w:pPr>
                    <w:jc w:val="center"/>
                    <w:rPr>
                      <w:kern w:val="0"/>
                      <w:szCs w:val="21"/>
                    </w:rPr>
                  </w:pPr>
                  <w:r>
                    <w:rPr>
                      <w:rFonts w:hint="eastAsia"/>
                      <w:kern w:val="0"/>
                      <w:szCs w:val="21"/>
                    </w:rPr>
                    <w:t>出入口</w:t>
                  </w:r>
                </w:p>
              </w:tc>
              <w:tc>
                <w:tcPr>
                  <w:tcW w:w="4405" w:type="dxa"/>
                  <w:shd w:val="clear" w:color="auto" w:fill="auto"/>
                  <w:vAlign w:val="center"/>
                </w:tcPr>
                <w:p w14:paraId="0609C1D3">
                  <w:pPr>
                    <w:jc w:val="center"/>
                    <w:rPr>
                      <w:szCs w:val="21"/>
                    </w:rPr>
                  </w:pPr>
                  <w:r>
                    <w:rPr>
                      <w:rFonts w:hint="eastAsia"/>
                      <w:szCs w:val="21"/>
                    </w:rPr>
                    <w:t>云南建工云岭水泥有限公司位于整个厂区设置南北两个出入口，南侧出入口主要为人员进出口，北侧出入口主要为货物进出口；项目区东西两个厂房均设置有1个进出口便于物料运输。</w:t>
                  </w:r>
                </w:p>
              </w:tc>
              <w:tc>
                <w:tcPr>
                  <w:tcW w:w="799" w:type="dxa"/>
                  <w:shd w:val="clear" w:color="auto" w:fill="auto"/>
                  <w:vAlign w:val="center"/>
                </w:tcPr>
                <w:p w14:paraId="7ED99DF0">
                  <w:pPr>
                    <w:jc w:val="center"/>
                    <w:rPr>
                      <w:szCs w:val="21"/>
                    </w:rPr>
                  </w:pPr>
                  <w:r>
                    <w:rPr>
                      <w:szCs w:val="21"/>
                    </w:rPr>
                    <w:t>依托</w:t>
                  </w:r>
                  <w:r>
                    <w:rPr>
                      <w:rFonts w:hint="eastAsia"/>
                      <w:szCs w:val="21"/>
                    </w:rPr>
                    <w:t>原有</w:t>
                  </w:r>
                </w:p>
              </w:tc>
            </w:tr>
            <w:tr w14:paraId="645E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54" w:type="dxa"/>
                  <w:vMerge w:val="continue"/>
                  <w:vAlign w:val="center"/>
                </w:tcPr>
                <w:p w14:paraId="611574FE">
                  <w:pPr>
                    <w:jc w:val="center"/>
                    <w:rPr>
                      <w:b/>
                      <w:bCs/>
                      <w:szCs w:val="21"/>
                    </w:rPr>
                  </w:pPr>
                </w:p>
              </w:tc>
              <w:tc>
                <w:tcPr>
                  <w:tcW w:w="1977" w:type="dxa"/>
                  <w:gridSpan w:val="2"/>
                  <w:vAlign w:val="center"/>
                </w:tcPr>
                <w:p w14:paraId="377AC62E">
                  <w:pPr>
                    <w:jc w:val="center"/>
                    <w:rPr>
                      <w:kern w:val="0"/>
                      <w:szCs w:val="21"/>
                    </w:rPr>
                  </w:pPr>
                  <w:r>
                    <w:rPr>
                      <w:rFonts w:hint="eastAsia"/>
                      <w:kern w:val="0"/>
                      <w:szCs w:val="21"/>
                    </w:rPr>
                    <w:t>公厕</w:t>
                  </w:r>
                </w:p>
              </w:tc>
              <w:tc>
                <w:tcPr>
                  <w:tcW w:w="4405" w:type="dxa"/>
                  <w:vAlign w:val="center"/>
                </w:tcPr>
                <w:p w14:paraId="74CB5D3F">
                  <w:pPr>
                    <w:jc w:val="center"/>
                    <w:rPr>
                      <w:kern w:val="0"/>
                      <w:szCs w:val="21"/>
                    </w:rPr>
                  </w:pPr>
                  <w:r>
                    <w:rPr>
                      <w:rFonts w:hint="eastAsia"/>
                      <w:szCs w:val="21"/>
                    </w:rPr>
                    <w:t>项目区不设置公厕，依托云南建工云岭水泥有限公司办公生活区已建的配套设施。</w:t>
                  </w:r>
                </w:p>
              </w:tc>
              <w:tc>
                <w:tcPr>
                  <w:tcW w:w="799" w:type="dxa"/>
                  <w:vAlign w:val="center"/>
                </w:tcPr>
                <w:p w14:paraId="49F3A298">
                  <w:pPr>
                    <w:jc w:val="center"/>
                    <w:rPr>
                      <w:szCs w:val="21"/>
                    </w:rPr>
                  </w:pPr>
                  <w:r>
                    <w:rPr>
                      <w:szCs w:val="21"/>
                    </w:rPr>
                    <w:t>依托</w:t>
                  </w:r>
                  <w:r>
                    <w:rPr>
                      <w:rFonts w:hint="eastAsia"/>
                      <w:szCs w:val="21"/>
                    </w:rPr>
                    <w:t>原有</w:t>
                  </w:r>
                </w:p>
              </w:tc>
            </w:tr>
            <w:tr w14:paraId="556A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2FA6C813">
                  <w:pPr>
                    <w:jc w:val="center"/>
                    <w:outlineLvl w:val="0"/>
                    <w:rPr>
                      <w:b/>
                      <w:bCs/>
                      <w:szCs w:val="21"/>
                    </w:rPr>
                  </w:pPr>
                  <w:bookmarkStart w:id="18" w:name="_Toc23937"/>
                  <w:r>
                    <w:rPr>
                      <w:b/>
                      <w:bCs/>
                      <w:szCs w:val="21"/>
                    </w:rPr>
                    <w:t>公用</w:t>
                  </w:r>
                  <w:bookmarkEnd w:id="18"/>
                </w:p>
                <w:p w14:paraId="7A0DAA42">
                  <w:pPr>
                    <w:jc w:val="center"/>
                    <w:outlineLvl w:val="0"/>
                    <w:rPr>
                      <w:b/>
                      <w:bCs/>
                      <w:szCs w:val="21"/>
                    </w:rPr>
                  </w:pPr>
                  <w:bookmarkStart w:id="19" w:name="_Toc5393"/>
                  <w:r>
                    <w:rPr>
                      <w:b/>
                      <w:bCs/>
                      <w:szCs w:val="21"/>
                    </w:rPr>
                    <w:t>工程</w:t>
                  </w:r>
                  <w:bookmarkEnd w:id="19"/>
                </w:p>
                <w:p w14:paraId="12C3B976">
                  <w:pPr>
                    <w:jc w:val="center"/>
                    <w:rPr>
                      <w:b/>
                      <w:bCs/>
                      <w:szCs w:val="21"/>
                    </w:rPr>
                  </w:pPr>
                </w:p>
              </w:tc>
              <w:tc>
                <w:tcPr>
                  <w:tcW w:w="1977" w:type="dxa"/>
                  <w:gridSpan w:val="2"/>
                  <w:vAlign w:val="center"/>
                </w:tcPr>
                <w:p w14:paraId="2B71EE6A">
                  <w:pPr>
                    <w:jc w:val="center"/>
                    <w:rPr>
                      <w:szCs w:val="21"/>
                    </w:rPr>
                  </w:pPr>
                  <w:r>
                    <w:rPr>
                      <w:szCs w:val="21"/>
                    </w:rPr>
                    <w:t>供电系统</w:t>
                  </w:r>
                </w:p>
              </w:tc>
              <w:tc>
                <w:tcPr>
                  <w:tcW w:w="4405" w:type="dxa"/>
                  <w:vAlign w:val="center"/>
                </w:tcPr>
                <w:p w14:paraId="0459C835">
                  <w:pPr>
                    <w:jc w:val="center"/>
                    <w:rPr>
                      <w:bCs/>
                      <w:szCs w:val="21"/>
                    </w:rPr>
                  </w:pPr>
                  <w:r>
                    <w:rPr>
                      <w:szCs w:val="21"/>
                    </w:rPr>
                    <w:t>项目用电由</w:t>
                  </w:r>
                  <w:r>
                    <w:rPr>
                      <w:rFonts w:hint="eastAsia"/>
                      <w:szCs w:val="21"/>
                    </w:rPr>
                    <w:t>云南建工云岭水泥有限公司</w:t>
                  </w:r>
                  <w:r>
                    <w:rPr>
                      <w:szCs w:val="21"/>
                    </w:rPr>
                    <w:t>已设</w:t>
                  </w:r>
                  <w:r>
                    <w:rPr>
                      <w:rFonts w:hint="eastAsia"/>
                      <w:szCs w:val="21"/>
                    </w:rPr>
                    <w:t>的</w:t>
                  </w:r>
                  <w:r>
                    <w:rPr>
                      <w:szCs w:val="21"/>
                    </w:rPr>
                    <w:t>供电设施接入</w:t>
                  </w:r>
                  <w:r>
                    <w:rPr>
                      <w:rFonts w:hint="eastAsia"/>
                      <w:szCs w:val="21"/>
                    </w:rPr>
                    <w:t>。</w:t>
                  </w:r>
                </w:p>
              </w:tc>
              <w:tc>
                <w:tcPr>
                  <w:tcW w:w="799" w:type="dxa"/>
                  <w:vAlign w:val="center"/>
                </w:tcPr>
                <w:p w14:paraId="2931F06C">
                  <w:pPr>
                    <w:jc w:val="center"/>
                    <w:rPr>
                      <w:szCs w:val="21"/>
                    </w:rPr>
                  </w:pPr>
                  <w:r>
                    <w:rPr>
                      <w:rFonts w:hint="eastAsia"/>
                      <w:szCs w:val="21"/>
                    </w:rPr>
                    <w:t>已建</w:t>
                  </w:r>
                </w:p>
              </w:tc>
            </w:tr>
            <w:tr w14:paraId="128A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continue"/>
                  <w:vAlign w:val="center"/>
                </w:tcPr>
                <w:p w14:paraId="6515C0D3">
                  <w:pPr>
                    <w:jc w:val="center"/>
                    <w:rPr>
                      <w:b/>
                      <w:bCs/>
                      <w:szCs w:val="21"/>
                    </w:rPr>
                  </w:pPr>
                </w:p>
              </w:tc>
              <w:tc>
                <w:tcPr>
                  <w:tcW w:w="1977" w:type="dxa"/>
                  <w:gridSpan w:val="2"/>
                  <w:vAlign w:val="center"/>
                </w:tcPr>
                <w:p w14:paraId="6F12A6D0">
                  <w:pPr>
                    <w:jc w:val="center"/>
                    <w:rPr>
                      <w:szCs w:val="21"/>
                    </w:rPr>
                  </w:pPr>
                  <w:r>
                    <w:rPr>
                      <w:szCs w:val="21"/>
                    </w:rPr>
                    <w:t>供水系统</w:t>
                  </w:r>
                </w:p>
              </w:tc>
              <w:tc>
                <w:tcPr>
                  <w:tcW w:w="4405" w:type="dxa"/>
                  <w:vAlign w:val="center"/>
                </w:tcPr>
                <w:p w14:paraId="128CF8D3">
                  <w:pPr>
                    <w:jc w:val="center"/>
                    <w:rPr>
                      <w:bCs/>
                      <w:szCs w:val="21"/>
                    </w:rPr>
                  </w:pPr>
                  <w:r>
                    <w:rPr>
                      <w:szCs w:val="21"/>
                    </w:rPr>
                    <w:t>项目用水由</w:t>
                  </w:r>
                  <w:r>
                    <w:rPr>
                      <w:rFonts w:hint="eastAsia"/>
                      <w:szCs w:val="21"/>
                    </w:rPr>
                    <w:t>云南建工云岭水泥有限公司已建</w:t>
                  </w:r>
                  <w:r>
                    <w:rPr>
                      <w:szCs w:val="21"/>
                    </w:rPr>
                    <w:t>的供水管网</w:t>
                  </w:r>
                  <w:r>
                    <w:rPr>
                      <w:rFonts w:hint="eastAsia"/>
                      <w:szCs w:val="21"/>
                    </w:rPr>
                    <w:t>供应。</w:t>
                  </w:r>
                </w:p>
              </w:tc>
              <w:tc>
                <w:tcPr>
                  <w:tcW w:w="799" w:type="dxa"/>
                  <w:vAlign w:val="center"/>
                </w:tcPr>
                <w:p w14:paraId="069F2B8D">
                  <w:pPr>
                    <w:jc w:val="center"/>
                    <w:outlineLvl w:val="0"/>
                    <w:rPr>
                      <w:szCs w:val="21"/>
                    </w:rPr>
                  </w:pPr>
                  <w:r>
                    <w:rPr>
                      <w:rFonts w:hint="eastAsia"/>
                      <w:szCs w:val="21"/>
                    </w:rPr>
                    <w:t>已建</w:t>
                  </w:r>
                </w:p>
              </w:tc>
            </w:tr>
            <w:tr w14:paraId="4A7C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56F706BF">
                  <w:pPr>
                    <w:jc w:val="center"/>
                    <w:rPr>
                      <w:b/>
                      <w:bCs/>
                      <w:szCs w:val="21"/>
                    </w:rPr>
                  </w:pPr>
                </w:p>
              </w:tc>
              <w:tc>
                <w:tcPr>
                  <w:tcW w:w="1977" w:type="dxa"/>
                  <w:gridSpan w:val="2"/>
                  <w:vAlign w:val="center"/>
                </w:tcPr>
                <w:p w14:paraId="52E85AEB">
                  <w:pPr>
                    <w:jc w:val="center"/>
                    <w:rPr>
                      <w:szCs w:val="21"/>
                    </w:rPr>
                  </w:pPr>
                  <w:r>
                    <w:rPr>
                      <w:szCs w:val="21"/>
                    </w:rPr>
                    <w:t>排水系统</w:t>
                  </w:r>
                </w:p>
              </w:tc>
              <w:tc>
                <w:tcPr>
                  <w:tcW w:w="4405" w:type="dxa"/>
                  <w:vAlign w:val="center"/>
                </w:tcPr>
                <w:p w14:paraId="786F861F">
                  <w:r>
                    <w:rPr>
                      <w:rFonts w:hint="eastAsia"/>
                      <w:szCs w:val="21"/>
                    </w:rPr>
                    <w:t>云南建工云岭水泥有限公司已</w:t>
                  </w:r>
                  <w:r>
                    <w:rPr>
                      <w:rFonts w:hint="eastAsia"/>
                    </w:rPr>
                    <w:t>进行严格的雨污分流制：</w:t>
                  </w:r>
                </w:p>
                <w:p w14:paraId="546F9973">
                  <w:r>
                    <w:rPr>
                      <w:rFonts w:hint="eastAsia"/>
                    </w:rPr>
                    <w:t>雨水：</w:t>
                  </w:r>
                  <w:r>
                    <w:t>厂区</w:t>
                  </w:r>
                  <w:r>
                    <w:rPr>
                      <w:rFonts w:hint="eastAsia"/>
                    </w:rPr>
                    <w:t>内已</w:t>
                  </w:r>
                  <w:r>
                    <w:t>进行雨污分流，</w:t>
                  </w:r>
                  <w:r>
                    <w:rPr>
                      <w:rFonts w:hint="eastAsia"/>
                    </w:rPr>
                    <w:t>初期雨水</w:t>
                  </w:r>
                  <w:r>
                    <w:t>经厂区设置的雨水排水沟收集后排至</w:t>
                  </w:r>
                  <w:r>
                    <w:rPr>
                      <w:rFonts w:hint="eastAsia"/>
                    </w:rPr>
                    <w:t>150m</w:t>
                  </w:r>
                  <w:r>
                    <w:rPr>
                      <w:rFonts w:hint="eastAsia"/>
                      <w:vertAlign w:val="superscript"/>
                    </w:rPr>
                    <w:t>3</w:t>
                  </w:r>
                  <w:r>
                    <w:rPr>
                      <w:rFonts w:hint="eastAsia"/>
                    </w:rPr>
                    <w:t>的初期雨水收集池，全部回用于厂区的洒水降尘，不外排。后期雨水排放至附近的雨水沟。本项目生产车间内均设置为密闭的车间，无雨水淋滤而产生初期雨水。</w:t>
                  </w:r>
                </w:p>
                <w:p w14:paraId="4D03860D">
                  <w:r>
                    <w:rPr>
                      <w:rFonts w:hint="eastAsia"/>
                    </w:rPr>
                    <w:t>污水：本项目员工不在厂区内食宿，依托</w:t>
                  </w:r>
                  <w:r>
                    <w:rPr>
                      <w:szCs w:val="21"/>
                    </w:rPr>
                    <w:t>云南建工云岭水泥有限公司已建</w:t>
                  </w:r>
                  <w:r>
                    <w:rPr>
                      <w:rFonts w:hint="eastAsia"/>
                      <w:szCs w:val="21"/>
                    </w:rPr>
                    <w:t>办公生活设施。所产生的</w:t>
                  </w:r>
                  <w:r>
                    <w:rPr>
                      <w:szCs w:val="21"/>
                    </w:rPr>
                    <w:t>生活污水进入云南建工云岭水泥有限公司已建化粪池</w:t>
                  </w:r>
                  <w:r>
                    <w:rPr>
                      <w:rFonts w:hint="eastAsia"/>
                      <w:szCs w:val="21"/>
                    </w:rPr>
                    <w:t>、</w:t>
                  </w:r>
                  <w:r>
                    <w:rPr>
                      <w:szCs w:val="21"/>
                    </w:rPr>
                    <w:t>一体化污水处理设备进行处理达标后，回用于绿化和洒水降尘</w:t>
                  </w:r>
                  <w:r>
                    <w:rPr>
                      <w:rFonts w:hint="eastAsia"/>
                      <w:szCs w:val="21"/>
                    </w:rPr>
                    <w:t>，不外排。</w:t>
                  </w:r>
                </w:p>
              </w:tc>
              <w:tc>
                <w:tcPr>
                  <w:tcW w:w="799" w:type="dxa"/>
                  <w:vAlign w:val="center"/>
                </w:tcPr>
                <w:p w14:paraId="5550C3F4">
                  <w:pPr>
                    <w:pStyle w:val="6"/>
                    <w:jc w:val="center"/>
                    <w:rPr>
                      <w:sz w:val="21"/>
                      <w:szCs w:val="21"/>
                    </w:rPr>
                  </w:pPr>
                  <w:r>
                    <w:rPr>
                      <w:sz w:val="21"/>
                      <w:szCs w:val="21"/>
                    </w:rPr>
                    <w:t>依托</w:t>
                  </w:r>
                </w:p>
              </w:tc>
            </w:tr>
            <w:tr w14:paraId="11DB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40376A59">
                  <w:pPr>
                    <w:jc w:val="center"/>
                    <w:outlineLvl w:val="0"/>
                    <w:rPr>
                      <w:b/>
                      <w:bCs/>
                      <w:szCs w:val="21"/>
                    </w:rPr>
                  </w:pPr>
                  <w:bookmarkStart w:id="20" w:name="_Toc3564"/>
                  <w:r>
                    <w:rPr>
                      <w:b/>
                      <w:bCs/>
                      <w:szCs w:val="21"/>
                    </w:rPr>
                    <w:t>环保</w:t>
                  </w:r>
                  <w:bookmarkEnd w:id="20"/>
                </w:p>
                <w:p w14:paraId="12776561">
                  <w:pPr>
                    <w:jc w:val="center"/>
                    <w:outlineLvl w:val="0"/>
                    <w:rPr>
                      <w:b/>
                      <w:bCs/>
                      <w:szCs w:val="21"/>
                    </w:rPr>
                  </w:pPr>
                  <w:bookmarkStart w:id="21" w:name="_Toc10030"/>
                  <w:r>
                    <w:rPr>
                      <w:b/>
                      <w:bCs/>
                      <w:szCs w:val="21"/>
                    </w:rPr>
                    <w:t>工程</w:t>
                  </w:r>
                  <w:bookmarkEnd w:id="21"/>
                </w:p>
              </w:tc>
              <w:tc>
                <w:tcPr>
                  <w:tcW w:w="673" w:type="dxa"/>
                  <w:vAlign w:val="center"/>
                </w:tcPr>
                <w:p w14:paraId="6D3B55D6">
                  <w:pPr>
                    <w:jc w:val="center"/>
                    <w:rPr>
                      <w:szCs w:val="21"/>
                    </w:rPr>
                  </w:pPr>
                  <w:r>
                    <w:rPr>
                      <w:szCs w:val="21"/>
                    </w:rPr>
                    <w:t>噪声</w:t>
                  </w:r>
                </w:p>
              </w:tc>
              <w:tc>
                <w:tcPr>
                  <w:tcW w:w="1304" w:type="dxa"/>
                  <w:vAlign w:val="center"/>
                </w:tcPr>
                <w:p w14:paraId="46902394">
                  <w:pPr>
                    <w:jc w:val="center"/>
                    <w:rPr>
                      <w:kern w:val="0"/>
                      <w:szCs w:val="21"/>
                    </w:rPr>
                  </w:pPr>
                  <w:r>
                    <w:rPr>
                      <w:kern w:val="0"/>
                      <w:szCs w:val="21"/>
                    </w:rPr>
                    <w:t>减震、吸音装置</w:t>
                  </w:r>
                </w:p>
              </w:tc>
              <w:tc>
                <w:tcPr>
                  <w:tcW w:w="4405" w:type="dxa"/>
                  <w:vAlign w:val="center"/>
                </w:tcPr>
                <w:p w14:paraId="5024919D">
                  <w:pPr>
                    <w:rPr>
                      <w:szCs w:val="21"/>
                    </w:rPr>
                  </w:pPr>
                  <w:r>
                    <w:rPr>
                      <w:kern w:val="0"/>
                      <w:szCs w:val="21"/>
                    </w:rPr>
                    <w:t>若干，用于设备减震、降噪</w:t>
                  </w:r>
                </w:p>
              </w:tc>
              <w:tc>
                <w:tcPr>
                  <w:tcW w:w="799" w:type="dxa"/>
                  <w:vAlign w:val="center"/>
                </w:tcPr>
                <w:p w14:paraId="7FEF7EEF">
                  <w:pPr>
                    <w:jc w:val="center"/>
                    <w:rPr>
                      <w:szCs w:val="21"/>
                    </w:rPr>
                  </w:pPr>
                  <w:r>
                    <w:rPr>
                      <w:szCs w:val="21"/>
                    </w:rPr>
                    <w:t>新建</w:t>
                  </w:r>
                </w:p>
              </w:tc>
            </w:tr>
            <w:tr w14:paraId="13EC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54" w:type="dxa"/>
                  <w:vMerge w:val="continue"/>
                  <w:vAlign w:val="center"/>
                </w:tcPr>
                <w:p w14:paraId="1FBD98C7">
                  <w:pPr>
                    <w:jc w:val="center"/>
                    <w:rPr>
                      <w:b/>
                      <w:bCs/>
                      <w:szCs w:val="21"/>
                    </w:rPr>
                  </w:pPr>
                </w:p>
              </w:tc>
              <w:tc>
                <w:tcPr>
                  <w:tcW w:w="673" w:type="dxa"/>
                  <w:vMerge w:val="restart"/>
                  <w:vAlign w:val="center"/>
                </w:tcPr>
                <w:p w14:paraId="5E9B13CF">
                  <w:pPr>
                    <w:jc w:val="center"/>
                    <w:rPr>
                      <w:szCs w:val="21"/>
                    </w:rPr>
                  </w:pPr>
                  <w:r>
                    <w:rPr>
                      <w:szCs w:val="21"/>
                    </w:rPr>
                    <w:t>废水</w:t>
                  </w:r>
                </w:p>
              </w:tc>
              <w:tc>
                <w:tcPr>
                  <w:tcW w:w="1304" w:type="dxa"/>
                  <w:vAlign w:val="center"/>
                </w:tcPr>
                <w:p w14:paraId="20A903F5">
                  <w:pPr>
                    <w:jc w:val="center"/>
                    <w:rPr>
                      <w:kern w:val="0"/>
                      <w:szCs w:val="21"/>
                    </w:rPr>
                  </w:pPr>
                  <w:r>
                    <w:rPr>
                      <w:rFonts w:hint="eastAsia"/>
                      <w:kern w:val="0"/>
                      <w:szCs w:val="21"/>
                    </w:rPr>
                    <w:t>生活污水</w:t>
                  </w:r>
                </w:p>
              </w:tc>
              <w:tc>
                <w:tcPr>
                  <w:tcW w:w="4405" w:type="dxa"/>
                  <w:vAlign w:val="center"/>
                </w:tcPr>
                <w:p w14:paraId="5EB0A431">
                  <w:pPr>
                    <w:rPr>
                      <w:bCs/>
                      <w:szCs w:val="21"/>
                    </w:rPr>
                  </w:pPr>
                  <w:r>
                    <w:rPr>
                      <w:rFonts w:hint="eastAsia"/>
                    </w:rPr>
                    <w:t>本项目生产过程中发酵区产生的渗滤液经收集沟（共60m）收集至</w:t>
                  </w:r>
                  <w:r>
                    <w:rPr>
                      <w:rFonts w:hint="eastAsia" w:eastAsiaTheme="minorEastAsia"/>
                      <w:bCs/>
                      <w:szCs w:val="21"/>
                    </w:rPr>
                    <w:t>1个容积为2</w:t>
                  </w:r>
                  <w:r>
                    <w:rPr>
                      <w:rFonts w:eastAsiaTheme="minorEastAsia"/>
                      <w:bCs/>
                      <w:szCs w:val="21"/>
                    </w:rPr>
                    <w:t>m</w:t>
                  </w:r>
                  <w:r>
                    <w:rPr>
                      <w:rFonts w:eastAsiaTheme="minorEastAsia"/>
                      <w:bCs/>
                      <w:szCs w:val="21"/>
                      <w:vertAlign w:val="superscript"/>
                    </w:rPr>
                    <w:t>3</w:t>
                  </w:r>
                  <w:r>
                    <w:rPr>
                      <w:rFonts w:hint="eastAsia" w:eastAsiaTheme="minorEastAsia"/>
                      <w:bCs/>
                      <w:szCs w:val="21"/>
                    </w:rPr>
                    <w:t>的</w:t>
                  </w:r>
                  <w:r>
                    <w:rPr>
                      <w:rFonts w:hint="eastAsia"/>
                    </w:rPr>
                    <w:t>收集池暂存后，全部回用于发酵过程，不外排。员工不在厂区内食宿，依托</w:t>
                  </w:r>
                  <w:r>
                    <w:rPr>
                      <w:szCs w:val="21"/>
                    </w:rPr>
                    <w:t>云南建工云岭水泥有限公司已建</w:t>
                  </w:r>
                  <w:r>
                    <w:rPr>
                      <w:rFonts w:hint="eastAsia"/>
                      <w:szCs w:val="21"/>
                    </w:rPr>
                    <w:t>办公生活设施。所产生的</w:t>
                  </w:r>
                  <w:r>
                    <w:rPr>
                      <w:szCs w:val="21"/>
                    </w:rPr>
                    <w:t>生活污水进入云南建工云岭水泥有限公司已建化粪池</w:t>
                  </w:r>
                  <w:r>
                    <w:rPr>
                      <w:rFonts w:hint="eastAsia"/>
                      <w:szCs w:val="21"/>
                    </w:rPr>
                    <w:t>、</w:t>
                  </w:r>
                  <w:r>
                    <w:rPr>
                      <w:szCs w:val="21"/>
                    </w:rPr>
                    <w:t>一体化污水处理设备进行处理达标后，回用于绿化和洒水降尘</w:t>
                  </w:r>
                  <w:r>
                    <w:rPr>
                      <w:rFonts w:hint="eastAsia"/>
                      <w:szCs w:val="21"/>
                    </w:rPr>
                    <w:t>，不外排。</w:t>
                  </w:r>
                </w:p>
              </w:tc>
              <w:tc>
                <w:tcPr>
                  <w:tcW w:w="799" w:type="dxa"/>
                  <w:vAlign w:val="center"/>
                </w:tcPr>
                <w:p w14:paraId="62C7887A">
                  <w:pPr>
                    <w:pStyle w:val="49"/>
                    <w:rPr>
                      <w:szCs w:val="21"/>
                    </w:rPr>
                  </w:pPr>
                  <w:r>
                    <w:rPr>
                      <w:rFonts w:hint="eastAsia"/>
                      <w:szCs w:val="21"/>
                    </w:rPr>
                    <w:t>依托</w:t>
                  </w:r>
                </w:p>
              </w:tc>
            </w:tr>
            <w:tr w14:paraId="6AA8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5141D87F">
                  <w:pPr>
                    <w:jc w:val="center"/>
                    <w:rPr>
                      <w:b/>
                      <w:bCs/>
                      <w:szCs w:val="21"/>
                    </w:rPr>
                  </w:pPr>
                </w:p>
              </w:tc>
              <w:tc>
                <w:tcPr>
                  <w:tcW w:w="673" w:type="dxa"/>
                  <w:vMerge w:val="restart"/>
                  <w:vAlign w:val="center"/>
                </w:tcPr>
                <w:p w14:paraId="6C56BAC1">
                  <w:pPr>
                    <w:jc w:val="center"/>
                    <w:rPr>
                      <w:szCs w:val="21"/>
                    </w:rPr>
                  </w:pPr>
                  <w:r>
                    <w:rPr>
                      <w:szCs w:val="21"/>
                    </w:rPr>
                    <w:t>固废</w:t>
                  </w:r>
                </w:p>
              </w:tc>
              <w:tc>
                <w:tcPr>
                  <w:tcW w:w="1304" w:type="dxa"/>
                  <w:vAlign w:val="center"/>
                </w:tcPr>
                <w:p w14:paraId="19A09C40">
                  <w:pPr>
                    <w:jc w:val="center"/>
                    <w:rPr>
                      <w:kern w:val="0"/>
                      <w:szCs w:val="21"/>
                    </w:rPr>
                  </w:pPr>
                  <w:r>
                    <w:rPr>
                      <w:kern w:val="0"/>
                      <w:szCs w:val="21"/>
                    </w:rPr>
                    <w:t>危险废物</w:t>
                  </w:r>
                </w:p>
              </w:tc>
              <w:tc>
                <w:tcPr>
                  <w:tcW w:w="4405" w:type="dxa"/>
                  <w:vAlign w:val="center"/>
                </w:tcPr>
                <w:p w14:paraId="17C019AF">
                  <w:pPr>
                    <w:rPr>
                      <w:bCs/>
                      <w:szCs w:val="21"/>
                    </w:rPr>
                  </w:pPr>
                  <w:r>
                    <w:rPr>
                      <w:rFonts w:hint="eastAsia"/>
                      <w:bCs/>
                      <w:szCs w:val="21"/>
                    </w:rPr>
                    <w:t>位于东厂房东南面设置1间5m</w:t>
                  </w:r>
                  <w:r>
                    <w:rPr>
                      <w:rFonts w:hint="eastAsia"/>
                      <w:bCs/>
                      <w:szCs w:val="21"/>
                      <w:vertAlign w:val="superscript"/>
                    </w:rPr>
                    <w:t>2</w:t>
                  </w:r>
                  <w:r>
                    <w:rPr>
                      <w:rFonts w:hint="eastAsia"/>
                      <w:bCs/>
                      <w:szCs w:val="21"/>
                    </w:rPr>
                    <w:t>危险废物暂存库，并设置</w:t>
                  </w:r>
                  <w:r>
                    <w:rPr>
                      <w:bCs/>
                      <w:szCs w:val="21"/>
                    </w:rPr>
                    <w:t>危废收集桶，危废统一收集后委托</w:t>
                  </w:r>
                  <w:r>
                    <w:rPr>
                      <w:rFonts w:hint="eastAsia"/>
                      <w:bCs/>
                      <w:szCs w:val="21"/>
                    </w:rPr>
                    <w:t>有资质单位进行</w:t>
                  </w:r>
                  <w:r>
                    <w:rPr>
                      <w:bCs/>
                      <w:szCs w:val="21"/>
                    </w:rPr>
                    <w:t>处理处置</w:t>
                  </w:r>
                  <w:r>
                    <w:rPr>
                      <w:rFonts w:hint="eastAsia"/>
                      <w:bCs/>
                      <w:szCs w:val="21"/>
                    </w:rPr>
                    <w:t>。</w:t>
                  </w:r>
                </w:p>
              </w:tc>
              <w:tc>
                <w:tcPr>
                  <w:tcW w:w="799" w:type="dxa"/>
                  <w:vAlign w:val="center"/>
                </w:tcPr>
                <w:p w14:paraId="5EAAC723">
                  <w:pPr>
                    <w:pStyle w:val="49"/>
                    <w:rPr>
                      <w:szCs w:val="21"/>
                    </w:rPr>
                  </w:pPr>
                  <w:r>
                    <w:rPr>
                      <w:rFonts w:hint="eastAsia"/>
                      <w:szCs w:val="21"/>
                    </w:rPr>
                    <w:t>新建</w:t>
                  </w:r>
                </w:p>
              </w:tc>
            </w:tr>
            <w:tr w14:paraId="63CC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D9E7A80">
                  <w:pPr>
                    <w:jc w:val="center"/>
                    <w:rPr>
                      <w:b/>
                      <w:bCs/>
                      <w:szCs w:val="21"/>
                    </w:rPr>
                  </w:pPr>
                  <w:bookmarkStart w:id="22" w:name="_Hlk495418723"/>
                  <w:bookmarkStart w:id="23" w:name="OLE_LINK4" w:colFirst="2" w:colLast="2"/>
                  <w:bookmarkStart w:id="24" w:name="OLE_LINK3" w:colFirst="2" w:colLast="2"/>
                </w:p>
              </w:tc>
              <w:tc>
                <w:tcPr>
                  <w:tcW w:w="673" w:type="dxa"/>
                  <w:vMerge w:val="continue"/>
                  <w:vAlign w:val="center"/>
                </w:tcPr>
                <w:p w14:paraId="7CC3DA3C">
                  <w:pPr>
                    <w:jc w:val="center"/>
                    <w:rPr>
                      <w:szCs w:val="21"/>
                    </w:rPr>
                  </w:pPr>
                </w:p>
              </w:tc>
              <w:tc>
                <w:tcPr>
                  <w:tcW w:w="1304" w:type="dxa"/>
                  <w:vAlign w:val="center"/>
                </w:tcPr>
                <w:p w14:paraId="1ABFCDFC">
                  <w:pPr>
                    <w:jc w:val="center"/>
                    <w:rPr>
                      <w:szCs w:val="21"/>
                    </w:rPr>
                  </w:pPr>
                  <w:r>
                    <w:rPr>
                      <w:szCs w:val="21"/>
                    </w:rPr>
                    <w:t>垃圾桶</w:t>
                  </w:r>
                </w:p>
              </w:tc>
              <w:tc>
                <w:tcPr>
                  <w:tcW w:w="4405" w:type="dxa"/>
                  <w:vAlign w:val="center"/>
                </w:tcPr>
                <w:p w14:paraId="5644DCF5">
                  <w:pPr>
                    <w:rPr>
                      <w:szCs w:val="21"/>
                    </w:rPr>
                  </w:pPr>
                  <w:r>
                    <w:rPr>
                      <w:szCs w:val="21"/>
                    </w:rPr>
                    <w:t>在</w:t>
                  </w:r>
                  <w:r>
                    <w:rPr>
                      <w:rFonts w:hint="eastAsia"/>
                      <w:szCs w:val="21"/>
                    </w:rPr>
                    <w:t>项目区不同位置设置生活垃圾收集桶</w:t>
                  </w:r>
                </w:p>
              </w:tc>
              <w:tc>
                <w:tcPr>
                  <w:tcW w:w="799" w:type="dxa"/>
                  <w:vAlign w:val="center"/>
                </w:tcPr>
                <w:p w14:paraId="6098897B">
                  <w:pPr>
                    <w:autoSpaceDE w:val="0"/>
                    <w:autoSpaceDN w:val="0"/>
                    <w:adjustRightInd w:val="0"/>
                    <w:jc w:val="center"/>
                    <w:rPr>
                      <w:szCs w:val="21"/>
                    </w:rPr>
                  </w:pPr>
                  <w:r>
                    <w:rPr>
                      <w:rFonts w:hint="eastAsia"/>
                      <w:szCs w:val="21"/>
                    </w:rPr>
                    <w:t>新建</w:t>
                  </w:r>
                </w:p>
              </w:tc>
            </w:tr>
            <w:tr w14:paraId="3DAB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00D206E6">
                  <w:pPr>
                    <w:jc w:val="center"/>
                    <w:rPr>
                      <w:b/>
                      <w:bCs/>
                      <w:szCs w:val="21"/>
                    </w:rPr>
                  </w:pPr>
                </w:p>
              </w:tc>
              <w:tc>
                <w:tcPr>
                  <w:tcW w:w="673" w:type="dxa"/>
                  <w:vMerge w:val="continue"/>
                  <w:vAlign w:val="center"/>
                </w:tcPr>
                <w:p w14:paraId="431F65F7">
                  <w:pPr>
                    <w:jc w:val="center"/>
                    <w:rPr>
                      <w:szCs w:val="21"/>
                    </w:rPr>
                  </w:pPr>
                </w:p>
              </w:tc>
              <w:tc>
                <w:tcPr>
                  <w:tcW w:w="1304" w:type="dxa"/>
                  <w:vAlign w:val="center"/>
                </w:tcPr>
                <w:p w14:paraId="0752A133">
                  <w:pPr>
                    <w:jc w:val="center"/>
                    <w:rPr>
                      <w:szCs w:val="21"/>
                    </w:rPr>
                  </w:pPr>
                  <w:r>
                    <w:rPr>
                      <w:szCs w:val="21"/>
                    </w:rPr>
                    <w:t>一般固废</w:t>
                  </w:r>
                  <w:r>
                    <w:rPr>
                      <w:rFonts w:hint="eastAsia"/>
                      <w:szCs w:val="21"/>
                    </w:rPr>
                    <w:t>暂存库</w:t>
                  </w:r>
                </w:p>
              </w:tc>
              <w:tc>
                <w:tcPr>
                  <w:tcW w:w="4405" w:type="dxa"/>
                  <w:vAlign w:val="center"/>
                </w:tcPr>
                <w:p w14:paraId="7CC6F906">
                  <w:pPr>
                    <w:rPr>
                      <w:kern w:val="0"/>
                      <w:szCs w:val="21"/>
                    </w:rPr>
                  </w:pPr>
                  <w:r>
                    <w:rPr>
                      <w:rFonts w:hint="eastAsia"/>
                      <w:bCs/>
                      <w:szCs w:val="21"/>
                    </w:rPr>
                    <w:t>位于西厂房中部设置1间5m</w:t>
                  </w:r>
                  <w:r>
                    <w:rPr>
                      <w:rFonts w:hint="eastAsia"/>
                      <w:bCs/>
                      <w:szCs w:val="21"/>
                      <w:vertAlign w:val="superscript"/>
                    </w:rPr>
                    <w:t>2</w:t>
                  </w:r>
                  <w:r>
                    <w:rPr>
                      <w:rFonts w:hint="eastAsia"/>
                      <w:bCs/>
                      <w:szCs w:val="21"/>
                    </w:rPr>
                    <w:t>一般固废暂存库，暂存后外售资源回收公司。</w:t>
                  </w:r>
                </w:p>
              </w:tc>
              <w:tc>
                <w:tcPr>
                  <w:tcW w:w="799" w:type="dxa"/>
                  <w:vAlign w:val="center"/>
                </w:tcPr>
                <w:p w14:paraId="78501F46">
                  <w:pPr>
                    <w:autoSpaceDE w:val="0"/>
                    <w:autoSpaceDN w:val="0"/>
                    <w:adjustRightInd w:val="0"/>
                    <w:jc w:val="center"/>
                    <w:rPr>
                      <w:szCs w:val="21"/>
                    </w:rPr>
                  </w:pPr>
                  <w:r>
                    <w:rPr>
                      <w:szCs w:val="21"/>
                    </w:rPr>
                    <w:t>新建</w:t>
                  </w:r>
                </w:p>
              </w:tc>
            </w:tr>
            <w:bookmarkEnd w:id="22"/>
            <w:bookmarkEnd w:id="23"/>
            <w:bookmarkEnd w:id="24"/>
            <w:tr w14:paraId="1E74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54" w:type="dxa"/>
                  <w:vMerge w:val="continue"/>
                  <w:vAlign w:val="center"/>
                </w:tcPr>
                <w:p w14:paraId="408C6789">
                  <w:pPr>
                    <w:jc w:val="center"/>
                    <w:rPr>
                      <w:b/>
                      <w:bCs/>
                      <w:szCs w:val="21"/>
                    </w:rPr>
                  </w:pPr>
                </w:p>
              </w:tc>
              <w:tc>
                <w:tcPr>
                  <w:tcW w:w="673" w:type="dxa"/>
                  <w:vMerge w:val="restart"/>
                  <w:vAlign w:val="center"/>
                </w:tcPr>
                <w:p w14:paraId="4C115075">
                  <w:pPr>
                    <w:jc w:val="center"/>
                    <w:rPr>
                      <w:szCs w:val="21"/>
                    </w:rPr>
                  </w:pPr>
                  <w:r>
                    <w:rPr>
                      <w:szCs w:val="21"/>
                    </w:rPr>
                    <w:t>废气</w:t>
                  </w:r>
                </w:p>
              </w:tc>
              <w:tc>
                <w:tcPr>
                  <w:tcW w:w="1304" w:type="dxa"/>
                  <w:vMerge w:val="restart"/>
                  <w:vAlign w:val="center"/>
                </w:tcPr>
                <w:p w14:paraId="4A653B5E">
                  <w:pPr>
                    <w:jc w:val="center"/>
                    <w:rPr>
                      <w:szCs w:val="21"/>
                    </w:rPr>
                  </w:pPr>
                  <w:r>
                    <w:rPr>
                      <w:rFonts w:hint="eastAsia"/>
                      <w:szCs w:val="21"/>
                    </w:rPr>
                    <w:t>生产车间</w:t>
                  </w:r>
                </w:p>
              </w:tc>
              <w:tc>
                <w:tcPr>
                  <w:tcW w:w="4405" w:type="dxa"/>
                  <w:vAlign w:val="center"/>
                </w:tcPr>
                <w:p w14:paraId="7C85D2C5">
                  <w:r>
                    <w:rPr>
                      <w:rFonts w:hint="eastAsia"/>
                      <w:szCs w:val="21"/>
                    </w:rPr>
                    <w:t>2个生产厂房设置为密闭式，生产过程中严格控制原料的含水率，混合、配料喷水降尘，在2个厂房分别设置1台移动式雾炮机进行喷雾降尘。</w:t>
                  </w:r>
                </w:p>
              </w:tc>
              <w:tc>
                <w:tcPr>
                  <w:tcW w:w="799" w:type="dxa"/>
                  <w:vAlign w:val="center"/>
                </w:tcPr>
                <w:p w14:paraId="7B7E6567">
                  <w:pPr>
                    <w:tabs>
                      <w:tab w:val="left" w:pos="3255"/>
                    </w:tabs>
                    <w:adjustRightInd w:val="0"/>
                    <w:snapToGrid w:val="0"/>
                    <w:jc w:val="center"/>
                    <w:outlineLvl w:val="0"/>
                    <w:rPr>
                      <w:szCs w:val="21"/>
                    </w:rPr>
                  </w:pPr>
                  <w:r>
                    <w:rPr>
                      <w:rFonts w:hint="eastAsia"/>
                      <w:szCs w:val="21"/>
                    </w:rPr>
                    <w:t>新建</w:t>
                  </w:r>
                </w:p>
              </w:tc>
            </w:tr>
            <w:tr w14:paraId="64C3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203A6B04">
                  <w:pPr>
                    <w:jc w:val="center"/>
                    <w:rPr>
                      <w:b/>
                      <w:bCs/>
                      <w:szCs w:val="21"/>
                    </w:rPr>
                  </w:pPr>
                </w:p>
              </w:tc>
              <w:tc>
                <w:tcPr>
                  <w:tcW w:w="673" w:type="dxa"/>
                  <w:vMerge w:val="continue"/>
                  <w:vAlign w:val="center"/>
                </w:tcPr>
                <w:p w14:paraId="70DC9E6D">
                  <w:pPr>
                    <w:jc w:val="center"/>
                    <w:rPr>
                      <w:szCs w:val="21"/>
                    </w:rPr>
                  </w:pPr>
                </w:p>
              </w:tc>
              <w:tc>
                <w:tcPr>
                  <w:tcW w:w="1304" w:type="dxa"/>
                  <w:vMerge w:val="continue"/>
                  <w:vAlign w:val="center"/>
                </w:tcPr>
                <w:p w14:paraId="1AD1D693">
                  <w:pPr>
                    <w:jc w:val="center"/>
                    <w:rPr>
                      <w:szCs w:val="21"/>
                    </w:rPr>
                  </w:pPr>
                </w:p>
              </w:tc>
              <w:tc>
                <w:tcPr>
                  <w:tcW w:w="4405" w:type="dxa"/>
                  <w:vAlign w:val="center"/>
                </w:tcPr>
                <w:p w14:paraId="1508C90E">
                  <w:r>
                    <w:rPr>
                      <w:rFonts w:hint="eastAsia"/>
                      <w:szCs w:val="21"/>
                    </w:rPr>
                    <w:t>生产厂房密闭，生产过程中通过喷洒生物除臭剂进行除臭，车间安装抽排风系统。</w:t>
                  </w:r>
                </w:p>
              </w:tc>
              <w:tc>
                <w:tcPr>
                  <w:tcW w:w="799" w:type="dxa"/>
                  <w:vAlign w:val="center"/>
                </w:tcPr>
                <w:p w14:paraId="16A67B3A">
                  <w:pPr>
                    <w:tabs>
                      <w:tab w:val="left" w:pos="3255"/>
                    </w:tabs>
                    <w:adjustRightInd w:val="0"/>
                    <w:snapToGrid w:val="0"/>
                    <w:jc w:val="center"/>
                    <w:outlineLvl w:val="0"/>
                    <w:rPr>
                      <w:szCs w:val="21"/>
                    </w:rPr>
                  </w:pPr>
                  <w:r>
                    <w:rPr>
                      <w:rFonts w:hint="eastAsia"/>
                      <w:szCs w:val="21"/>
                    </w:rPr>
                    <w:t>新建</w:t>
                  </w:r>
                </w:p>
              </w:tc>
            </w:tr>
            <w:tr w14:paraId="0BEB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C1D6AF9">
                  <w:pPr>
                    <w:jc w:val="center"/>
                    <w:rPr>
                      <w:b/>
                      <w:bCs/>
                      <w:szCs w:val="21"/>
                    </w:rPr>
                  </w:pPr>
                </w:p>
              </w:tc>
              <w:tc>
                <w:tcPr>
                  <w:tcW w:w="673" w:type="dxa"/>
                  <w:vAlign w:val="center"/>
                </w:tcPr>
                <w:p w14:paraId="68D0D6D9">
                  <w:pPr>
                    <w:jc w:val="center"/>
                    <w:rPr>
                      <w:szCs w:val="21"/>
                    </w:rPr>
                  </w:pPr>
                  <w:r>
                    <w:rPr>
                      <w:rFonts w:hint="eastAsia"/>
                      <w:szCs w:val="21"/>
                    </w:rPr>
                    <w:t>地下水</w:t>
                  </w:r>
                </w:p>
              </w:tc>
              <w:tc>
                <w:tcPr>
                  <w:tcW w:w="1304" w:type="dxa"/>
                  <w:vAlign w:val="center"/>
                </w:tcPr>
                <w:p w14:paraId="31578D03">
                  <w:pPr>
                    <w:jc w:val="center"/>
                    <w:rPr>
                      <w:rFonts w:eastAsiaTheme="minorEastAsia"/>
                    </w:rPr>
                  </w:pPr>
                  <w:r>
                    <w:rPr>
                      <w:rFonts w:eastAsiaTheme="minorEastAsia"/>
                    </w:rPr>
                    <w:t>防渗处理</w:t>
                  </w:r>
                </w:p>
              </w:tc>
              <w:tc>
                <w:tcPr>
                  <w:tcW w:w="4405" w:type="dxa"/>
                  <w:vAlign w:val="center"/>
                </w:tcPr>
                <w:p w14:paraId="2BBF2225">
                  <w:pPr>
                    <w:rPr>
                      <w:rFonts w:eastAsiaTheme="minorEastAsia"/>
                    </w:rPr>
                  </w:pPr>
                  <w:r>
                    <w:rPr>
                      <w:rFonts w:eastAsiaTheme="minorEastAsia"/>
                    </w:rPr>
                    <w:t>简易防渗：</w:t>
                  </w:r>
                  <w:r>
                    <w:rPr>
                      <w:rFonts w:hint="eastAsia" w:eastAsiaTheme="minorEastAsia"/>
                    </w:rPr>
                    <w:t>除重点防渗区和一般防渗区外的其他车间区域</w:t>
                  </w:r>
                  <w:r>
                    <w:rPr>
                      <w:rFonts w:eastAsiaTheme="minorEastAsia"/>
                    </w:rPr>
                    <w:t>进行地面硬化。</w:t>
                  </w:r>
                </w:p>
                <w:p w14:paraId="247B56B8">
                  <w:pPr>
                    <w:rPr>
                      <w:rFonts w:eastAsiaTheme="minorEastAsia"/>
                    </w:rPr>
                  </w:pPr>
                  <w:r>
                    <w:rPr>
                      <w:rFonts w:eastAsiaTheme="minorEastAsia"/>
                    </w:rPr>
                    <w:t>一般防渗区：</w:t>
                  </w:r>
                  <w:r>
                    <w:rPr>
                      <w:rFonts w:hint="eastAsia" w:eastAsiaTheme="minorEastAsia"/>
                    </w:rPr>
                    <w:t>原料库、一般固废暂存库、渗滤液收集池、发酵区</w:t>
                  </w:r>
                  <w:r>
                    <w:rPr>
                      <w:rFonts w:eastAsiaTheme="minorEastAsia"/>
                    </w:rPr>
                    <w:t>，防渗要求：渗透系数≤10</w:t>
                  </w:r>
                  <w:r>
                    <w:rPr>
                      <w:rFonts w:eastAsiaTheme="minorEastAsia"/>
                      <w:vertAlign w:val="superscript"/>
                    </w:rPr>
                    <w:t>-7</w:t>
                  </w:r>
                  <w:r>
                    <w:rPr>
                      <w:rFonts w:eastAsiaTheme="minorEastAsia"/>
                    </w:rPr>
                    <w:t>cm/s，等效黏土防渗层Mb≥1.5m。施工时采用</w:t>
                  </w:r>
                  <w:r>
                    <w:rPr>
                      <w:rFonts w:hint="eastAsia" w:eastAsiaTheme="minorEastAsia"/>
                    </w:rPr>
                    <w:t>具有同等隔水效力的其他人工防渗衬层进行防渗</w:t>
                  </w:r>
                  <w:r>
                    <w:rPr>
                      <w:rFonts w:eastAsiaTheme="minorEastAsia"/>
                    </w:rPr>
                    <w:t>。</w:t>
                  </w:r>
                </w:p>
                <w:p w14:paraId="1F201F6F">
                  <w:pPr>
                    <w:rPr>
                      <w:rFonts w:eastAsiaTheme="minorEastAsia"/>
                    </w:rPr>
                  </w:pPr>
                  <w:r>
                    <w:rPr>
                      <w:rFonts w:eastAsiaTheme="minorEastAsia"/>
                    </w:rPr>
                    <w:t>重点防渗区：</w:t>
                  </w:r>
                  <w:r>
                    <w:rPr>
                      <w:rFonts w:hint="eastAsia" w:eastAsiaTheme="minorEastAsia"/>
                    </w:rPr>
                    <w:t>危废暂存库</w:t>
                  </w:r>
                  <w:r>
                    <w:rPr>
                      <w:rFonts w:eastAsiaTheme="minorEastAsia"/>
                    </w:rPr>
                    <w:t>，防渗要求：渗透系数≤10</w:t>
                  </w:r>
                  <w:r>
                    <w:rPr>
                      <w:rFonts w:eastAsiaTheme="minorEastAsia"/>
                      <w:vertAlign w:val="superscript"/>
                    </w:rPr>
                    <w:t>-10</w:t>
                  </w:r>
                  <w:r>
                    <w:rPr>
                      <w:rFonts w:eastAsiaTheme="minorEastAsia"/>
                    </w:rPr>
                    <w:t>cm/s，等效黏土防渗层Mb≥6.0m。施工时采用</w:t>
                  </w:r>
                  <w:r>
                    <w:rPr>
                      <w:rFonts w:hint="eastAsia" w:eastAsiaTheme="minorEastAsia"/>
                    </w:rPr>
                    <w:t>至少2 mm 厚高密度聚乙烯膜等人工防渗材料（渗透系数不大于10</w:t>
                  </w:r>
                  <w:r>
                    <w:rPr>
                      <w:rFonts w:hint="eastAsia" w:eastAsiaTheme="minorEastAsia"/>
                      <w:vertAlign w:val="superscript"/>
                    </w:rPr>
                    <w:t xml:space="preserve">-10 </w:t>
                  </w:r>
                  <w:r>
                    <w:rPr>
                      <w:rFonts w:hint="eastAsia" w:eastAsiaTheme="minorEastAsia"/>
                    </w:rPr>
                    <w:t>cm/s），或其他防渗性能等效的材料</w:t>
                  </w:r>
                  <w:r>
                    <w:rPr>
                      <w:rFonts w:eastAsiaTheme="minorEastAsia"/>
                    </w:rPr>
                    <w:t>。</w:t>
                  </w:r>
                </w:p>
              </w:tc>
              <w:tc>
                <w:tcPr>
                  <w:tcW w:w="799" w:type="dxa"/>
                  <w:vAlign w:val="center"/>
                </w:tcPr>
                <w:p w14:paraId="0E936E73">
                  <w:pPr>
                    <w:pStyle w:val="49"/>
                    <w:rPr>
                      <w:szCs w:val="21"/>
                    </w:rPr>
                  </w:pPr>
                  <w:r>
                    <w:rPr>
                      <w:rFonts w:hint="eastAsia"/>
                      <w:szCs w:val="21"/>
                    </w:rPr>
                    <w:t>地面已硬化，对防渗层进行改造</w:t>
                  </w:r>
                </w:p>
              </w:tc>
            </w:tr>
            <w:tr w14:paraId="0227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7FDC52FE">
                  <w:pPr>
                    <w:jc w:val="center"/>
                    <w:rPr>
                      <w:b/>
                      <w:bCs/>
                      <w:szCs w:val="21"/>
                    </w:rPr>
                  </w:pPr>
                  <w:r>
                    <w:rPr>
                      <w:rFonts w:hint="eastAsia"/>
                      <w:b/>
                      <w:bCs/>
                      <w:szCs w:val="21"/>
                    </w:rPr>
                    <w:t>依托工程</w:t>
                  </w:r>
                </w:p>
              </w:tc>
              <w:tc>
                <w:tcPr>
                  <w:tcW w:w="1977" w:type="dxa"/>
                  <w:gridSpan w:val="2"/>
                  <w:vAlign w:val="center"/>
                </w:tcPr>
                <w:p w14:paraId="17EFBF78">
                  <w:pPr>
                    <w:jc w:val="center"/>
                    <w:rPr>
                      <w:rFonts w:eastAsiaTheme="minorEastAsia"/>
                    </w:rPr>
                  </w:pPr>
                  <w:r>
                    <w:rPr>
                      <w:rFonts w:hint="eastAsia" w:eastAsiaTheme="minorEastAsia"/>
                    </w:rPr>
                    <w:t>办公生活区</w:t>
                  </w:r>
                </w:p>
              </w:tc>
              <w:tc>
                <w:tcPr>
                  <w:tcW w:w="4405" w:type="dxa"/>
                  <w:vAlign w:val="center"/>
                </w:tcPr>
                <w:p w14:paraId="1C670583">
                  <w:pPr>
                    <w:rPr>
                      <w:rFonts w:eastAsiaTheme="minorEastAsia"/>
                    </w:rPr>
                  </w:pPr>
                  <w:r>
                    <w:rPr>
                      <w:rFonts w:hint="eastAsia"/>
                      <w:szCs w:val="21"/>
                    </w:rPr>
                    <w:t>项目区不设置办公生活区，依托云南建工云岭水泥有限公司已建的配套设施，位于项目东区生产厂房的东面150m处，</w:t>
                  </w:r>
                  <w:r>
                    <w:rPr>
                      <w:szCs w:val="21"/>
                    </w:rPr>
                    <w:t>为</w:t>
                  </w:r>
                  <w:r>
                    <w:rPr>
                      <w:rFonts w:hint="eastAsia"/>
                      <w:szCs w:val="21"/>
                    </w:rPr>
                    <w:t>4幢5层的砖混</w:t>
                  </w:r>
                  <w:r>
                    <w:rPr>
                      <w:szCs w:val="21"/>
                    </w:rPr>
                    <w:t>结构，包含办公室</w:t>
                  </w:r>
                  <w:r>
                    <w:rPr>
                      <w:rFonts w:hint="eastAsia"/>
                      <w:szCs w:val="21"/>
                    </w:rPr>
                    <w:t>、食堂</w:t>
                  </w:r>
                  <w:r>
                    <w:rPr>
                      <w:szCs w:val="21"/>
                    </w:rPr>
                    <w:t>等</w:t>
                  </w:r>
                  <w:r>
                    <w:rPr>
                      <w:rFonts w:hint="eastAsia"/>
                      <w:szCs w:val="21"/>
                    </w:rPr>
                    <w:t>。本项目租用其中一层，可满足项目办公生活需求。</w:t>
                  </w:r>
                </w:p>
              </w:tc>
              <w:tc>
                <w:tcPr>
                  <w:tcW w:w="799" w:type="dxa"/>
                  <w:vAlign w:val="center"/>
                </w:tcPr>
                <w:p w14:paraId="491A263B">
                  <w:pPr>
                    <w:pStyle w:val="49"/>
                    <w:rPr>
                      <w:szCs w:val="21"/>
                    </w:rPr>
                  </w:pPr>
                  <w:r>
                    <w:rPr>
                      <w:rFonts w:hint="eastAsia"/>
                      <w:szCs w:val="21"/>
                    </w:rPr>
                    <w:t>依托可行</w:t>
                  </w:r>
                </w:p>
              </w:tc>
            </w:tr>
            <w:tr w14:paraId="1B18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733088B">
                  <w:pPr>
                    <w:jc w:val="center"/>
                    <w:rPr>
                      <w:b/>
                      <w:bCs/>
                      <w:szCs w:val="21"/>
                    </w:rPr>
                  </w:pPr>
                </w:p>
              </w:tc>
              <w:tc>
                <w:tcPr>
                  <w:tcW w:w="1977" w:type="dxa"/>
                  <w:gridSpan w:val="2"/>
                  <w:vAlign w:val="center"/>
                </w:tcPr>
                <w:p w14:paraId="5B0DBF8C">
                  <w:pPr>
                    <w:jc w:val="center"/>
                    <w:rPr>
                      <w:rFonts w:eastAsiaTheme="minorEastAsia"/>
                    </w:rPr>
                  </w:pPr>
                  <w:r>
                    <w:rPr>
                      <w:rFonts w:hint="eastAsia" w:eastAsiaTheme="minorEastAsia"/>
                    </w:rPr>
                    <w:t>雨污系统及初期雨水收集池</w:t>
                  </w:r>
                </w:p>
              </w:tc>
              <w:tc>
                <w:tcPr>
                  <w:tcW w:w="4405" w:type="dxa"/>
                  <w:vAlign w:val="center"/>
                </w:tcPr>
                <w:p w14:paraId="40EB592F">
                  <w:pPr>
                    <w:rPr>
                      <w:szCs w:val="21"/>
                    </w:rPr>
                  </w:pPr>
                  <w:r>
                    <w:rPr>
                      <w:rFonts w:hint="eastAsia"/>
                      <w:szCs w:val="21"/>
                    </w:rPr>
                    <w:t>云南建工云岭水泥有限公司厂区内已进行雨污分流，初期雨水经厂区设置的雨水排水沟收集后排至150m</w:t>
                  </w:r>
                  <w:r>
                    <w:rPr>
                      <w:rFonts w:hint="eastAsia"/>
                      <w:szCs w:val="21"/>
                      <w:vertAlign w:val="superscript"/>
                    </w:rPr>
                    <w:t>3</w:t>
                  </w:r>
                  <w:r>
                    <w:rPr>
                      <w:rFonts w:hint="eastAsia"/>
                      <w:szCs w:val="21"/>
                    </w:rPr>
                    <w:t>的初期雨水收集池，全部回用于厂区的洒水降尘，不外排。后期雨水排放至附近的雨水沟。云南建工云岭水泥有限公司已建设有完善的初期雨水收集设施，且收集设施已考虑了全厂的初期雨水量，容积可满足要求。</w:t>
                  </w:r>
                </w:p>
              </w:tc>
              <w:tc>
                <w:tcPr>
                  <w:tcW w:w="799" w:type="dxa"/>
                  <w:vAlign w:val="center"/>
                </w:tcPr>
                <w:p w14:paraId="1A5783F2">
                  <w:pPr>
                    <w:pStyle w:val="49"/>
                    <w:rPr>
                      <w:szCs w:val="21"/>
                    </w:rPr>
                  </w:pPr>
                  <w:r>
                    <w:rPr>
                      <w:rFonts w:hint="eastAsia"/>
                      <w:szCs w:val="21"/>
                    </w:rPr>
                    <w:t>依托可行</w:t>
                  </w:r>
                </w:p>
              </w:tc>
            </w:tr>
            <w:tr w14:paraId="4D78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7D20A3B8">
                  <w:pPr>
                    <w:jc w:val="center"/>
                    <w:rPr>
                      <w:b/>
                      <w:bCs/>
                      <w:szCs w:val="21"/>
                    </w:rPr>
                  </w:pPr>
                </w:p>
              </w:tc>
              <w:tc>
                <w:tcPr>
                  <w:tcW w:w="1977" w:type="dxa"/>
                  <w:gridSpan w:val="2"/>
                  <w:vAlign w:val="center"/>
                </w:tcPr>
                <w:p w14:paraId="53DAB2ED">
                  <w:pPr>
                    <w:jc w:val="center"/>
                    <w:rPr>
                      <w:rFonts w:eastAsiaTheme="minorEastAsia"/>
                    </w:rPr>
                  </w:pPr>
                  <w:r>
                    <w:rPr>
                      <w:rFonts w:hint="eastAsia" w:eastAsiaTheme="minorEastAsia"/>
                    </w:rPr>
                    <w:t>污水处理设备</w:t>
                  </w:r>
                </w:p>
              </w:tc>
              <w:tc>
                <w:tcPr>
                  <w:tcW w:w="4405" w:type="dxa"/>
                  <w:vAlign w:val="center"/>
                </w:tcPr>
                <w:p w14:paraId="528AE3FC">
                  <w:pPr>
                    <w:rPr>
                      <w:szCs w:val="21"/>
                    </w:rPr>
                  </w:pPr>
                  <w:r>
                    <w:rPr>
                      <w:rFonts w:hint="eastAsia"/>
                    </w:rPr>
                    <w:t>本项目员工不在厂区内食宿，依托</w:t>
                  </w:r>
                  <w:r>
                    <w:rPr>
                      <w:szCs w:val="21"/>
                    </w:rPr>
                    <w:t>云南建工云岭水泥有限公司已建</w:t>
                  </w:r>
                  <w:r>
                    <w:rPr>
                      <w:rFonts w:hint="eastAsia"/>
                      <w:szCs w:val="21"/>
                    </w:rPr>
                    <w:t>办公生活设施。云南建工云岭水泥有限公司宿舍、食堂和办公楼目前正常使用，生活污水总产生量约为11m</w:t>
                  </w:r>
                  <w:r>
                    <w:rPr>
                      <w:rFonts w:hint="eastAsia"/>
                      <w:szCs w:val="21"/>
                      <w:vertAlign w:val="superscript"/>
                    </w:rPr>
                    <w:t>3</w:t>
                  </w:r>
                  <w:r>
                    <w:rPr>
                      <w:rFonts w:hint="eastAsia"/>
                      <w:szCs w:val="21"/>
                    </w:rPr>
                    <w:t>/d，经60m</w:t>
                  </w:r>
                  <w:r>
                    <w:rPr>
                      <w:rFonts w:hint="eastAsia"/>
                      <w:szCs w:val="21"/>
                      <w:vertAlign w:val="superscript"/>
                    </w:rPr>
                    <w:t>3</w:t>
                  </w:r>
                  <w:r>
                    <w:rPr>
                      <w:rFonts w:hint="eastAsia"/>
                      <w:szCs w:val="21"/>
                    </w:rPr>
                    <w:t>化粪池预处理后排入污水处理站处理，达标后排至200m</w:t>
                  </w:r>
                  <w:r>
                    <w:rPr>
                      <w:rFonts w:hint="eastAsia"/>
                      <w:szCs w:val="21"/>
                      <w:vertAlign w:val="superscript"/>
                    </w:rPr>
                    <w:t>3</w:t>
                  </w:r>
                  <w:r>
                    <w:rPr>
                      <w:rFonts w:hint="eastAsia"/>
                      <w:szCs w:val="21"/>
                    </w:rPr>
                    <w:t>的蓄水池储存，用于厂区的绿化和洒水降尘，各污水处理设施可满足要求。</w:t>
                  </w:r>
                </w:p>
              </w:tc>
              <w:tc>
                <w:tcPr>
                  <w:tcW w:w="799" w:type="dxa"/>
                  <w:vAlign w:val="center"/>
                </w:tcPr>
                <w:p w14:paraId="717BC369">
                  <w:pPr>
                    <w:pStyle w:val="49"/>
                    <w:rPr>
                      <w:szCs w:val="21"/>
                    </w:rPr>
                  </w:pPr>
                  <w:r>
                    <w:rPr>
                      <w:rFonts w:hint="eastAsia"/>
                      <w:szCs w:val="21"/>
                    </w:rPr>
                    <w:t>依托可行</w:t>
                  </w:r>
                </w:p>
              </w:tc>
            </w:tr>
          </w:tbl>
          <w:p w14:paraId="4C105DED">
            <w:pPr>
              <w:adjustRightInd w:val="0"/>
              <w:snapToGrid w:val="0"/>
              <w:spacing w:before="120" w:beforeLines="50" w:line="360" w:lineRule="auto"/>
              <w:rPr>
                <w:b/>
                <w:sz w:val="24"/>
              </w:rPr>
            </w:pPr>
            <w:r>
              <w:rPr>
                <w:b/>
                <w:sz w:val="24"/>
              </w:rPr>
              <w:t>二、主要产品及产能</w:t>
            </w:r>
          </w:p>
          <w:p w14:paraId="4DCFAED5">
            <w:pPr>
              <w:adjustRightInd w:val="0"/>
              <w:snapToGrid w:val="0"/>
              <w:spacing w:line="360" w:lineRule="auto"/>
              <w:ind w:firstLine="480" w:firstLineChars="200"/>
              <w:rPr>
                <w:bCs/>
                <w:sz w:val="24"/>
              </w:rPr>
            </w:pPr>
            <w:r>
              <w:rPr>
                <w:bCs/>
                <w:sz w:val="24"/>
              </w:rPr>
              <w:t>本项目主要产品及产能详见下表。</w:t>
            </w:r>
          </w:p>
          <w:p w14:paraId="2E8BDDF3">
            <w:pPr>
              <w:jc w:val="center"/>
              <w:rPr>
                <w:b/>
                <w:szCs w:val="21"/>
              </w:rPr>
            </w:pPr>
            <w:r>
              <w:rPr>
                <w:b/>
                <w:szCs w:val="21"/>
              </w:rPr>
              <w:t>表2-</w:t>
            </w:r>
            <w:r>
              <w:rPr>
                <w:rFonts w:hint="eastAsia"/>
                <w:b/>
                <w:szCs w:val="21"/>
              </w:rPr>
              <w:t>2</w:t>
            </w:r>
            <w:r>
              <w:rPr>
                <w:b/>
                <w:szCs w:val="21"/>
              </w:rPr>
              <w:t xml:space="preserve">   本项目产品方案一览表</w:t>
            </w:r>
          </w:p>
          <w:tbl>
            <w:tblPr>
              <w:tblStyle w:val="23"/>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800"/>
              <w:gridCol w:w="1150"/>
              <w:gridCol w:w="1000"/>
              <w:gridCol w:w="1516"/>
              <w:gridCol w:w="2309"/>
            </w:tblGrid>
            <w:tr w14:paraId="5221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9" w:type="dxa"/>
                  <w:vAlign w:val="center"/>
                </w:tcPr>
                <w:p w14:paraId="2EACDCA7">
                  <w:pPr>
                    <w:jc w:val="center"/>
                    <w:rPr>
                      <w:bCs/>
                      <w:snapToGrid w:val="0"/>
                      <w:kern w:val="0"/>
                      <w:szCs w:val="21"/>
                    </w:rPr>
                  </w:pPr>
                  <w:r>
                    <w:rPr>
                      <w:bCs/>
                      <w:snapToGrid w:val="0"/>
                      <w:kern w:val="0"/>
                      <w:szCs w:val="21"/>
                    </w:rPr>
                    <w:t>产品名称</w:t>
                  </w:r>
                </w:p>
              </w:tc>
              <w:tc>
                <w:tcPr>
                  <w:tcW w:w="800" w:type="dxa"/>
                  <w:vAlign w:val="center"/>
                </w:tcPr>
                <w:p w14:paraId="720E7949">
                  <w:pPr>
                    <w:jc w:val="center"/>
                    <w:rPr>
                      <w:bCs/>
                      <w:snapToGrid w:val="0"/>
                      <w:kern w:val="0"/>
                      <w:szCs w:val="21"/>
                    </w:rPr>
                  </w:pPr>
                  <w:r>
                    <w:rPr>
                      <w:bCs/>
                      <w:snapToGrid w:val="0"/>
                      <w:kern w:val="0"/>
                      <w:szCs w:val="21"/>
                    </w:rPr>
                    <w:t>生产线</w:t>
                  </w:r>
                </w:p>
              </w:tc>
              <w:tc>
                <w:tcPr>
                  <w:tcW w:w="1150" w:type="dxa"/>
                  <w:vAlign w:val="center"/>
                </w:tcPr>
                <w:p w14:paraId="501F23C7">
                  <w:pPr>
                    <w:jc w:val="center"/>
                    <w:rPr>
                      <w:bCs/>
                      <w:snapToGrid w:val="0"/>
                      <w:kern w:val="0"/>
                      <w:szCs w:val="21"/>
                    </w:rPr>
                  </w:pPr>
                  <w:r>
                    <w:rPr>
                      <w:bCs/>
                      <w:snapToGrid w:val="0"/>
                      <w:kern w:val="0"/>
                      <w:szCs w:val="21"/>
                    </w:rPr>
                    <w:t>产能（</w:t>
                  </w:r>
                  <w:r>
                    <w:rPr>
                      <w:rFonts w:hint="eastAsia"/>
                      <w:bCs/>
                      <w:snapToGrid w:val="0"/>
                      <w:kern w:val="0"/>
                      <w:szCs w:val="21"/>
                    </w:rPr>
                    <w:t>t</w:t>
                  </w:r>
                  <w:r>
                    <w:rPr>
                      <w:bCs/>
                      <w:snapToGrid w:val="0"/>
                      <w:kern w:val="0"/>
                      <w:szCs w:val="21"/>
                    </w:rPr>
                    <w:t>/a）</w:t>
                  </w:r>
                </w:p>
              </w:tc>
              <w:tc>
                <w:tcPr>
                  <w:tcW w:w="1000" w:type="dxa"/>
                  <w:vAlign w:val="center"/>
                </w:tcPr>
                <w:p w14:paraId="7B218E36">
                  <w:pPr>
                    <w:jc w:val="center"/>
                    <w:rPr>
                      <w:bCs/>
                      <w:snapToGrid w:val="0"/>
                      <w:kern w:val="0"/>
                      <w:szCs w:val="21"/>
                    </w:rPr>
                  </w:pPr>
                  <w:r>
                    <w:rPr>
                      <w:bCs/>
                      <w:snapToGrid w:val="0"/>
                      <w:kern w:val="0"/>
                      <w:szCs w:val="21"/>
                    </w:rPr>
                    <w:t>产品形态</w:t>
                  </w:r>
                </w:p>
              </w:tc>
              <w:tc>
                <w:tcPr>
                  <w:tcW w:w="1516" w:type="dxa"/>
                  <w:vAlign w:val="center"/>
                </w:tcPr>
                <w:p w14:paraId="11FFB395">
                  <w:pPr>
                    <w:jc w:val="center"/>
                    <w:rPr>
                      <w:bCs/>
                      <w:snapToGrid w:val="0"/>
                      <w:kern w:val="0"/>
                      <w:szCs w:val="21"/>
                    </w:rPr>
                  </w:pPr>
                  <w:r>
                    <w:rPr>
                      <w:bCs/>
                      <w:snapToGrid w:val="0"/>
                      <w:kern w:val="0"/>
                      <w:szCs w:val="21"/>
                    </w:rPr>
                    <w:t>包装形式</w:t>
                  </w:r>
                </w:p>
              </w:tc>
              <w:tc>
                <w:tcPr>
                  <w:tcW w:w="2309" w:type="dxa"/>
                  <w:vAlign w:val="center"/>
                </w:tcPr>
                <w:p w14:paraId="2AB0062F">
                  <w:pPr>
                    <w:jc w:val="center"/>
                    <w:rPr>
                      <w:bCs/>
                      <w:snapToGrid w:val="0"/>
                      <w:kern w:val="0"/>
                      <w:szCs w:val="21"/>
                    </w:rPr>
                  </w:pPr>
                  <w:r>
                    <w:rPr>
                      <w:rFonts w:hint="eastAsia"/>
                      <w:bCs/>
                      <w:snapToGrid w:val="0"/>
                      <w:kern w:val="0"/>
                      <w:szCs w:val="21"/>
                    </w:rPr>
                    <w:t>备注</w:t>
                  </w:r>
                </w:p>
              </w:tc>
            </w:tr>
            <w:tr w14:paraId="27DD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9" w:type="dxa"/>
                  <w:vAlign w:val="center"/>
                </w:tcPr>
                <w:p w14:paraId="76AED7C7">
                  <w:pPr>
                    <w:pStyle w:val="52"/>
                    <w:ind w:firstLine="0" w:firstLineChars="0"/>
                    <w:jc w:val="center"/>
                    <w:rPr>
                      <w:snapToGrid w:val="0"/>
                      <w:kern w:val="0"/>
                      <w:szCs w:val="21"/>
                    </w:rPr>
                  </w:pPr>
                  <w:r>
                    <w:rPr>
                      <w:rFonts w:hint="eastAsia"/>
                      <w:snapToGrid w:val="0"/>
                      <w:kern w:val="0"/>
                      <w:szCs w:val="21"/>
                    </w:rPr>
                    <w:t>有机肥</w:t>
                  </w:r>
                </w:p>
              </w:tc>
              <w:tc>
                <w:tcPr>
                  <w:tcW w:w="800" w:type="dxa"/>
                  <w:vMerge w:val="restart"/>
                  <w:vAlign w:val="center"/>
                </w:tcPr>
                <w:p w14:paraId="0CF79EC1">
                  <w:pPr>
                    <w:jc w:val="center"/>
                    <w:rPr>
                      <w:snapToGrid w:val="0"/>
                      <w:kern w:val="0"/>
                      <w:szCs w:val="21"/>
                    </w:rPr>
                  </w:pPr>
                  <w:r>
                    <w:rPr>
                      <w:rFonts w:hint="eastAsia"/>
                      <w:snapToGrid w:val="0"/>
                      <w:kern w:val="0"/>
                      <w:szCs w:val="21"/>
                    </w:rPr>
                    <w:t>1条</w:t>
                  </w:r>
                </w:p>
              </w:tc>
              <w:tc>
                <w:tcPr>
                  <w:tcW w:w="1150" w:type="dxa"/>
                  <w:vAlign w:val="center"/>
                </w:tcPr>
                <w:p w14:paraId="2E43B7FB">
                  <w:pPr>
                    <w:pStyle w:val="52"/>
                    <w:ind w:firstLine="0" w:firstLineChars="0"/>
                    <w:jc w:val="center"/>
                    <w:rPr>
                      <w:szCs w:val="21"/>
                    </w:rPr>
                  </w:pPr>
                  <w:r>
                    <w:rPr>
                      <w:rFonts w:hint="eastAsia"/>
                      <w:szCs w:val="21"/>
                    </w:rPr>
                    <w:t>50000</w:t>
                  </w:r>
                </w:p>
              </w:tc>
              <w:tc>
                <w:tcPr>
                  <w:tcW w:w="1000" w:type="dxa"/>
                  <w:vAlign w:val="center"/>
                </w:tcPr>
                <w:p w14:paraId="6C552750">
                  <w:pPr>
                    <w:pStyle w:val="52"/>
                    <w:ind w:firstLine="0" w:firstLineChars="0"/>
                    <w:jc w:val="center"/>
                    <w:rPr>
                      <w:szCs w:val="21"/>
                    </w:rPr>
                  </w:pPr>
                  <w:r>
                    <w:rPr>
                      <w:rFonts w:hint="eastAsia"/>
                      <w:szCs w:val="21"/>
                    </w:rPr>
                    <w:t>粉状</w:t>
                  </w:r>
                </w:p>
              </w:tc>
              <w:tc>
                <w:tcPr>
                  <w:tcW w:w="1516" w:type="dxa"/>
                  <w:vAlign w:val="center"/>
                </w:tcPr>
                <w:p w14:paraId="7F78C965">
                  <w:pPr>
                    <w:jc w:val="center"/>
                    <w:rPr>
                      <w:szCs w:val="21"/>
                    </w:rPr>
                  </w:pPr>
                  <w:r>
                    <w:rPr>
                      <w:rFonts w:hint="eastAsia"/>
                      <w:szCs w:val="21"/>
                    </w:rPr>
                    <w:t>袋装</w:t>
                  </w:r>
                  <w:r>
                    <w:rPr>
                      <w:szCs w:val="21"/>
                    </w:rPr>
                    <w:t>，</w:t>
                  </w:r>
                  <w:r>
                    <w:rPr>
                      <w:rFonts w:hint="eastAsia"/>
                      <w:szCs w:val="21"/>
                    </w:rPr>
                    <w:t>40kg</w:t>
                  </w:r>
                  <w:r>
                    <w:rPr>
                      <w:szCs w:val="21"/>
                    </w:rPr>
                    <w:t>/</w:t>
                  </w:r>
                  <w:r>
                    <w:rPr>
                      <w:rFonts w:hint="eastAsia"/>
                      <w:szCs w:val="21"/>
                    </w:rPr>
                    <w:t>袋</w:t>
                  </w:r>
                </w:p>
              </w:tc>
              <w:tc>
                <w:tcPr>
                  <w:tcW w:w="2309" w:type="dxa"/>
                  <w:vMerge w:val="restart"/>
                  <w:vAlign w:val="center"/>
                </w:tcPr>
                <w:p w14:paraId="73B29235">
                  <w:pPr>
                    <w:jc w:val="center"/>
                    <w:rPr>
                      <w:szCs w:val="21"/>
                    </w:rPr>
                  </w:pPr>
                  <w:r>
                    <w:rPr>
                      <w:rFonts w:hint="eastAsia"/>
                      <w:szCs w:val="21"/>
                    </w:rPr>
                    <w:t>有机肥生产76000t，其中26000t用于生产中量元素有机肥</w:t>
                  </w:r>
                </w:p>
              </w:tc>
            </w:tr>
            <w:tr w14:paraId="31A3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9" w:type="dxa"/>
                  <w:vAlign w:val="center"/>
                </w:tcPr>
                <w:p w14:paraId="7DD9726E">
                  <w:pPr>
                    <w:pStyle w:val="52"/>
                    <w:ind w:firstLine="0" w:firstLineChars="0"/>
                    <w:jc w:val="center"/>
                    <w:rPr>
                      <w:snapToGrid w:val="0"/>
                      <w:kern w:val="0"/>
                      <w:szCs w:val="21"/>
                    </w:rPr>
                  </w:pPr>
                  <w:r>
                    <w:rPr>
                      <w:rFonts w:hint="eastAsia"/>
                      <w:snapToGrid w:val="0"/>
                      <w:kern w:val="0"/>
                      <w:szCs w:val="21"/>
                    </w:rPr>
                    <w:t>中量元素有机肥</w:t>
                  </w:r>
                </w:p>
              </w:tc>
              <w:tc>
                <w:tcPr>
                  <w:tcW w:w="800" w:type="dxa"/>
                  <w:vMerge w:val="continue"/>
                  <w:vAlign w:val="center"/>
                </w:tcPr>
                <w:p w14:paraId="118C4383">
                  <w:pPr>
                    <w:jc w:val="center"/>
                    <w:rPr>
                      <w:snapToGrid w:val="0"/>
                      <w:kern w:val="0"/>
                      <w:szCs w:val="21"/>
                    </w:rPr>
                  </w:pPr>
                </w:p>
              </w:tc>
              <w:tc>
                <w:tcPr>
                  <w:tcW w:w="1150" w:type="dxa"/>
                  <w:vAlign w:val="center"/>
                </w:tcPr>
                <w:p w14:paraId="516B4D9C">
                  <w:pPr>
                    <w:pStyle w:val="52"/>
                    <w:ind w:firstLine="0" w:firstLineChars="0"/>
                    <w:jc w:val="center"/>
                    <w:rPr>
                      <w:szCs w:val="21"/>
                    </w:rPr>
                  </w:pPr>
                  <w:r>
                    <w:rPr>
                      <w:rFonts w:hint="eastAsia"/>
                      <w:szCs w:val="21"/>
                    </w:rPr>
                    <w:t>50000</w:t>
                  </w:r>
                </w:p>
              </w:tc>
              <w:tc>
                <w:tcPr>
                  <w:tcW w:w="1000" w:type="dxa"/>
                  <w:vAlign w:val="center"/>
                </w:tcPr>
                <w:p w14:paraId="2D5A3A08">
                  <w:pPr>
                    <w:pStyle w:val="52"/>
                    <w:ind w:firstLine="0" w:firstLineChars="0"/>
                    <w:jc w:val="center"/>
                    <w:rPr>
                      <w:szCs w:val="21"/>
                    </w:rPr>
                  </w:pPr>
                  <w:r>
                    <w:rPr>
                      <w:rFonts w:hint="eastAsia"/>
                      <w:szCs w:val="21"/>
                    </w:rPr>
                    <w:t>粉状</w:t>
                  </w:r>
                </w:p>
              </w:tc>
              <w:tc>
                <w:tcPr>
                  <w:tcW w:w="1516" w:type="dxa"/>
                  <w:vAlign w:val="center"/>
                </w:tcPr>
                <w:p w14:paraId="59E84E75">
                  <w:pPr>
                    <w:jc w:val="center"/>
                    <w:rPr>
                      <w:szCs w:val="21"/>
                    </w:rPr>
                  </w:pPr>
                  <w:r>
                    <w:rPr>
                      <w:rFonts w:hint="eastAsia"/>
                      <w:szCs w:val="21"/>
                    </w:rPr>
                    <w:t>袋装</w:t>
                  </w:r>
                  <w:r>
                    <w:rPr>
                      <w:szCs w:val="21"/>
                    </w:rPr>
                    <w:t>，</w:t>
                  </w:r>
                  <w:r>
                    <w:rPr>
                      <w:rFonts w:hint="eastAsia"/>
                      <w:szCs w:val="21"/>
                    </w:rPr>
                    <w:t>40kg</w:t>
                  </w:r>
                  <w:r>
                    <w:rPr>
                      <w:szCs w:val="21"/>
                    </w:rPr>
                    <w:t>/</w:t>
                  </w:r>
                  <w:r>
                    <w:rPr>
                      <w:rFonts w:hint="eastAsia"/>
                      <w:szCs w:val="21"/>
                    </w:rPr>
                    <w:t>袋</w:t>
                  </w:r>
                </w:p>
              </w:tc>
              <w:tc>
                <w:tcPr>
                  <w:tcW w:w="2309" w:type="dxa"/>
                  <w:vMerge w:val="continue"/>
                  <w:vAlign w:val="center"/>
                </w:tcPr>
                <w:p w14:paraId="74DA7315">
                  <w:pPr>
                    <w:jc w:val="center"/>
                    <w:rPr>
                      <w:szCs w:val="21"/>
                    </w:rPr>
                  </w:pPr>
                </w:p>
              </w:tc>
            </w:tr>
          </w:tbl>
          <w:p w14:paraId="388B04AB">
            <w:pPr>
              <w:adjustRightInd w:val="0"/>
              <w:snapToGrid w:val="0"/>
              <w:spacing w:before="120" w:beforeLines="50" w:line="360" w:lineRule="auto"/>
              <w:ind w:firstLine="480" w:firstLineChars="200"/>
              <w:rPr>
                <w:bCs/>
                <w:sz w:val="24"/>
              </w:rPr>
            </w:pPr>
            <w:r>
              <w:rPr>
                <w:rFonts w:hint="eastAsia"/>
                <w:bCs/>
                <w:sz w:val="24"/>
              </w:rPr>
              <w:t>低变质褐煤、锯木屑、尿素添加发酵菌剂发酵后产品为有机肥，有机肥添加尾矿后的产品为中量元素有机肥。</w:t>
            </w:r>
          </w:p>
          <w:p w14:paraId="0D382FCF">
            <w:pPr>
              <w:adjustRightInd w:val="0"/>
              <w:snapToGrid w:val="0"/>
              <w:spacing w:line="360" w:lineRule="auto"/>
              <w:ind w:firstLine="480" w:firstLineChars="200"/>
              <w:rPr>
                <w:bCs/>
                <w:sz w:val="24"/>
              </w:rPr>
            </w:pPr>
            <w:r>
              <w:rPr>
                <w:rFonts w:hint="eastAsia"/>
                <w:bCs/>
                <w:sz w:val="24"/>
              </w:rPr>
              <w:t>1、有机肥</w:t>
            </w:r>
          </w:p>
          <w:p w14:paraId="6A464F19">
            <w:pPr>
              <w:adjustRightInd w:val="0"/>
              <w:snapToGrid w:val="0"/>
              <w:spacing w:line="360" w:lineRule="auto"/>
              <w:ind w:firstLine="480" w:firstLineChars="200"/>
              <w:rPr>
                <w:bCs/>
                <w:sz w:val="24"/>
              </w:rPr>
            </w:pPr>
            <w:r>
              <w:rPr>
                <w:rFonts w:hint="eastAsia"/>
                <w:bCs/>
                <w:sz w:val="24"/>
              </w:rPr>
              <w:t>根据</w:t>
            </w:r>
            <w:r>
              <w:rPr>
                <w:bCs/>
                <w:sz w:val="24"/>
              </w:rPr>
              <w:t>《有机肥料》（NY/T525-2021）</w:t>
            </w:r>
            <w:r>
              <w:rPr>
                <w:rFonts w:hint="eastAsia"/>
                <w:bCs/>
                <w:sz w:val="24"/>
              </w:rPr>
              <w:t>中有机肥料定义：“主要来源于植物和/或动物，经过发酵腐熟的含碳有机肥料，其功能是改善土壤肥力、提供植物营养，提高作物品质”。根据项目生产工艺，项目采用低变质褐煤、锯木屑、尿素，在添加发酵菌剂的同时，通过严格控制含水率、碳氮比等条件下进行发酵，属于生产有机肥料的范畴。本项目有机肥年生产量为50000t，产品质量执行</w:t>
            </w:r>
            <w:r>
              <w:rPr>
                <w:bCs/>
                <w:sz w:val="24"/>
              </w:rPr>
              <w:t>《有机肥料》（NY/T525-2021）</w:t>
            </w:r>
            <w:r>
              <w:rPr>
                <w:rFonts w:hint="eastAsia"/>
                <w:bCs/>
                <w:sz w:val="24"/>
              </w:rPr>
              <w:t>。</w:t>
            </w:r>
          </w:p>
          <w:p w14:paraId="0E2CD326">
            <w:pPr>
              <w:adjustRightInd w:val="0"/>
              <w:snapToGrid w:val="0"/>
              <w:spacing w:line="360" w:lineRule="auto"/>
              <w:ind w:firstLine="480" w:firstLineChars="200"/>
              <w:rPr>
                <w:bCs/>
                <w:sz w:val="24"/>
              </w:rPr>
            </w:pPr>
            <w:r>
              <w:rPr>
                <w:bCs/>
                <w:sz w:val="24"/>
              </w:rPr>
              <w:t>《有机肥料》（NY/T525-2021）</w:t>
            </w:r>
            <w:r>
              <w:rPr>
                <w:rFonts w:hint="eastAsia"/>
                <w:bCs/>
                <w:sz w:val="24"/>
              </w:rPr>
              <w:t>：要求产品外观均匀，粉状或颗粒状，无恶臭，目视、鼻嗅测定。产品技术指标应符合表2-3的要求，有机肥料中重金属的限量指标应符合表2-4的要求。</w:t>
            </w:r>
          </w:p>
          <w:p w14:paraId="1E366787">
            <w:pPr>
              <w:jc w:val="center"/>
              <w:rPr>
                <w:b/>
                <w:szCs w:val="21"/>
              </w:rPr>
            </w:pPr>
            <w:r>
              <w:rPr>
                <w:rFonts w:hint="eastAsia"/>
                <w:b/>
                <w:szCs w:val="21"/>
              </w:rPr>
              <w:t>表2-3  有机肥技术指标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02"/>
              <w:gridCol w:w="1433"/>
            </w:tblGrid>
            <w:tr w14:paraId="69C9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49A911A2">
                  <w:pPr>
                    <w:widowControl/>
                    <w:adjustRightInd w:val="0"/>
                    <w:snapToGrid w:val="0"/>
                    <w:jc w:val="center"/>
                    <w:textAlignment w:val="baseline"/>
                    <w:rPr>
                      <w:szCs w:val="21"/>
                    </w:rPr>
                  </w:pPr>
                  <w:r>
                    <w:rPr>
                      <w:kern w:val="0"/>
                      <w:szCs w:val="21"/>
                      <w:lang w:bidi="ar"/>
                    </w:rPr>
                    <w:t>项目</w:t>
                  </w:r>
                </w:p>
              </w:tc>
              <w:tc>
                <w:tcPr>
                  <w:tcW w:w="1437" w:type="dxa"/>
                  <w:vAlign w:val="center"/>
                </w:tcPr>
                <w:p w14:paraId="2A5BDA5B">
                  <w:pPr>
                    <w:widowControl/>
                    <w:adjustRightInd w:val="0"/>
                    <w:snapToGrid w:val="0"/>
                    <w:jc w:val="center"/>
                    <w:textAlignment w:val="baseline"/>
                    <w:rPr>
                      <w:szCs w:val="21"/>
                    </w:rPr>
                  </w:pPr>
                  <w:r>
                    <w:rPr>
                      <w:kern w:val="0"/>
                      <w:szCs w:val="21"/>
                      <w:lang w:bidi="ar"/>
                    </w:rPr>
                    <w:t>指标</w:t>
                  </w:r>
                </w:p>
              </w:tc>
            </w:tr>
            <w:tr w14:paraId="5BE7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64BF743B">
                  <w:pPr>
                    <w:widowControl/>
                    <w:adjustRightInd w:val="0"/>
                    <w:snapToGrid w:val="0"/>
                    <w:jc w:val="center"/>
                    <w:textAlignment w:val="baseline"/>
                    <w:rPr>
                      <w:szCs w:val="21"/>
                    </w:rPr>
                  </w:pPr>
                  <w:r>
                    <w:rPr>
                      <w:kern w:val="0"/>
                      <w:szCs w:val="21"/>
                      <w:lang w:bidi="ar"/>
                    </w:rPr>
                    <w:t>有机质的质量分数（以烘干基计）/（%）</w:t>
                  </w:r>
                </w:p>
              </w:tc>
              <w:tc>
                <w:tcPr>
                  <w:tcW w:w="1437" w:type="dxa"/>
                  <w:vAlign w:val="center"/>
                </w:tcPr>
                <w:p w14:paraId="06E1412F">
                  <w:pPr>
                    <w:widowControl/>
                    <w:adjustRightInd w:val="0"/>
                    <w:snapToGrid w:val="0"/>
                    <w:jc w:val="center"/>
                    <w:textAlignment w:val="baseline"/>
                    <w:rPr>
                      <w:szCs w:val="21"/>
                    </w:rPr>
                  </w:pPr>
                  <w:r>
                    <w:rPr>
                      <w:kern w:val="0"/>
                      <w:szCs w:val="21"/>
                      <w:lang w:bidi="ar"/>
                    </w:rPr>
                    <w:t>≥</w:t>
                  </w:r>
                  <w:r>
                    <w:rPr>
                      <w:szCs w:val="21"/>
                    </w:rPr>
                    <w:t>30</w:t>
                  </w:r>
                </w:p>
              </w:tc>
            </w:tr>
            <w:tr w14:paraId="5D76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176F75A8">
                  <w:pPr>
                    <w:widowControl/>
                    <w:adjustRightInd w:val="0"/>
                    <w:snapToGrid w:val="0"/>
                    <w:jc w:val="center"/>
                    <w:textAlignment w:val="baseline"/>
                    <w:rPr>
                      <w:szCs w:val="21"/>
                    </w:rPr>
                  </w:pPr>
                  <w:r>
                    <w:rPr>
                      <w:kern w:val="0"/>
                      <w:szCs w:val="21"/>
                      <w:lang w:bidi="ar"/>
                    </w:rPr>
                    <w:t>总养分（氮+五氧化二磷+氧化钾）的质量分数（以烘干基计）/（%）</w:t>
                  </w:r>
                </w:p>
              </w:tc>
              <w:tc>
                <w:tcPr>
                  <w:tcW w:w="1437" w:type="dxa"/>
                  <w:vAlign w:val="center"/>
                </w:tcPr>
                <w:p w14:paraId="33F941B4">
                  <w:pPr>
                    <w:widowControl/>
                    <w:adjustRightInd w:val="0"/>
                    <w:snapToGrid w:val="0"/>
                    <w:jc w:val="center"/>
                    <w:textAlignment w:val="baseline"/>
                    <w:rPr>
                      <w:szCs w:val="21"/>
                    </w:rPr>
                  </w:pPr>
                  <w:r>
                    <w:rPr>
                      <w:kern w:val="0"/>
                      <w:szCs w:val="21"/>
                      <w:lang w:bidi="ar"/>
                    </w:rPr>
                    <w:t>≥4.0</w:t>
                  </w:r>
                </w:p>
              </w:tc>
            </w:tr>
            <w:tr w14:paraId="3A30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232BAC9F">
                  <w:pPr>
                    <w:widowControl/>
                    <w:adjustRightInd w:val="0"/>
                    <w:snapToGrid w:val="0"/>
                    <w:jc w:val="center"/>
                    <w:textAlignment w:val="baseline"/>
                    <w:rPr>
                      <w:szCs w:val="21"/>
                    </w:rPr>
                  </w:pPr>
                  <w:r>
                    <w:rPr>
                      <w:kern w:val="0"/>
                      <w:szCs w:val="21"/>
                      <w:lang w:bidi="ar"/>
                    </w:rPr>
                    <w:t>水分（鲜样）的质量分数/（%）</w:t>
                  </w:r>
                </w:p>
              </w:tc>
              <w:tc>
                <w:tcPr>
                  <w:tcW w:w="1437" w:type="dxa"/>
                  <w:vAlign w:val="center"/>
                </w:tcPr>
                <w:p w14:paraId="4AE16066">
                  <w:pPr>
                    <w:widowControl/>
                    <w:adjustRightInd w:val="0"/>
                    <w:snapToGrid w:val="0"/>
                    <w:jc w:val="center"/>
                    <w:textAlignment w:val="baseline"/>
                    <w:rPr>
                      <w:szCs w:val="21"/>
                    </w:rPr>
                  </w:pPr>
                  <w:r>
                    <w:rPr>
                      <w:kern w:val="0"/>
                      <w:szCs w:val="21"/>
                      <w:lang w:bidi="ar"/>
                    </w:rPr>
                    <w:t>≤30</w:t>
                  </w:r>
                </w:p>
              </w:tc>
            </w:tr>
            <w:tr w14:paraId="52B0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71EB5754">
                  <w:pPr>
                    <w:widowControl/>
                    <w:adjustRightInd w:val="0"/>
                    <w:snapToGrid w:val="0"/>
                    <w:jc w:val="center"/>
                    <w:textAlignment w:val="baseline"/>
                    <w:rPr>
                      <w:szCs w:val="21"/>
                    </w:rPr>
                  </w:pPr>
                  <w:r>
                    <w:rPr>
                      <w:kern w:val="0"/>
                      <w:szCs w:val="21"/>
                      <w:lang w:bidi="ar"/>
                    </w:rPr>
                    <w:t>酸碱度（pH）</w:t>
                  </w:r>
                </w:p>
              </w:tc>
              <w:tc>
                <w:tcPr>
                  <w:tcW w:w="1437" w:type="dxa"/>
                  <w:vAlign w:val="center"/>
                </w:tcPr>
                <w:p w14:paraId="4C0647FD">
                  <w:pPr>
                    <w:widowControl/>
                    <w:adjustRightInd w:val="0"/>
                    <w:snapToGrid w:val="0"/>
                    <w:jc w:val="center"/>
                    <w:textAlignment w:val="baseline"/>
                    <w:rPr>
                      <w:szCs w:val="21"/>
                    </w:rPr>
                  </w:pPr>
                  <w:r>
                    <w:rPr>
                      <w:kern w:val="0"/>
                      <w:szCs w:val="21"/>
                      <w:lang w:bidi="ar"/>
                    </w:rPr>
                    <w:t>5.5—8.5</w:t>
                  </w:r>
                </w:p>
              </w:tc>
            </w:tr>
            <w:tr w14:paraId="2671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3918599B">
                  <w:pPr>
                    <w:widowControl/>
                    <w:adjustRightInd w:val="0"/>
                    <w:snapToGrid w:val="0"/>
                    <w:jc w:val="center"/>
                    <w:textAlignment w:val="baseline"/>
                    <w:rPr>
                      <w:kern w:val="0"/>
                      <w:szCs w:val="21"/>
                      <w:lang w:bidi="ar"/>
                    </w:rPr>
                  </w:pPr>
                  <w:r>
                    <w:rPr>
                      <w:kern w:val="0"/>
                      <w:szCs w:val="21"/>
                      <w:lang w:bidi="ar"/>
                    </w:rPr>
                    <w:t>种子发芽指数(GI)，%</w:t>
                  </w:r>
                </w:p>
              </w:tc>
              <w:tc>
                <w:tcPr>
                  <w:tcW w:w="1437" w:type="dxa"/>
                  <w:vAlign w:val="center"/>
                </w:tcPr>
                <w:p w14:paraId="61E4092B">
                  <w:pPr>
                    <w:widowControl/>
                    <w:adjustRightInd w:val="0"/>
                    <w:snapToGrid w:val="0"/>
                    <w:jc w:val="center"/>
                    <w:textAlignment w:val="baseline"/>
                    <w:rPr>
                      <w:kern w:val="0"/>
                      <w:szCs w:val="21"/>
                      <w:lang w:bidi="ar"/>
                    </w:rPr>
                  </w:pPr>
                  <w:r>
                    <w:rPr>
                      <w:kern w:val="0"/>
                      <w:szCs w:val="21"/>
                      <w:lang w:bidi="ar"/>
                    </w:rPr>
                    <w:t>≥70</w:t>
                  </w:r>
                </w:p>
              </w:tc>
            </w:tr>
            <w:tr w14:paraId="3CBB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6E135AE9">
                  <w:pPr>
                    <w:widowControl/>
                    <w:adjustRightInd w:val="0"/>
                    <w:snapToGrid w:val="0"/>
                    <w:jc w:val="center"/>
                    <w:textAlignment w:val="baseline"/>
                    <w:rPr>
                      <w:kern w:val="0"/>
                      <w:szCs w:val="21"/>
                      <w:lang w:bidi="ar"/>
                    </w:rPr>
                  </w:pPr>
                  <w:r>
                    <w:rPr>
                      <w:kern w:val="0"/>
                      <w:szCs w:val="21"/>
                      <w:lang w:bidi="ar"/>
                    </w:rPr>
                    <w:t>机械杂质的质量分数，%</w:t>
                  </w:r>
                </w:p>
              </w:tc>
              <w:tc>
                <w:tcPr>
                  <w:tcW w:w="1437" w:type="dxa"/>
                  <w:vAlign w:val="center"/>
                </w:tcPr>
                <w:p w14:paraId="6B5479CE">
                  <w:pPr>
                    <w:widowControl/>
                    <w:adjustRightInd w:val="0"/>
                    <w:snapToGrid w:val="0"/>
                    <w:jc w:val="center"/>
                    <w:textAlignment w:val="baseline"/>
                    <w:rPr>
                      <w:kern w:val="0"/>
                      <w:szCs w:val="21"/>
                      <w:lang w:bidi="ar"/>
                    </w:rPr>
                  </w:pPr>
                  <w:r>
                    <w:rPr>
                      <w:kern w:val="0"/>
                      <w:szCs w:val="21"/>
                      <w:lang w:bidi="ar"/>
                    </w:rPr>
                    <w:t>≤0.5</w:t>
                  </w:r>
                </w:p>
              </w:tc>
            </w:tr>
          </w:tbl>
          <w:p w14:paraId="1562BB04">
            <w:pPr>
              <w:adjustRightInd w:val="0"/>
              <w:snapToGrid w:val="0"/>
              <w:spacing w:before="120" w:beforeLines="50"/>
              <w:jc w:val="center"/>
              <w:rPr>
                <w:b/>
                <w:szCs w:val="21"/>
              </w:rPr>
            </w:pPr>
            <w:r>
              <w:rPr>
                <w:rFonts w:hint="eastAsia"/>
                <w:b/>
                <w:szCs w:val="21"/>
              </w:rPr>
              <w:t>表2-4  有机肥料中重金属的限量指标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90"/>
              <w:gridCol w:w="938"/>
              <w:gridCol w:w="3607"/>
            </w:tblGrid>
            <w:tr w14:paraId="6676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45605482">
                  <w:pPr>
                    <w:widowControl/>
                    <w:adjustRightInd w:val="0"/>
                    <w:snapToGrid w:val="0"/>
                    <w:jc w:val="center"/>
                    <w:textAlignment w:val="baseline"/>
                    <w:rPr>
                      <w:szCs w:val="21"/>
                    </w:rPr>
                  </w:pPr>
                  <w:r>
                    <w:rPr>
                      <w:kern w:val="0"/>
                      <w:szCs w:val="21"/>
                      <w:lang w:bidi="ar"/>
                    </w:rPr>
                    <w:t>项目</w:t>
                  </w:r>
                </w:p>
              </w:tc>
              <w:tc>
                <w:tcPr>
                  <w:tcW w:w="938" w:type="dxa"/>
                  <w:vAlign w:val="center"/>
                </w:tcPr>
                <w:p w14:paraId="223D0BAD">
                  <w:pPr>
                    <w:widowControl/>
                    <w:adjustRightInd w:val="0"/>
                    <w:snapToGrid w:val="0"/>
                    <w:jc w:val="center"/>
                    <w:textAlignment w:val="baseline"/>
                    <w:rPr>
                      <w:szCs w:val="21"/>
                    </w:rPr>
                  </w:pPr>
                  <w:r>
                    <w:rPr>
                      <w:kern w:val="0"/>
                      <w:szCs w:val="21"/>
                      <w:lang w:bidi="ar"/>
                    </w:rPr>
                    <w:t>限量指标</w:t>
                  </w:r>
                </w:p>
              </w:tc>
              <w:tc>
                <w:tcPr>
                  <w:tcW w:w="3607" w:type="dxa"/>
                  <w:vAlign w:val="center"/>
                </w:tcPr>
                <w:p w14:paraId="54C6C9F2">
                  <w:pPr>
                    <w:widowControl/>
                    <w:adjustRightInd w:val="0"/>
                    <w:snapToGrid w:val="0"/>
                    <w:jc w:val="center"/>
                    <w:textAlignment w:val="baseline"/>
                    <w:rPr>
                      <w:kern w:val="0"/>
                      <w:szCs w:val="21"/>
                      <w:lang w:bidi="ar"/>
                    </w:rPr>
                  </w:pPr>
                  <w:r>
                    <w:rPr>
                      <w:rFonts w:hint="eastAsia"/>
                      <w:kern w:val="0"/>
                      <w:szCs w:val="21"/>
                      <w:lang w:bidi="ar"/>
                    </w:rPr>
                    <w:t>检测方法</w:t>
                  </w:r>
                </w:p>
              </w:tc>
            </w:tr>
            <w:tr w14:paraId="7738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2CB152FE">
                  <w:pPr>
                    <w:widowControl/>
                    <w:adjustRightInd w:val="0"/>
                    <w:snapToGrid w:val="0"/>
                    <w:jc w:val="center"/>
                    <w:textAlignment w:val="baseline"/>
                    <w:rPr>
                      <w:szCs w:val="21"/>
                    </w:rPr>
                  </w:pPr>
                  <w:r>
                    <w:rPr>
                      <w:kern w:val="0"/>
                      <w:szCs w:val="21"/>
                      <w:lang w:bidi="ar"/>
                    </w:rPr>
                    <w:t>总砷（As）（以烘干基计）/（mg/kg）</w:t>
                  </w:r>
                </w:p>
              </w:tc>
              <w:tc>
                <w:tcPr>
                  <w:tcW w:w="938" w:type="dxa"/>
                  <w:vAlign w:val="center"/>
                </w:tcPr>
                <w:p w14:paraId="165BB883">
                  <w:pPr>
                    <w:widowControl/>
                    <w:adjustRightInd w:val="0"/>
                    <w:snapToGrid w:val="0"/>
                    <w:jc w:val="center"/>
                    <w:textAlignment w:val="baseline"/>
                    <w:rPr>
                      <w:szCs w:val="21"/>
                    </w:rPr>
                  </w:pPr>
                  <w:r>
                    <w:rPr>
                      <w:kern w:val="0"/>
                      <w:szCs w:val="21"/>
                      <w:lang w:bidi="ar"/>
                    </w:rPr>
                    <w:t>≤15</w:t>
                  </w:r>
                </w:p>
              </w:tc>
              <w:tc>
                <w:tcPr>
                  <w:tcW w:w="3607" w:type="dxa"/>
                  <w:vMerge w:val="restart"/>
                  <w:vAlign w:val="center"/>
                </w:tcPr>
                <w:p w14:paraId="55170C4B">
                  <w:pPr>
                    <w:widowControl/>
                    <w:adjustRightInd w:val="0"/>
                    <w:snapToGrid w:val="0"/>
                    <w:jc w:val="center"/>
                    <w:textAlignment w:val="baseline"/>
                    <w:rPr>
                      <w:kern w:val="0"/>
                      <w:szCs w:val="21"/>
                      <w:lang w:bidi="ar"/>
                    </w:rPr>
                  </w:pPr>
                  <w:r>
                    <w:rPr>
                      <w:rFonts w:hint="eastAsia"/>
                      <w:kern w:val="0"/>
                      <w:szCs w:val="21"/>
                      <w:lang w:bidi="ar"/>
                    </w:rPr>
                    <w:t>按照NY/T1987的规定执行，以烘干基计算</w:t>
                  </w:r>
                </w:p>
              </w:tc>
            </w:tr>
            <w:tr w14:paraId="41CD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764EB644">
                  <w:pPr>
                    <w:widowControl/>
                    <w:adjustRightInd w:val="0"/>
                    <w:snapToGrid w:val="0"/>
                    <w:jc w:val="center"/>
                    <w:textAlignment w:val="baseline"/>
                    <w:rPr>
                      <w:szCs w:val="21"/>
                    </w:rPr>
                  </w:pPr>
                  <w:r>
                    <w:rPr>
                      <w:kern w:val="0"/>
                      <w:szCs w:val="21"/>
                      <w:lang w:bidi="ar"/>
                    </w:rPr>
                    <w:t>总汞（Hg）（以烘干基计）/（mg/kg）</w:t>
                  </w:r>
                </w:p>
              </w:tc>
              <w:tc>
                <w:tcPr>
                  <w:tcW w:w="938" w:type="dxa"/>
                  <w:vAlign w:val="center"/>
                </w:tcPr>
                <w:p w14:paraId="1FDE8304">
                  <w:pPr>
                    <w:widowControl/>
                    <w:adjustRightInd w:val="0"/>
                    <w:snapToGrid w:val="0"/>
                    <w:jc w:val="center"/>
                    <w:textAlignment w:val="baseline"/>
                    <w:rPr>
                      <w:szCs w:val="21"/>
                    </w:rPr>
                  </w:pPr>
                  <w:r>
                    <w:rPr>
                      <w:kern w:val="0"/>
                      <w:szCs w:val="21"/>
                      <w:lang w:bidi="ar"/>
                    </w:rPr>
                    <w:t>≤2</w:t>
                  </w:r>
                </w:p>
              </w:tc>
              <w:tc>
                <w:tcPr>
                  <w:tcW w:w="3607" w:type="dxa"/>
                  <w:vMerge w:val="continue"/>
                  <w:vAlign w:val="center"/>
                </w:tcPr>
                <w:p w14:paraId="67B08403">
                  <w:pPr>
                    <w:widowControl/>
                    <w:adjustRightInd w:val="0"/>
                    <w:snapToGrid w:val="0"/>
                    <w:jc w:val="center"/>
                    <w:textAlignment w:val="baseline"/>
                    <w:rPr>
                      <w:kern w:val="0"/>
                      <w:szCs w:val="21"/>
                      <w:lang w:bidi="ar"/>
                    </w:rPr>
                  </w:pPr>
                </w:p>
              </w:tc>
            </w:tr>
            <w:tr w14:paraId="49F2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33906775">
                  <w:pPr>
                    <w:widowControl/>
                    <w:adjustRightInd w:val="0"/>
                    <w:snapToGrid w:val="0"/>
                    <w:jc w:val="center"/>
                    <w:textAlignment w:val="baseline"/>
                    <w:rPr>
                      <w:szCs w:val="21"/>
                    </w:rPr>
                  </w:pPr>
                  <w:r>
                    <w:rPr>
                      <w:kern w:val="0"/>
                      <w:szCs w:val="21"/>
                      <w:lang w:bidi="ar"/>
                    </w:rPr>
                    <w:t>总铅（Pb）（以烘干基计）/（mg/kg）</w:t>
                  </w:r>
                </w:p>
              </w:tc>
              <w:tc>
                <w:tcPr>
                  <w:tcW w:w="938" w:type="dxa"/>
                  <w:vAlign w:val="center"/>
                </w:tcPr>
                <w:p w14:paraId="6BF219F2">
                  <w:pPr>
                    <w:widowControl/>
                    <w:adjustRightInd w:val="0"/>
                    <w:snapToGrid w:val="0"/>
                    <w:jc w:val="center"/>
                    <w:textAlignment w:val="baseline"/>
                    <w:rPr>
                      <w:szCs w:val="21"/>
                    </w:rPr>
                  </w:pPr>
                  <w:r>
                    <w:rPr>
                      <w:kern w:val="0"/>
                      <w:szCs w:val="21"/>
                      <w:lang w:bidi="ar"/>
                    </w:rPr>
                    <w:t>≤50</w:t>
                  </w:r>
                </w:p>
              </w:tc>
              <w:tc>
                <w:tcPr>
                  <w:tcW w:w="3607" w:type="dxa"/>
                  <w:vMerge w:val="continue"/>
                  <w:vAlign w:val="center"/>
                </w:tcPr>
                <w:p w14:paraId="0E49914F">
                  <w:pPr>
                    <w:widowControl/>
                    <w:adjustRightInd w:val="0"/>
                    <w:snapToGrid w:val="0"/>
                    <w:jc w:val="center"/>
                    <w:textAlignment w:val="baseline"/>
                    <w:rPr>
                      <w:kern w:val="0"/>
                      <w:szCs w:val="21"/>
                      <w:lang w:bidi="ar"/>
                    </w:rPr>
                  </w:pPr>
                </w:p>
              </w:tc>
            </w:tr>
            <w:tr w14:paraId="31C7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33C8AA85">
                  <w:pPr>
                    <w:widowControl/>
                    <w:adjustRightInd w:val="0"/>
                    <w:snapToGrid w:val="0"/>
                    <w:jc w:val="center"/>
                    <w:textAlignment w:val="baseline"/>
                    <w:rPr>
                      <w:szCs w:val="21"/>
                    </w:rPr>
                  </w:pPr>
                  <w:r>
                    <w:rPr>
                      <w:kern w:val="0"/>
                      <w:szCs w:val="21"/>
                      <w:lang w:bidi="ar"/>
                    </w:rPr>
                    <w:t>总镉（Cd）（以烘干基计）/（mg/kg）</w:t>
                  </w:r>
                </w:p>
              </w:tc>
              <w:tc>
                <w:tcPr>
                  <w:tcW w:w="938" w:type="dxa"/>
                  <w:vAlign w:val="center"/>
                </w:tcPr>
                <w:p w14:paraId="516B7B77">
                  <w:pPr>
                    <w:widowControl/>
                    <w:adjustRightInd w:val="0"/>
                    <w:snapToGrid w:val="0"/>
                    <w:jc w:val="center"/>
                    <w:textAlignment w:val="baseline"/>
                    <w:rPr>
                      <w:szCs w:val="21"/>
                    </w:rPr>
                  </w:pPr>
                  <w:r>
                    <w:rPr>
                      <w:kern w:val="0"/>
                      <w:szCs w:val="21"/>
                      <w:lang w:bidi="ar"/>
                    </w:rPr>
                    <w:t>≤3</w:t>
                  </w:r>
                </w:p>
              </w:tc>
              <w:tc>
                <w:tcPr>
                  <w:tcW w:w="3607" w:type="dxa"/>
                  <w:vMerge w:val="continue"/>
                  <w:vAlign w:val="center"/>
                </w:tcPr>
                <w:p w14:paraId="39341EE5">
                  <w:pPr>
                    <w:widowControl/>
                    <w:adjustRightInd w:val="0"/>
                    <w:snapToGrid w:val="0"/>
                    <w:jc w:val="center"/>
                    <w:textAlignment w:val="baseline"/>
                    <w:rPr>
                      <w:kern w:val="0"/>
                      <w:szCs w:val="21"/>
                      <w:lang w:bidi="ar"/>
                    </w:rPr>
                  </w:pPr>
                </w:p>
              </w:tc>
            </w:tr>
            <w:tr w14:paraId="4BCC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7B5ABC7E">
                  <w:pPr>
                    <w:widowControl/>
                    <w:adjustRightInd w:val="0"/>
                    <w:snapToGrid w:val="0"/>
                    <w:jc w:val="center"/>
                    <w:textAlignment w:val="baseline"/>
                    <w:rPr>
                      <w:szCs w:val="21"/>
                    </w:rPr>
                  </w:pPr>
                  <w:r>
                    <w:rPr>
                      <w:kern w:val="0"/>
                      <w:szCs w:val="21"/>
                      <w:lang w:bidi="ar"/>
                    </w:rPr>
                    <w:t>总铬（Cr）（以烘干基计）/（mg/kg）</w:t>
                  </w:r>
                </w:p>
              </w:tc>
              <w:tc>
                <w:tcPr>
                  <w:tcW w:w="938" w:type="dxa"/>
                  <w:vAlign w:val="center"/>
                </w:tcPr>
                <w:p w14:paraId="4F6F4B52">
                  <w:pPr>
                    <w:widowControl/>
                    <w:adjustRightInd w:val="0"/>
                    <w:snapToGrid w:val="0"/>
                    <w:jc w:val="center"/>
                    <w:textAlignment w:val="baseline"/>
                    <w:rPr>
                      <w:szCs w:val="21"/>
                    </w:rPr>
                  </w:pPr>
                  <w:r>
                    <w:rPr>
                      <w:kern w:val="0"/>
                      <w:szCs w:val="21"/>
                      <w:lang w:bidi="ar"/>
                    </w:rPr>
                    <w:t>≤150</w:t>
                  </w:r>
                </w:p>
              </w:tc>
              <w:tc>
                <w:tcPr>
                  <w:tcW w:w="3607" w:type="dxa"/>
                  <w:vMerge w:val="continue"/>
                  <w:vAlign w:val="center"/>
                </w:tcPr>
                <w:p w14:paraId="5AABA35C">
                  <w:pPr>
                    <w:widowControl/>
                    <w:adjustRightInd w:val="0"/>
                    <w:snapToGrid w:val="0"/>
                    <w:jc w:val="center"/>
                    <w:textAlignment w:val="baseline"/>
                    <w:rPr>
                      <w:kern w:val="0"/>
                      <w:szCs w:val="21"/>
                      <w:lang w:bidi="ar"/>
                    </w:rPr>
                  </w:pPr>
                </w:p>
              </w:tc>
            </w:tr>
            <w:tr w14:paraId="3297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0E7D8955">
                  <w:pPr>
                    <w:widowControl/>
                    <w:adjustRightInd w:val="0"/>
                    <w:snapToGrid w:val="0"/>
                    <w:jc w:val="center"/>
                    <w:textAlignment w:val="baseline"/>
                    <w:rPr>
                      <w:kern w:val="0"/>
                      <w:szCs w:val="21"/>
                      <w:lang w:bidi="ar"/>
                    </w:rPr>
                  </w:pPr>
                  <w:r>
                    <w:rPr>
                      <w:rFonts w:hint="eastAsia"/>
                      <w:kern w:val="0"/>
                      <w:szCs w:val="21"/>
                      <w:lang w:bidi="ar"/>
                    </w:rPr>
                    <w:t>粪大肠菌群数，个/g</w:t>
                  </w:r>
                </w:p>
              </w:tc>
              <w:tc>
                <w:tcPr>
                  <w:tcW w:w="938" w:type="dxa"/>
                  <w:vAlign w:val="center"/>
                </w:tcPr>
                <w:p w14:paraId="632DDBC4">
                  <w:pPr>
                    <w:widowControl/>
                    <w:adjustRightInd w:val="0"/>
                    <w:snapToGrid w:val="0"/>
                    <w:jc w:val="center"/>
                    <w:textAlignment w:val="baseline"/>
                    <w:rPr>
                      <w:kern w:val="0"/>
                      <w:szCs w:val="21"/>
                      <w:lang w:bidi="ar"/>
                    </w:rPr>
                  </w:pPr>
                  <w:r>
                    <w:rPr>
                      <w:kern w:val="0"/>
                      <w:szCs w:val="21"/>
                      <w:lang w:bidi="ar"/>
                    </w:rPr>
                    <w:t>≤</w:t>
                  </w:r>
                  <w:r>
                    <w:rPr>
                      <w:rFonts w:hint="eastAsia"/>
                      <w:kern w:val="0"/>
                      <w:szCs w:val="21"/>
                      <w:lang w:bidi="ar"/>
                    </w:rPr>
                    <w:t>100</w:t>
                  </w:r>
                </w:p>
              </w:tc>
              <w:tc>
                <w:tcPr>
                  <w:tcW w:w="3607" w:type="dxa"/>
                  <w:vAlign w:val="center"/>
                </w:tcPr>
                <w:p w14:paraId="2A74BDA8">
                  <w:pPr>
                    <w:widowControl/>
                    <w:adjustRightInd w:val="0"/>
                    <w:snapToGrid w:val="0"/>
                    <w:jc w:val="center"/>
                    <w:textAlignment w:val="baseline"/>
                    <w:rPr>
                      <w:kern w:val="0"/>
                      <w:szCs w:val="21"/>
                      <w:lang w:bidi="ar"/>
                    </w:rPr>
                  </w:pPr>
                  <w:r>
                    <w:rPr>
                      <w:rFonts w:hint="eastAsia"/>
                      <w:kern w:val="0"/>
                      <w:szCs w:val="21"/>
                      <w:lang w:bidi="ar"/>
                    </w:rPr>
                    <w:t>按照GB/T19524.1规定执行</w:t>
                  </w:r>
                </w:p>
              </w:tc>
            </w:tr>
            <w:tr w14:paraId="7733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2976C9C1">
                  <w:pPr>
                    <w:widowControl/>
                    <w:adjustRightInd w:val="0"/>
                    <w:snapToGrid w:val="0"/>
                    <w:jc w:val="center"/>
                    <w:textAlignment w:val="baseline"/>
                    <w:rPr>
                      <w:kern w:val="0"/>
                      <w:szCs w:val="21"/>
                      <w:lang w:bidi="ar"/>
                    </w:rPr>
                  </w:pPr>
                  <w:r>
                    <w:rPr>
                      <w:rFonts w:hint="eastAsia"/>
                      <w:kern w:val="0"/>
                      <w:szCs w:val="21"/>
                      <w:lang w:bidi="ar"/>
                    </w:rPr>
                    <w:t>蛔虫卵死亡率，%</w:t>
                  </w:r>
                </w:p>
              </w:tc>
              <w:tc>
                <w:tcPr>
                  <w:tcW w:w="938" w:type="dxa"/>
                  <w:vAlign w:val="center"/>
                </w:tcPr>
                <w:p w14:paraId="54638299">
                  <w:pPr>
                    <w:widowControl/>
                    <w:adjustRightInd w:val="0"/>
                    <w:snapToGrid w:val="0"/>
                    <w:jc w:val="center"/>
                    <w:textAlignment w:val="baseline"/>
                    <w:rPr>
                      <w:kern w:val="0"/>
                      <w:szCs w:val="21"/>
                      <w:lang w:bidi="ar"/>
                    </w:rPr>
                  </w:pPr>
                  <w:r>
                    <w:rPr>
                      <w:kern w:val="0"/>
                      <w:szCs w:val="21"/>
                      <w:lang w:bidi="ar"/>
                    </w:rPr>
                    <w:t>≥</w:t>
                  </w:r>
                  <w:r>
                    <w:rPr>
                      <w:rFonts w:hint="eastAsia"/>
                      <w:kern w:val="0"/>
                      <w:szCs w:val="21"/>
                      <w:lang w:bidi="ar"/>
                    </w:rPr>
                    <w:t>95</w:t>
                  </w:r>
                </w:p>
              </w:tc>
              <w:tc>
                <w:tcPr>
                  <w:tcW w:w="3607" w:type="dxa"/>
                  <w:vAlign w:val="center"/>
                </w:tcPr>
                <w:p w14:paraId="0A3C4F80">
                  <w:pPr>
                    <w:widowControl/>
                    <w:adjustRightInd w:val="0"/>
                    <w:snapToGrid w:val="0"/>
                    <w:jc w:val="center"/>
                    <w:textAlignment w:val="baseline"/>
                    <w:rPr>
                      <w:kern w:val="0"/>
                      <w:szCs w:val="21"/>
                      <w:lang w:bidi="ar"/>
                    </w:rPr>
                  </w:pPr>
                  <w:r>
                    <w:rPr>
                      <w:rFonts w:hint="eastAsia"/>
                      <w:kern w:val="0"/>
                      <w:szCs w:val="21"/>
                      <w:lang w:bidi="ar"/>
                    </w:rPr>
                    <w:t>按照GB/T19524.2规定执行</w:t>
                  </w:r>
                </w:p>
              </w:tc>
            </w:tr>
          </w:tbl>
          <w:p w14:paraId="20FEB9E3">
            <w:pPr>
              <w:adjustRightInd w:val="0"/>
              <w:snapToGrid w:val="0"/>
              <w:spacing w:line="360" w:lineRule="auto"/>
              <w:ind w:firstLine="480" w:firstLineChars="200"/>
              <w:rPr>
                <w:bCs/>
                <w:sz w:val="24"/>
              </w:rPr>
            </w:pPr>
            <w:r>
              <w:rPr>
                <w:rFonts w:hint="eastAsia"/>
                <w:bCs/>
                <w:sz w:val="24"/>
              </w:rPr>
              <w:t>2、中量元素有机肥</w:t>
            </w:r>
          </w:p>
          <w:p w14:paraId="21239AEB">
            <w:pPr>
              <w:adjustRightInd w:val="0"/>
              <w:snapToGrid w:val="0"/>
              <w:spacing w:line="360" w:lineRule="auto"/>
              <w:ind w:firstLine="480" w:firstLineChars="200"/>
              <w:rPr>
                <w:bCs/>
                <w:sz w:val="24"/>
              </w:rPr>
            </w:pPr>
            <w:r>
              <w:rPr>
                <w:rFonts w:hint="eastAsia"/>
                <w:bCs/>
                <w:sz w:val="24"/>
              </w:rPr>
              <w:t>根据</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w:t>
            </w:r>
            <w:r>
              <w:rPr>
                <w:bCs/>
                <w:sz w:val="24"/>
              </w:rPr>
              <w:t>）</w:t>
            </w:r>
            <w:r>
              <w:rPr>
                <w:rFonts w:hint="eastAsia"/>
                <w:bCs/>
                <w:sz w:val="24"/>
              </w:rPr>
              <w:t>：“本标准适用于以人及畜禽粪便、动植物残体、农产品加工下脚料等有机物料经过发酵，进行无害化处理后，添加无机肥料制成的有机无机复混肥料。包含有机无机掺混肥料”。根据项目生产工艺，项目采用低变质褐煤、锯木屑、尿素、发酵菌剂进行发酵，浮选尾矿中含有P、Mg、Ca等元素，同时重金属含量较低（见附件4），可补充有机肥料中的P、Mg、Ca等元素，提升肥料的养分含量和综合性能，属于</w:t>
            </w:r>
            <w:r>
              <w:rPr>
                <w:bCs/>
                <w:sz w:val="24"/>
              </w:rPr>
              <w:t>有机</w:t>
            </w:r>
            <w:r>
              <w:rPr>
                <w:rFonts w:hint="eastAsia"/>
                <w:bCs/>
                <w:sz w:val="24"/>
              </w:rPr>
              <w:t>无机复混</w:t>
            </w:r>
            <w:r>
              <w:rPr>
                <w:bCs/>
                <w:sz w:val="24"/>
              </w:rPr>
              <w:t>肥料</w:t>
            </w:r>
            <w:r>
              <w:rPr>
                <w:rFonts w:hint="eastAsia"/>
                <w:bCs/>
                <w:sz w:val="24"/>
              </w:rPr>
              <w:t>的范畴。本项目中量元素有机肥年生产量为50000t，产品质量执行</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w:t>
            </w:r>
            <w:r>
              <w:rPr>
                <w:bCs/>
                <w:sz w:val="24"/>
              </w:rPr>
              <w:t>）</w:t>
            </w:r>
            <w:r>
              <w:rPr>
                <w:rFonts w:hint="eastAsia"/>
                <w:bCs/>
                <w:sz w:val="24"/>
              </w:rPr>
              <w:t>。</w:t>
            </w:r>
          </w:p>
          <w:p w14:paraId="7108B77A">
            <w:pPr>
              <w:adjustRightInd w:val="0"/>
              <w:snapToGrid w:val="0"/>
              <w:spacing w:line="360" w:lineRule="auto"/>
              <w:ind w:firstLine="480" w:firstLineChars="200"/>
              <w:rPr>
                <w:bCs/>
                <w:sz w:val="24"/>
              </w:rPr>
            </w:pPr>
            <w:r>
              <w:rPr>
                <w:rFonts w:hint="eastAsia"/>
                <w:bCs/>
                <w:sz w:val="24"/>
              </w:rPr>
              <w:t>根据国内相关研究，尾矿中含有的P、Mg、Ca等元素可被酸性物质活化，作物根系在生产发育阶段不断释放有机酸，可将磷尾矿中Mg、Ca活化，转换为植物吸收的Mg、Ca养分；同时，尾矿中的钙、镁等成分可调节有机肥料的pH值，尤其对于酸性土壤或发酵过程中pH偏低的有机肥，添加尾矿可起到中和作用，优化肥料的酸碱环境，有利于微生物活动和养分保持。此外，尾矿的颗粒结构可改善有机肥料的透气性和保水性，提升肥料的物理品质。</w:t>
            </w:r>
          </w:p>
          <w:p w14:paraId="22A72EE8">
            <w:pPr>
              <w:adjustRightInd w:val="0"/>
              <w:snapToGrid w:val="0"/>
              <w:spacing w:line="360" w:lineRule="auto"/>
              <w:ind w:firstLine="480" w:firstLineChars="200"/>
              <w:rPr>
                <w:bCs/>
                <w:sz w:val="24"/>
              </w:rPr>
            </w:pPr>
            <w:r>
              <w:rPr>
                <w:rFonts w:hint="eastAsia"/>
                <w:bCs/>
                <w:sz w:val="24"/>
              </w:rPr>
              <w:t>本项目中量元素有机肥执行的</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w:t>
            </w:r>
            <w:r>
              <w:rPr>
                <w:bCs/>
                <w:sz w:val="24"/>
              </w:rPr>
              <w:t>）</w:t>
            </w:r>
            <w:r>
              <w:rPr>
                <w:rFonts w:hint="eastAsia"/>
                <w:bCs/>
                <w:sz w:val="24"/>
              </w:rPr>
              <w:t>技术指标要求见表2-5。</w:t>
            </w:r>
          </w:p>
          <w:p w14:paraId="46F81EFC">
            <w:pPr>
              <w:pStyle w:val="76"/>
              <w:spacing w:before="0" w:after="0" w:line="240" w:lineRule="auto"/>
              <w:ind w:left="105" w:leftChars="50" w:right="105"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表</w:t>
            </w:r>
            <w:r>
              <w:rPr>
                <w:rFonts w:hint="eastAsia" w:ascii="Times New Roman" w:hAnsi="Times New Roman" w:eastAsia="宋体" w:cs="Times New Roman"/>
                <w:sz w:val="21"/>
                <w:szCs w:val="21"/>
              </w:rPr>
              <w:t>2</w:t>
            </w:r>
            <w:r>
              <w:rPr>
                <w:rFonts w:ascii="Times New Roman" w:hAnsi="Times New Roman" w:eastAsia="宋体" w:cs="Times New Roman"/>
                <w:sz w:val="21"/>
                <w:szCs w:val="21"/>
              </w:rPr>
              <w:t>-</w:t>
            </w:r>
            <w:r>
              <w:rPr>
                <w:rFonts w:hint="eastAsia" w:ascii="Times New Roman" w:hAnsi="Times New Roman" w:eastAsia="宋体" w:cs="Times New Roman"/>
                <w:sz w:val="21"/>
                <w:szCs w:val="21"/>
              </w:rPr>
              <w:t>5</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有机无机复混肥料技术指标要求</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026"/>
              <w:gridCol w:w="3186"/>
            </w:tblGrid>
            <w:tr w14:paraId="5E83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0" w:type="pct"/>
                  <w:gridSpan w:val="2"/>
                  <w:vAlign w:val="center"/>
                </w:tcPr>
                <w:p w14:paraId="148B499F">
                  <w:pPr>
                    <w:autoSpaceDE w:val="0"/>
                    <w:autoSpaceDN w:val="0"/>
                    <w:spacing w:line="276" w:lineRule="auto"/>
                    <w:jc w:val="center"/>
                    <w:rPr>
                      <w:b/>
                      <w:bCs/>
                      <w:kern w:val="0"/>
                      <w:szCs w:val="21"/>
                    </w:rPr>
                  </w:pPr>
                  <w:r>
                    <w:rPr>
                      <w:rFonts w:hAnsi="宋体"/>
                      <w:b/>
                      <w:bCs/>
                      <w:kern w:val="0"/>
                      <w:szCs w:val="21"/>
                    </w:rPr>
                    <w:t>项目</w:t>
                  </w:r>
                </w:p>
              </w:tc>
              <w:tc>
                <w:tcPr>
                  <w:tcW w:w="2009" w:type="pct"/>
                  <w:vAlign w:val="center"/>
                </w:tcPr>
                <w:p w14:paraId="1EAA1FA2">
                  <w:pPr>
                    <w:autoSpaceDE w:val="0"/>
                    <w:autoSpaceDN w:val="0"/>
                    <w:spacing w:line="276" w:lineRule="auto"/>
                    <w:jc w:val="center"/>
                    <w:rPr>
                      <w:b/>
                      <w:bCs/>
                      <w:kern w:val="0"/>
                      <w:szCs w:val="21"/>
                    </w:rPr>
                  </w:pPr>
                  <w:r>
                    <w:rPr>
                      <w:rFonts w:hAnsi="宋体"/>
                      <w:b/>
                      <w:bCs/>
                      <w:kern w:val="0"/>
                      <w:szCs w:val="21"/>
                    </w:rPr>
                    <w:t>指标</w:t>
                  </w:r>
                </w:p>
              </w:tc>
            </w:tr>
            <w:tr w14:paraId="43FC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0" w:type="pct"/>
                  <w:gridSpan w:val="2"/>
                  <w:vAlign w:val="center"/>
                </w:tcPr>
                <w:p w14:paraId="2A3E40AA">
                  <w:pPr>
                    <w:autoSpaceDE w:val="0"/>
                    <w:autoSpaceDN w:val="0"/>
                    <w:spacing w:line="276" w:lineRule="auto"/>
                    <w:jc w:val="center"/>
                    <w:rPr>
                      <w:kern w:val="0"/>
                      <w:szCs w:val="21"/>
                    </w:rPr>
                  </w:pPr>
                  <w:r>
                    <w:rPr>
                      <w:rFonts w:hAnsi="宋体"/>
                      <w:kern w:val="0"/>
                      <w:szCs w:val="21"/>
                    </w:rPr>
                    <w:t>外观</w:t>
                  </w:r>
                </w:p>
              </w:tc>
              <w:tc>
                <w:tcPr>
                  <w:tcW w:w="2009" w:type="pct"/>
                  <w:vAlign w:val="center"/>
                </w:tcPr>
                <w:p w14:paraId="54A41082">
                  <w:pPr>
                    <w:autoSpaceDE w:val="0"/>
                    <w:autoSpaceDN w:val="0"/>
                    <w:spacing w:line="276" w:lineRule="auto"/>
                    <w:jc w:val="center"/>
                    <w:rPr>
                      <w:kern w:val="0"/>
                      <w:szCs w:val="21"/>
                    </w:rPr>
                  </w:pPr>
                  <w:r>
                    <w:rPr>
                      <w:rFonts w:hint="eastAsia"/>
                      <w:kern w:val="0"/>
                      <w:szCs w:val="21"/>
                    </w:rPr>
                    <w:t>颗粒状或条状，无机械杂质</w:t>
                  </w:r>
                </w:p>
              </w:tc>
            </w:tr>
            <w:tr w14:paraId="06DA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restart"/>
                  <w:vAlign w:val="center"/>
                </w:tcPr>
                <w:p w14:paraId="474F0684">
                  <w:pPr>
                    <w:autoSpaceDE w:val="0"/>
                    <w:autoSpaceDN w:val="0"/>
                    <w:spacing w:line="276" w:lineRule="auto"/>
                    <w:jc w:val="center"/>
                    <w:rPr>
                      <w:kern w:val="0"/>
                      <w:szCs w:val="21"/>
                    </w:rPr>
                  </w:pPr>
                  <w:r>
                    <w:rPr>
                      <w:rFonts w:hint="eastAsia" w:hAnsi="宋体"/>
                      <w:kern w:val="0"/>
                      <w:szCs w:val="21"/>
                    </w:rPr>
                    <w:t>技术</w:t>
                  </w:r>
                  <w:r>
                    <w:rPr>
                      <w:rFonts w:hAnsi="宋体"/>
                      <w:kern w:val="0"/>
                      <w:szCs w:val="21"/>
                    </w:rPr>
                    <w:t>指标</w:t>
                  </w:r>
                </w:p>
              </w:tc>
              <w:tc>
                <w:tcPr>
                  <w:tcW w:w="2538" w:type="pct"/>
                  <w:vAlign w:val="center"/>
                </w:tcPr>
                <w:p w14:paraId="71AA2CAA">
                  <w:pPr>
                    <w:autoSpaceDE w:val="0"/>
                    <w:autoSpaceDN w:val="0"/>
                    <w:spacing w:line="276" w:lineRule="auto"/>
                    <w:jc w:val="center"/>
                    <w:rPr>
                      <w:kern w:val="0"/>
                      <w:szCs w:val="21"/>
                    </w:rPr>
                  </w:pPr>
                  <w:r>
                    <w:rPr>
                      <w:rFonts w:hint="eastAsia"/>
                      <w:kern w:val="0"/>
                      <w:szCs w:val="21"/>
                    </w:rPr>
                    <w:t>有机质</w:t>
                  </w:r>
                  <w:r>
                    <w:rPr>
                      <w:kern w:val="0"/>
                      <w:szCs w:val="21"/>
                    </w:rPr>
                    <w:t>的质量分数</w:t>
                  </w:r>
                  <w:r>
                    <w:rPr>
                      <w:rFonts w:hint="eastAsia"/>
                      <w:kern w:val="0"/>
                      <w:szCs w:val="21"/>
                    </w:rPr>
                    <w:t>（以烘干基计），%</w:t>
                  </w:r>
                </w:p>
              </w:tc>
              <w:tc>
                <w:tcPr>
                  <w:tcW w:w="2009" w:type="pct"/>
                  <w:vAlign w:val="center"/>
                </w:tcPr>
                <w:p w14:paraId="21D74037">
                  <w:pPr>
                    <w:autoSpaceDE w:val="0"/>
                    <w:autoSpaceDN w:val="0"/>
                    <w:spacing w:line="276" w:lineRule="auto"/>
                    <w:jc w:val="center"/>
                    <w:rPr>
                      <w:kern w:val="0"/>
                      <w:szCs w:val="21"/>
                    </w:rPr>
                  </w:pPr>
                  <w:r>
                    <w:rPr>
                      <w:rFonts w:hint="eastAsia"/>
                      <w:kern w:val="0"/>
                      <w:szCs w:val="21"/>
                    </w:rPr>
                    <w:t>Ⅰ型≥20，Ⅱ型≥15，Ⅲ型≥10</w:t>
                  </w:r>
                </w:p>
              </w:tc>
            </w:tr>
            <w:tr w14:paraId="5B74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393D694F">
                  <w:pPr>
                    <w:autoSpaceDE w:val="0"/>
                    <w:autoSpaceDN w:val="0"/>
                    <w:spacing w:line="276" w:lineRule="auto"/>
                    <w:jc w:val="center"/>
                    <w:rPr>
                      <w:kern w:val="0"/>
                      <w:szCs w:val="21"/>
                    </w:rPr>
                  </w:pPr>
                </w:p>
              </w:tc>
              <w:tc>
                <w:tcPr>
                  <w:tcW w:w="2538" w:type="pct"/>
                  <w:vAlign w:val="center"/>
                </w:tcPr>
                <w:p w14:paraId="1FBA881C">
                  <w:pPr>
                    <w:autoSpaceDE w:val="0"/>
                    <w:autoSpaceDN w:val="0"/>
                    <w:spacing w:line="276" w:lineRule="auto"/>
                    <w:jc w:val="center"/>
                    <w:rPr>
                      <w:kern w:val="0"/>
                      <w:szCs w:val="21"/>
                    </w:rPr>
                  </w:pPr>
                  <w:r>
                    <w:rPr>
                      <w:rFonts w:hAnsi="宋体"/>
                      <w:kern w:val="0"/>
                      <w:szCs w:val="21"/>
                    </w:rPr>
                    <w:t>总养分（</w:t>
                  </w:r>
                  <w:r>
                    <w:rPr>
                      <w:kern w:val="0"/>
                      <w:szCs w:val="21"/>
                    </w:rPr>
                    <w:t>N+P</w:t>
                  </w:r>
                  <w:r>
                    <w:rPr>
                      <w:kern w:val="0"/>
                      <w:szCs w:val="21"/>
                      <w:vertAlign w:val="subscript"/>
                    </w:rPr>
                    <w:t>2</w:t>
                  </w:r>
                  <w:r>
                    <w:rPr>
                      <w:kern w:val="0"/>
                      <w:szCs w:val="21"/>
                    </w:rPr>
                    <w:t>O</w:t>
                  </w:r>
                  <w:r>
                    <w:rPr>
                      <w:kern w:val="0"/>
                      <w:szCs w:val="21"/>
                      <w:vertAlign w:val="subscript"/>
                    </w:rPr>
                    <w:t>5</w:t>
                  </w:r>
                  <w:r>
                    <w:rPr>
                      <w:kern w:val="0"/>
                      <w:szCs w:val="21"/>
                    </w:rPr>
                    <w:t>+K</w:t>
                  </w:r>
                  <w:r>
                    <w:rPr>
                      <w:kern w:val="0"/>
                      <w:szCs w:val="21"/>
                      <w:vertAlign w:val="subscript"/>
                    </w:rPr>
                    <w:t>2</w:t>
                  </w:r>
                  <w:r>
                    <w:rPr>
                      <w:kern w:val="0"/>
                      <w:szCs w:val="21"/>
                    </w:rPr>
                    <w:t>O</w:t>
                  </w:r>
                  <w:r>
                    <w:rPr>
                      <w:rFonts w:hAnsi="宋体"/>
                      <w:kern w:val="0"/>
                      <w:szCs w:val="21"/>
                    </w:rPr>
                    <w:t>）</w:t>
                  </w:r>
                  <w:r>
                    <w:rPr>
                      <w:rFonts w:hint="eastAsia"/>
                      <w:kern w:val="0"/>
                      <w:szCs w:val="21"/>
                    </w:rPr>
                    <w:t>的含量，%</w:t>
                  </w:r>
                </w:p>
              </w:tc>
              <w:tc>
                <w:tcPr>
                  <w:tcW w:w="2009" w:type="pct"/>
                  <w:vAlign w:val="center"/>
                </w:tcPr>
                <w:p w14:paraId="28CF243D">
                  <w:pPr>
                    <w:autoSpaceDE w:val="0"/>
                    <w:autoSpaceDN w:val="0"/>
                    <w:spacing w:line="276" w:lineRule="auto"/>
                    <w:jc w:val="center"/>
                    <w:rPr>
                      <w:kern w:val="0"/>
                      <w:szCs w:val="21"/>
                    </w:rPr>
                  </w:pPr>
                  <w:r>
                    <w:rPr>
                      <w:rFonts w:hint="eastAsia"/>
                      <w:kern w:val="0"/>
                      <w:szCs w:val="21"/>
                    </w:rPr>
                    <w:t>Ⅰ型≥15，Ⅱ型≥25，Ⅲ型≥35</w:t>
                  </w:r>
                </w:p>
              </w:tc>
            </w:tr>
            <w:tr w14:paraId="1E09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22339313">
                  <w:pPr>
                    <w:autoSpaceDE w:val="0"/>
                    <w:autoSpaceDN w:val="0"/>
                    <w:spacing w:line="276" w:lineRule="auto"/>
                    <w:jc w:val="center"/>
                    <w:rPr>
                      <w:kern w:val="0"/>
                      <w:szCs w:val="21"/>
                    </w:rPr>
                  </w:pPr>
                </w:p>
              </w:tc>
              <w:tc>
                <w:tcPr>
                  <w:tcW w:w="2538" w:type="pct"/>
                  <w:vAlign w:val="center"/>
                </w:tcPr>
                <w:p w14:paraId="433B3BB6">
                  <w:pPr>
                    <w:autoSpaceDE w:val="0"/>
                    <w:autoSpaceDN w:val="0"/>
                    <w:spacing w:line="276" w:lineRule="auto"/>
                    <w:jc w:val="center"/>
                    <w:rPr>
                      <w:rFonts w:hAnsi="宋体"/>
                      <w:kern w:val="0"/>
                      <w:szCs w:val="21"/>
                    </w:rPr>
                  </w:pPr>
                  <w:r>
                    <w:rPr>
                      <w:rFonts w:hAnsi="宋体"/>
                      <w:kern w:val="0"/>
                      <w:szCs w:val="21"/>
                    </w:rPr>
                    <w:t>水分</w:t>
                  </w:r>
                  <w:r>
                    <w:rPr>
                      <w:rFonts w:hint="eastAsia" w:hAnsi="宋体"/>
                      <w:kern w:val="0"/>
                      <w:szCs w:val="21"/>
                    </w:rPr>
                    <w:t>的质量分数，%</w:t>
                  </w:r>
                </w:p>
              </w:tc>
              <w:tc>
                <w:tcPr>
                  <w:tcW w:w="2009" w:type="pct"/>
                  <w:vAlign w:val="center"/>
                </w:tcPr>
                <w:p w14:paraId="3171FEF6">
                  <w:pPr>
                    <w:autoSpaceDE w:val="0"/>
                    <w:autoSpaceDN w:val="0"/>
                    <w:spacing w:line="276" w:lineRule="auto"/>
                    <w:jc w:val="center"/>
                    <w:rPr>
                      <w:kern w:val="0"/>
                      <w:szCs w:val="21"/>
                    </w:rPr>
                  </w:pPr>
                  <w:r>
                    <w:rPr>
                      <w:rFonts w:hint="eastAsia"/>
                      <w:kern w:val="0"/>
                      <w:szCs w:val="21"/>
                    </w:rPr>
                    <w:t>Ⅰ型≤12，Ⅱ型≤12，Ⅲ型≤10</w:t>
                  </w:r>
                </w:p>
              </w:tc>
            </w:tr>
            <w:tr w14:paraId="0E3B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02C354E6">
                  <w:pPr>
                    <w:autoSpaceDE w:val="0"/>
                    <w:autoSpaceDN w:val="0"/>
                    <w:spacing w:line="276" w:lineRule="auto"/>
                    <w:jc w:val="center"/>
                    <w:rPr>
                      <w:kern w:val="0"/>
                      <w:szCs w:val="21"/>
                    </w:rPr>
                  </w:pPr>
                </w:p>
              </w:tc>
              <w:tc>
                <w:tcPr>
                  <w:tcW w:w="2538" w:type="pct"/>
                  <w:vAlign w:val="center"/>
                </w:tcPr>
                <w:p w14:paraId="35753A05">
                  <w:pPr>
                    <w:autoSpaceDE w:val="0"/>
                    <w:autoSpaceDN w:val="0"/>
                    <w:spacing w:line="276" w:lineRule="auto"/>
                    <w:jc w:val="center"/>
                    <w:rPr>
                      <w:rFonts w:hAnsi="宋体"/>
                      <w:kern w:val="0"/>
                      <w:szCs w:val="21"/>
                    </w:rPr>
                  </w:pPr>
                  <w:r>
                    <w:rPr>
                      <w:rFonts w:hAnsi="宋体"/>
                      <w:kern w:val="0"/>
                      <w:szCs w:val="21"/>
                    </w:rPr>
                    <w:t>酸碱度</w:t>
                  </w:r>
                  <w:r>
                    <w:rPr>
                      <w:rFonts w:hint="eastAsia" w:hAnsi="宋体"/>
                      <w:kern w:val="0"/>
                      <w:szCs w:val="21"/>
                    </w:rPr>
                    <w:t>（pH）</w:t>
                  </w:r>
                </w:p>
              </w:tc>
              <w:tc>
                <w:tcPr>
                  <w:tcW w:w="2009" w:type="pct"/>
                  <w:vAlign w:val="center"/>
                </w:tcPr>
                <w:p w14:paraId="6584BF3F">
                  <w:pPr>
                    <w:autoSpaceDE w:val="0"/>
                    <w:autoSpaceDN w:val="0"/>
                    <w:spacing w:line="276" w:lineRule="auto"/>
                    <w:jc w:val="center"/>
                    <w:rPr>
                      <w:kern w:val="0"/>
                      <w:szCs w:val="21"/>
                    </w:rPr>
                  </w:pPr>
                  <w:r>
                    <w:rPr>
                      <w:rFonts w:hint="eastAsia"/>
                      <w:kern w:val="0"/>
                      <w:szCs w:val="21"/>
                    </w:rPr>
                    <w:t>Ⅰ、Ⅱ型5.5~8.5，Ⅲ型5.0-8.5</w:t>
                  </w:r>
                </w:p>
              </w:tc>
            </w:tr>
            <w:tr w14:paraId="43BE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restart"/>
                  <w:vAlign w:val="center"/>
                </w:tcPr>
                <w:p w14:paraId="7B9ED499">
                  <w:pPr>
                    <w:autoSpaceDE w:val="0"/>
                    <w:autoSpaceDN w:val="0"/>
                    <w:spacing w:line="276" w:lineRule="auto"/>
                    <w:jc w:val="center"/>
                    <w:rPr>
                      <w:kern w:val="0"/>
                      <w:szCs w:val="21"/>
                    </w:rPr>
                  </w:pPr>
                  <w:r>
                    <w:rPr>
                      <w:rFonts w:hint="eastAsia" w:hAnsi="宋体"/>
                      <w:kern w:val="0"/>
                      <w:szCs w:val="21"/>
                    </w:rPr>
                    <w:t>限量</w:t>
                  </w:r>
                  <w:r>
                    <w:rPr>
                      <w:rFonts w:hAnsi="宋体"/>
                      <w:kern w:val="0"/>
                      <w:szCs w:val="21"/>
                    </w:rPr>
                    <w:t>指标</w:t>
                  </w:r>
                </w:p>
              </w:tc>
              <w:tc>
                <w:tcPr>
                  <w:tcW w:w="2538" w:type="pct"/>
                  <w:vAlign w:val="center"/>
                </w:tcPr>
                <w:p w14:paraId="40D9ECA8">
                  <w:pPr>
                    <w:autoSpaceDE w:val="0"/>
                    <w:autoSpaceDN w:val="0"/>
                    <w:spacing w:line="276" w:lineRule="auto"/>
                    <w:jc w:val="center"/>
                    <w:rPr>
                      <w:kern w:val="0"/>
                      <w:szCs w:val="21"/>
                    </w:rPr>
                  </w:pPr>
                  <w:r>
                    <w:rPr>
                      <w:rFonts w:hAnsi="宋体"/>
                      <w:kern w:val="0"/>
                      <w:szCs w:val="21"/>
                    </w:rPr>
                    <w:t>总砷（</w:t>
                  </w:r>
                  <w:r>
                    <w:rPr>
                      <w:kern w:val="0"/>
                      <w:szCs w:val="21"/>
                    </w:rPr>
                    <w:t>As</w:t>
                  </w:r>
                  <w:r>
                    <w:rPr>
                      <w:rFonts w:hAnsi="宋体"/>
                      <w:kern w:val="0"/>
                      <w:szCs w:val="21"/>
                    </w:rPr>
                    <w:t>）</w:t>
                  </w:r>
                  <w:r>
                    <w:rPr>
                      <w:rFonts w:hint="eastAsia"/>
                      <w:kern w:val="0"/>
                      <w:szCs w:val="21"/>
                    </w:rPr>
                    <w:t>，</w:t>
                  </w:r>
                  <w:r>
                    <w:rPr>
                      <w:kern w:val="0"/>
                      <w:szCs w:val="21"/>
                    </w:rPr>
                    <w:t>mg/kg</w:t>
                  </w:r>
                </w:p>
              </w:tc>
              <w:tc>
                <w:tcPr>
                  <w:tcW w:w="2009" w:type="pct"/>
                  <w:vAlign w:val="center"/>
                </w:tcPr>
                <w:p w14:paraId="1FF9E663">
                  <w:pPr>
                    <w:autoSpaceDE w:val="0"/>
                    <w:autoSpaceDN w:val="0"/>
                    <w:spacing w:line="276" w:lineRule="auto"/>
                    <w:jc w:val="center"/>
                    <w:rPr>
                      <w:kern w:val="0"/>
                      <w:szCs w:val="21"/>
                    </w:rPr>
                  </w:pPr>
                  <w:r>
                    <w:rPr>
                      <w:kern w:val="0"/>
                      <w:szCs w:val="21"/>
                    </w:rPr>
                    <w:t>≤</w:t>
                  </w:r>
                  <w:r>
                    <w:rPr>
                      <w:rFonts w:hint="eastAsia"/>
                      <w:kern w:val="0"/>
                      <w:szCs w:val="21"/>
                    </w:rPr>
                    <w:t>50</w:t>
                  </w:r>
                </w:p>
              </w:tc>
            </w:tr>
            <w:tr w14:paraId="4653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41FE6B12">
                  <w:pPr>
                    <w:autoSpaceDE w:val="0"/>
                    <w:autoSpaceDN w:val="0"/>
                    <w:spacing w:line="276" w:lineRule="auto"/>
                    <w:jc w:val="center"/>
                    <w:rPr>
                      <w:rFonts w:hAnsi="宋体"/>
                      <w:kern w:val="0"/>
                      <w:szCs w:val="21"/>
                    </w:rPr>
                  </w:pPr>
                </w:p>
              </w:tc>
              <w:tc>
                <w:tcPr>
                  <w:tcW w:w="2538" w:type="pct"/>
                  <w:vAlign w:val="center"/>
                </w:tcPr>
                <w:p w14:paraId="61E2A807">
                  <w:pPr>
                    <w:autoSpaceDE w:val="0"/>
                    <w:autoSpaceDN w:val="0"/>
                    <w:spacing w:line="276" w:lineRule="auto"/>
                    <w:jc w:val="center"/>
                    <w:rPr>
                      <w:kern w:val="0"/>
                      <w:szCs w:val="21"/>
                    </w:rPr>
                  </w:pPr>
                  <w:r>
                    <w:rPr>
                      <w:rFonts w:hAnsi="宋体"/>
                      <w:kern w:val="0"/>
                      <w:szCs w:val="21"/>
                    </w:rPr>
                    <w:t>总汞（</w:t>
                  </w:r>
                  <w:r>
                    <w:rPr>
                      <w:kern w:val="0"/>
                      <w:szCs w:val="21"/>
                    </w:rPr>
                    <w:t>Hg</w:t>
                  </w:r>
                  <w:r>
                    <w:rPr>
                      <w:rFonts w:hAnsi="宋体"/>
                      <w:kern w:val="0"/>
                      <w:szCs w:val="21"/>
                    </w:rPr>
                    <w:t>）</w:t>
                  </w:r>
                  <w:r>
                    <w:rPr>
                      <w:rFonts w:hint="eastAsia"/>
                      <w:kern w:val="0"/>
                      <w:szCs w:val="21"/>
                    </w:rPr>
                    <w:t>，</w:t>
                  </w:r>
                  <w:r>
                    <w:rPr>
                      <w:kern w:val="0"/>
                      <w:szCs w:val="21"/>
                    </w:rPr>
                    <w:t>mg/kg</w:t>
                  </w:r>
                </w:p>
              </w:tc>
              <w:tc>
                <w:tcPr>
                  <w:tcW w:w="2009" w:type="pct"/>
                  <w:vAlign w:val="center"/>
                </w:tcPr>
                <w:p w14:paraId="72C0FD2E">
                  <w:pPr>
                    <w:autoSpaceDE w:val="0"/>
                    <w:autoSpaceDN w:val="0"/>
                    <w:spacing w:line="276" w:lineRule="auto"/>
                    <w:jc w:val="center"/>
                    <w:rPr>
                      <w:kern w:val="0"/>
                      <w:szCs w:val="21"/>
                    </w:rPr>
                  </w:pPr>
                  <w:r>
                    <w:rPr>
                      <w:kern w:val="0"/>
                      <w:szCs w:val="21"/>
                    </w:rPr>
                    <w:t>≤</w:t>
                  </w:r>
                  <w:r>
                    <w:rPr>
                      <w:rFonts w:hint="eastAsia"/>
                      <w:kern w:val="0"/>
                      <w:szCs w:val="21"/>
                    </w:rPr>
                    <w:t>5.0</w:t>
                  </w:r>
                </w:p>
              </w:tc>
            </w:tr>
            <w:tr w14:paraId="4687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64666965">
                  <w:pPr>
                    <w:autoSpaceDE w:val="0"/>
                    <w:autoSpaceDN w:val="0"/>
                    <w:spacing w:line="276" w:lineRule="auto"/>
                    <w:jc w:val="center"/>
                    <w:rPr>
                      <w:rFonts w:hAnsi="宋体"/>
                      <w:kern w:val="0"/>
                      <w:szCs w:val="21"/>
                    </w:rPr>
                  </w:pPr>
                </w:p>
              </w:tc>
              <w:tc>
                <w:tcPr>
                  <w:tcW w:w="2538" w:type="pct"/>
                  <w:vAlign w:val="center"/>
                </w:tcPr>
                <w:p w14:paraId="7920C25E">
                  <w:pPr>
                    <w:autoSpaceDE w:val="0"/>
                    <w:autoSpaceDN w:val="0"/>
                    <w:spacing w:line="276" w:lineRule="auto"/>
                    <w:jc w:val="center"/>
                    <w:rPr>
                      <w:kern w:val="0"/>
                      <w:szCs w:val="21"/>
                    </w:rPr>
                  </w:pPr>
                  <w:r>
                    <w:rPr>
                      <w:rFonts w:hAnsi="宋体"/>
                      <w:kern w:val="0"/>
                      <w:szCs w:val="21"/>
                    </w:rPr>
                    <w:t>总铅（</w:t>
                  </w:r>
                  <w:r>
                    <w:rPr>
                      <w:kern w:val="0"/>
                      <w:szCs w:val="21"/>
                    </w:rPr>
                    <w:t>Pb</w:t>
                  </w:r>
                  <w:r>
                    <w:rPr>
                      <w:rFonts w:hAnsi="宋体"/>
                      <w:kern w:val="0"/>
                      <w:szCs w:val="21"/>
                    </w:rPr>
                    <w:t>）</w:t>
                  </w:r>
                  <w:r>
                    <w:rPr>
                      <w:rFonts w:hint="eastAsia"/>
                      <w:kern w:val="0"/>
                      <w:szCs w:val="21"/>
                    </w:rPr>
                    <w:t>，</w:t>
                  </w:r>
                  <w:r>
                    <w:rPr>
                      <w:kern w:val="0"/>
                      <w:szCs w:val="21"/>
                    </w:rPr>
                    <w:t>mg/kg</w:t>
                  </w:r>
                </w:p>
              </w:tc>
              <w:tc>
                <w:tcPr>
                  <w:tcW w:w="2009" w:type="pct"/>
                  <w:vAlign w:val="center"/>
                </w:tcPr>
                <w:p w14:paraId="252040D8">
                  <w:pPr>
                    <w:autoSpaceDE w:val="0"/>
                    <w:autoSpaceDN w:val="0"/>
                    <w:spacing w:line="276" w:lineRule="auto"/>
                    <w:jc w:val="center"/>
                    <w:rPr>
                      <w:kern w:val="0"/>
                      <w:szCs w:val="21"/>
                    </w:rPr>
                  </w:pPr>
                  <w:r>
                    <w:rPr>
                      <w:kern w:val="0"/>
                      <w:szCs w:val="21"/>
                    </w:rPr>
                    <w:t>≤</w:t>
                  </w:r>
                  <w:r>
                    <w:rPr>
                      <w:rFonts w:hint="eastAsia"/>
                      <w:kern w:val="0"/>
                      <w:szCs w:val="21"/>
                    </w:rPr>
                    <w:t>1</w:t>
                  </w:r>
                  <w:r>
                    <w:rPr>
                      <w:kern w:val="0"/>
                      <w:szCs w:val="21"/>
                    </w:rPr>
                    <w:t>50</w:t>
                  </w:r>
                </w:p>
              </w:tc>
            </w:tr>
            <w:tr w14:paraId="3EC6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1DD9D14D">
                  <w:pPr>
                    <w:autoSpaceDE w:val="0"/>
                    <w:autoSpaceDN w:val="0"/>
                    <w:spacing w:line="276" w:lineRule="auto"/>
                    <w:jc w:val="center"/>
                    <w:rPr>
                      <w:kern w:val="0"/>
                      <w:szCs w:val="21"/>
                    </w:rPr>
                  </w:pPr>
                </w:p>
              </w:tc>
              <w:tc>
                <w:tcPr>
                  <w:tcW w:w="2538" w:type="pct"/>
                  <w:vAlign w:val="center"/>
                </w:tcPr>
                <w:p w14:paraId="1AB1C5F9">
                  <w:pPr>
                    <w:autoSpaceDE w:val="0"/>
                    <w:autoSpaceDN w:val="0"/>
                    <w:spacing w:line="276" w:lineRule="auto"/>
                    <w:jc w:val="center"/>
                    <w:rPr>
                      <w:kern w:val="0"/>
                      <w:szCs w:val="21"/>
                    </w:rPr>
                  </w:pPr>
                  <w:r>
                    <w:rPr>
                      <w:rFonts w:hAnsi="宋体"/>
                      <w:kern w:val="0"/>
                      <w:szCs w:val="21"/>
                    </w:rPr>
                    <w:t>总镉（</w:t>
                  </w:r>
                  <w:r>
                    <w:rPr>
                      <w:kern w:val="0"/>
                      <w:szCs w:val="21"/>
                    </w:rPr>
                    <w:t>Cd</w:t>
                  </w:r>
                  <w:r>
                    <w:rPr>
                      <w:rFonts w:hAnsi="宋体"/>
                      <w:kern w:val="0"/>
                      <w:szCs w:val="21"/>
                    </w:rPr>
                    <w:t>）</w:t>
                  </w:r>
                  <w:r>
                    <w:rPr>
                      <w:rFonts w:hint="eastAsia"/>
                      <w:kern w:val="0"/>
                      <w:szCs w:val="21"/>
                    </w:rPr>
                    <w:t>，</w:t>
                  </w:r>
                  <w:r>
                    <w:rPr>
                      <w:kern w:val="0"/>
                      <w:szCs w:val="21"/>
                    </w:rPr>
                    <w:t>mg/kg</w:t>
                  </w:r>
                </w:p>
              </w:tc>
              <w:tc>
                <w:tcPr>
                  <w:tcW w:w="2009" w:type="pct"/>
                  <w:vAlign w:val="center"/>
                </w:tcPr>
                <w:p w14:paraId="5503E908">
                  <w:pPr>
                    <w:autoSpaceDE w:val="0"/>
                    <w:autoSpaceDN w:val="0"/>
                    <w:spacing w:line="276" w:lineRule="auto"/>
                    <w:jc w:val="center"/>
                    <w:rPr>
                      <w:kern w:val="0"/>
                      <w:szCs w:val="21"/>
                    </w:rPr>
                  </w:pPr>
                  <w:r>
                    <w:rPr>
                      <w:kern w:val="0"/>
                      <w:szCs w:val="21"/>
                    </w:rPr>
                    <w:t>≤</w:t>
                  </w:r>
                  <w:r>
                    <w:rPr>
                      <w:rFonts w:hint="eastAsia"/>
                      <w:kern w:val="0"/>
                      <w:szCs w:val="21"/>
                    </w:rPr>
                    <w:t>10</w:t>
                  </w:r>
                </w:p>
              </w:tc>
            </w:tr>
            <w:tr w14:paraId="5D43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70ACE17D">
                  <w:pPr>
                    <w:autoSpaceDE w:val="0"/>
                    <w:autoSpaceDN w:val="0"/>
                    <w:spacing w:line="276" w:lineRule="auto"/>
                    <w:jc w:val="center"/>
                    <w:rPr>
                      <w:kern w:val="0"/>
                      <w:szCs w:val="21"/>
                    </w:rPr>
                  </w:pPr>
                </w:p>
              </w:tc>
              <w:tc>
                <w:tcPr>
                  <w:tcW w:w="2538" w:type="pct"/>
                  <w:vAlign w:val="center"/>
                </w:tcPr>
                <w:p w14:paraId="225170F1">
                  <w:pPr>
                    <w:autoSpaceDE w:val="0"/>
                    <w:autoSpaceDN w:val="0"/>
                    <w:spacing w:line="276" w:lineRule="auto"/>
                    <w:jc w:val="center"/>
                    <w:rPr>
                      <w:kern w:val="0"/>
                      <w:szCs w:val="21"/>
                    </w:rPr>
                  </w:pPr>
                  <w:r>
                    <w:rPr>
                      <w:rFonts w:hAnsi="宋体"/>
                      <w:kern w:val="0"/>
                      <w:szCs w:val="21"/>
                    </w:rPr>
                    <w:t>总铬（</w:t>
                  </w:r>
                  <w:r>
                    <w:rPr>
                      <w:kern w:val="0"/>
                      <w:szCs w:val="21"/>
                    </w:rPr>
                    <w:t>Cr</w:t>
                  </w:r>
                  <w:r>
                    <w:rPr>
                      <w:rFonts w:hAnsi="宋体"/>
                      <w:kern w:val="0"/>
                      <w:szCs w:val="21"/>
                    </w:rPr>
                    <w:t>）</w:t>
                  </w:r>
                  <w:r>
                    <w:rPr>
                      <w:rFonts w:hint="eastAsia"/>
                      <w:kern w:val="0"/>
                      <w:szCs w:val="21"/>
                    </w:rPr>
                    <w:t>，</w:t>
                  </w:r>
                  <w:r>
                    <w:rPr>
                      <w:kern w:val="0"/>
                      <w:szCs w:val="21"/>
                    </w:rPr>
                    <w:t>mg/kg</w:t>
                  </w:r>
                </w:p>
              </w:tc>
              <w:tc>
                <w:tcPr>
                  <w:tcW w:w="2009" w:type="pct"/>
                  <w:vAlign w:val="center"/>
                </w:tcPr>
                <w:p w14:paraId="27E1B5DB">
                  <w:pPr>
                    <w:autoSpaceDE w:val="0"/>
                    <w:autoSpaceDN w:val="0"/>
                    <w:spacing w:line="276" w:lineRule="auto"/>
                    <w:jc w:val="center"/>
                    <w:rPr>
                      <w:kern w:val="0"/>
                      <w:szCs w:val="21"/>
                    </w:rPr>
                  </w:pPr>
                  <w:r>
                    <w:rPr>
                      <w:kern w:val="0"/>
                      <w:szCs w:val="21"/>
                    </w:rPr>
                    <w:t>≤</w:t>
                  </w:r>
                  <w:r>
                    <w:rPr>
                      <w:rFonts w:hint="eastAsia"/>
                      <w:kern w:val="0"/>
                      <w:szCs w:val="21"/>
                    </w:rPr>
                    <w:t>500</w:t>
                  </w:r>
                </w:p>
              </w:tc>
            </w:tr>
            <w:tr w14:paraId="680A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2CB5F19F">
                  <w:pPr>
                    <w:autoSpaceDE w:val="0"/>
                    <w:autoSpaceDN w:val="0"/>
                    <w:spacing w:line="276" w:lineRule="auto"/>
                    <w:jc w:val="center"/>
                    <w:rPr>
                      <w:kern w:val="0"/>
                      <w:szCs w:val="21"/>
                    </w:rPr>
                  </w:pPr>
                </w:p>
              </w:tc>
              <w:tc>
                <w:tcPr>
                  <w:tcW w:w="2538" w:type="pct"/>
                  <w:vAlign w:val="center"/>
                </w:tcPr>
                <w:p w14:paraId="4CDCA956">
                  <w:pPr>
                    <w:autoSpaceDE w:val="0"/>
                    <w:autoSpaceDN w:val="0"/>
                    <w:spacing w:line="276" w:lineRule="auto"/>
                    <w:jc w:val="center"/>
                    <w:rPr>
                      <w:kern w:val="0"/>
                      <w:szCs w:val="21"/>
                    </w:rPr>
                  </w:pPr>
                  <w:r>
                    <w:rPr>
                      <w:rFonts w:hAnsi="宋体"/>
                      <w:kern w:val="0"/>
                      <w:szCs w:val="21"/>
                    </w:rPr>
                    <w:t>粪大肠杆菌数</w:t>
                  </w:r>
                  <w:r>
                    <w:rPr>
                      <w:rFonts w:hint="eastAsia"/>
                      <w:kern w:val="0"/>
                      <w:szCs w:val="21"/>
                    </w:rPr>
                    <w:t>，</w:t>
                  </w:r>
                  <w:r>
                    <w:rPr>
                      <w:rFonts w:hAnsi="宋体"/>
                      <w:kern w:val="0"/>
                      <w:szCs w:val="21"/>
                    </w:rPr>
                    <w:t>个</w:t>
                  </w:r>
                  <w:r>
                    <w:rPr>
                      <w:kern w:val="0"/>
                      <w:szCs w:val="21"/>
                    </w:rPr>
                    <w:t>/g</w:t>
                  </w:r>
                </w:p>
              </w:tc>
              <w:tc>
                <w:tcPr>
                  <w:tcW w:w="2009" w:type="pct"/>
                  <w:vAlign w:val="center"/>
                </w:tcPr>
                <w:p w14:paraId="696A59AB">
                  <w:pPr>
                    <w:autoSpaceDE w:val="0"/>
                    <w:autoSpaceDN w:val="0"/>
                    <w:spacing w:line="276" w:lineRule="auto"/>
                    <w:jc w:val="center"/>
                    <w:rPr>
                      <w:kern w:val="0"/>
                      <w:szCs w:val="21"/>
                    </w:rPr>
                  </w:pPr>
                  <w:r>
                    <w:rPr>
                      <w:kern w:val="0"/>
                      <w:szCs w:val="21"/>
                    </w:rPr>
                    <w:t>≤</w:t>
                  </w:r>
                  <w:r>
                    <w:rPr>
                      <w:rFonts w:hint="eastAsia"/>
                      <w:kern w:val="0"/>
                      <w:szCs w:val="21"/>
                    </w:rPr>
                    <w:t>100</w:t>
                  </w:r>
                </w:p>
              </w:tc>
            </w:tr>
            <w:tr w14:paraId="6B7D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77B9AC12">
                  <w:pPr>
                    <w:autoSpaceDE w:val="0"/>
                    <w:autoSpaceDN w:val="0"/>
                    <w:spacing w:line="276" w:lineRule="auto"/>
                    <w:jc w:val="center"/>
                    <w:rPr>
                      <w:kern w:val="0"/>
                      <w:szCs w:val="21"/>
                    </w:rPr>
                  </w:pPr>
                </w:p>
              </w:tc>
              <w:tc>
                <w:tcPr>
                  <w:tcW w:w="2538" w:type="pct"/>
                  <w:vAlign w:val="center"/>
                </w:tcPr>
                <w:p w14:paraId="090A0170">
                  <w:pPr>
                    <w:autoSpaceDE w:val="0"/>
                    <w:autoSpaceDN w:val="0"/>
                    <w:spacing w:line="276" w:lineRule="auto"/>
                    <w:jc w:val="center"/>
                    <w:rPr>
                      <w:kern w:val="0"/>
                      <w:szCs w:val="21"/>
                    </w:rPr>
                  </w:pPr>
                  <w:r>
                    <w:rPr>
                      <w:rFonts w:hAnsi="宋体"/>
                      <w:kern w:val="0"/>
                      <w:szCs w:val="21"/>
                    </w:rPr>
                    <w:t>蛔虫卵死亡率</w:t>
                  </w:r>
                  <w:r>
                    <w:rPr>
                      <w:rFonts w:hint="eastAsia"/>
                      <w:kern w:val="0"/>
                      <w:szCs w:val="21"/>
                    </w:rPr>
                    <w:t>，</w:t>
                  </w:r>
                  <w:r>
                    <w:rPr>
                      <w:kern w:val="0"/>
                      <w:szCs w:val="21"/>
                    </w:rPr>
                    <w:t>%</w:t>
                  </w:r>
                </w:p>
              </w:tc>
              <w:tc>
                <w:tcPr>
                  <w:tcW w:w="2009" w:type="pct"/>
                  <w:vAlign w:val="center"/>
                </w:tcPr>
                <w:p w14:paraId="393C191B">
                  <w:pPr>
                    <w:autoSpaceDE w:val="0"/>
                    <w:autoSpaceDN w:val="0"/>
                    <w:spacing w:line="276" w:lineRule="auto"/>
                    <w:jc w:val="center"/>
                    <w:rPr>
                      <w:kern w:val="0"/>
                      <w:szCs w:val="21"/>
                    </w:rPr>
                  </w:pPr>
                  <w:r>
                    <w:rPr>
                      <w:kern w:val="0"/>
                      <w:szCs w:val="21"/>
                    </w:rPr>
                    <w:t>≥</w:t>
                  </w:r>
                  <w:r>
                    <w:rPr>
                      <w:rFonts w:hint="eastAsia"/>
                      <w:kern w:val="0"/>
                      <w:szCs w:val="21"/>
                    </w:rPr>
                    <w:t>95</w:t>
                  </w:r>
                </w:p>
              </w:tc>
            </w:tr>
          </w:tbl>
          <w:p w14:paraId="67569DBE">
            <w:pPr>
              <w:pStyle w:val="76"/>
              <w:snapToGrid w:val="0"/>
              <w:spacing w:before="0" w:after="0" w:line="360" w:lineRule="auto"/>
              <w:jc w:val="center"/>
              <w:rPr>
                <w:rFonts w:ascii="Times New Roman" w:hAnsi="Times New Roman" w:eastAsia="宋体" w:cs="Times New Roman"/>
                <w:bCs/>
                <w:sz w:val="21"/>
                <w:szCs w:val="21"/>
              </w:rPr>
            </w:pPr>
          </w:p>
          <w:p w14:paraId="4C85279F">
            <w:pPr>
              <w:adjustRightInd w:val="0"/>
              <w:snapToGrid w:val="0"/>
              <w:spacing w:line="360" w:lineRule="auto"/>
              <w:rPr>
                <w:b/>
                <w:sz w:val="24"/>
              </w:rPr>
            </w:pPr>
            <w:r>
              <w:rPr>
                <w:rFonts w:hint="eastAsia"/>
                <w:b/>
                <w:sz w:val="24"/>
              </w:rPr>
              <w:t>三</w:t>
            </w:r>
            <w:r>
              <w:rPr>
                <w:b/>
                <w:sz w:val="24"/>
              </w:rPr>
              <w:t>、主要生产设施及设施参数</w:t>
            </w:r>
          </w:p>
          <w:p w14:paraId="0F1A83F9">
            <w:pPr>
              <w:adjustRightInd w:val="0"/>
              <w:snapToGrid w:val="0"/>
              <w:spacing w:line="360" w:lineRule="auto"/>
              <w:ind w:firstLine="480" w:firstLineChars="200"/>
              <w:rPr>
                <w:bCs/>
                <w:sz w:val="24"/>
              </w:rPr>
            </w:pPr>
            <w:r>
              <w:rPr>
                <w:bCs/>
                <w:sz w:val="24"/>
              </w:rPr>
              <w:t>本项目主要的生产设施及设施参数详见下表</w:t>
            </w:r>
            <w:r>
              <w:rPr>
                <w:rFonts w:hint="eastAsia"/>
                <w:bCs/>
                <w:sz w:val="24"/>
              </w:rPr>
              <w:t>。</w:t>
            </w:r>
          </w:p>
          <w:p w14:paraId="1793CDC8">
            <w:pPr>
              <w:adjustRightInd w:val="0"/>
              <w:snapToGrid w:val="0"/>
              <w:ind w:firstLine="422" w:firstLineChars="200"/>
              <w:jc w:val="center"/>
              <w:rPr>
                <w:b/>
                <w:szCs w:val="21"/>
              </w:rPr>
            </w:pPr>
            <w:r>
              <w:rPr>
                <w:b/>
                <w:szCs w:val="21"/>
              </w:rPr>
              <w:t>表2-</w:t>
            </w:r>
            <w:r>
              <w:rPr>
                <w:rFonts w:hint="eastAsia"/>
                <w:b/>
                <w:szCs w:val="21"/>
              </w:rPr>
              <w:t>6</w:t>
            </w:r>
            <w:r>
              <w:rPr>
                <w:b/>
                <w:szCs w:val="21"/>
              </w:rPr>
              <w:t xml:space="preserve">  </w:t>
            </w:r>
            <w:r>
              <w:rPr>
                <w:rFonts w:hint="eastAsia"/>
                <w:b/>
                <w:szCs w:val="21"/>
              </w:rPr>
              <w:t>本项目的</w:t>
            </w:r>
            <w:r>
              <w:rPr>
                <w:b/>
                <w:szCs w:val="21"/>
              </w:rPr>
              <w:t>设备清单一览表</w:t>
            </w:r>
          </w:p>
          <w:tbl>
            <w:tblPr>
              <w:tblStyle w:val="23"/>
              <w:tblW w:w="7945" w:type="dxa"/>
              <w:jc w:val="center"/>
              <w:tblLayout w:type="fixed"/>
              <w:tblCellMar>
                <w:top w:w="15" w:type="dxa"/>
                <w:left w:w="15" w:type="dxa"/>
                <w:bottom w:w="15" w:type="dxa"/>
                <w:right w:w="15" w:type="dxa"/>
              </w:tblCellMar>
            </w:tblPr>
            <w:tblGrid>
              <w:gridCol w:w="751"/>
              <w:gridCol w:w="3850"/>
              <w:gridCol w:w="2591"/>
              <w:gridCol w:w="753"/>
            </w:tblGrid>
            <w:tr w14:paraId="39768479">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6438DD50">
                  <w:pPr>
                    <w:widowControl/>
                    <w:adjustRightInd w:val="0"/>
                    <w:snapToGrid w:val="0"/>
                    <w:jc w:val="center"/>
                    <w:textAlignment w:val="bottom"/>
                    <w:rPr>
                      <w:rFonts w:eastAsiaTheme="minorEastAsia"/>
                      <w:bCs/>
                      <w:spacing w:val="-2"/>
                      <w:kern w:val="0"/>
                      <w:szCs w:val="21"/>
                      <w:lang w:bidi="ar"/>
                    </w:rPr>
                  </w:pPr>
                  <w:r>
                    <w:rPr>
                      <w:rFonts w:eastAsiaTheme="minorEastAsia"/>
                      <w:bCs/>
                      <w:spacing w:val="-2"/>
                      <w:kern w:val="0"/>
                      <w:szCs w:val="21"/>
                      <w:lang w:bidi="ar"/>
                    </w:rPr>
                    <w:t>序号</w:t>
                  </w:r>
                </w:p>
              </w:tc>
              <w:tc>
                <w:tcPr>
                  <w:tcW w:w="3850" w:type="dxa"/>
                  <w:tcBorders>
                    <w:top w:val="single" w:color="000000" w:sz="4" w:space="0"/>
                    <w:left w:val="single" w:color="000000" w:sz="4" w:space="0"/>
                    <w:bottom w:val="single" w:color="000000" w:sz="4" w:space="0"/>
                    <w:right w:val="single" w:color="000000" w:sz="4" w:space="0"/>
                  </w:tcBorders>
                  <w:vAlign w:val="center"/>
                </w:tcPr>
                <w:p w14:paraId="2266C87F">
                  <w:pPr>
                    <w:widowControl/>
                    <w:adjustRightInd w:val="0"/>
                    <w:snapToGrid w:val="0"/>
                    <w:jc w:val="center"/>
                    <w:textAlignment w:val="bottom"/>
                    <w:rPr>
                      <w:rFonts w:eastAsiaTheme="minorEastAsia"/>
                      <w:bCs/>
                      <w:spacing w:val="-2"/>
                      <w:kern w:val="0"/>
                      <w:szCs w:val="21"/>
                      <w:lang w:bidi="ar"/>
                    </w:rPr>
                  </w:pPr>
                  <w:r>
                    <w:rPr>
                      <w:rFonts w:eastAsiaTheme="minorEastAsia"/>
                      <w:bCs/>
                      <w:spacing w:val="-2"/>
                      <w:kern w:val="0"/>
                      <w:szCs w:val="21"/>
                      <w:lang w:bidi="ar"/>
                    </w:rPr>
                    <w:t>名称</w:t>
                  </w:r>
                </w:p>
              </w:tc>
              <w:tc>
                <w:tcPr>
                  <w:tcW w:w="2591" w:type="dxa"/>
                  <w:tcBorders>
                    <w:top w:val="single" w:color="000000" w:sz="4" w:space="0"/>
                    <w:left w:val="single" w:color="000000" w:sz="4" w:space="0"/>
                    <w:bottom w:val="single" w:color="000000" w:sz="4" w:space="0"/>
                    <w:right w:val="single" w:color="000000" w:sz="4" w:space="0"/>
                  </w:tcBorders>
                  <w:vAlign w:val="center"/>
                </w:tcPr>
                <w:p w14:paraId="22ACF5BE">
                  <w:pPr>
                    <w:widowControl/>
                    <w:adjustRightInd w:val="0"/>
                    <w:snapToGrid w:val="0"/>
                    <w:jc w:val="center"/>
                    <w:textAlignment w:val="bottom"/>
                    <w:rPr>
                      <w:rFonts w:eastAsiaTheme="minorEastAsia"/>
                      <w:bCs/>
                      <w:spacing w:val="-2"/>
                      <w:kern w:val="0"/>
                      <w:szCs w:val="21"/>
                      <w:lang w:bidi="ar"/>
                    </w:rPr>
                  </w:pPr>
                  <w:r>
                    <w:rPr>
                      <w:rFonts w:eastAsiaTheme="minorEastAsia"/>
                      <w:bCs/>
                      <w:spacing w:val="-2"/>
                      <w:kern w:val="0"/>
                      <w:szCs w:val="21"/>
                      <w:lang w:bidi="ar"/>
                    </w:rPr>
                    <w:t>型号</w:t>
                  </w:r>
                </w:p>
              </w:tc>
              <w:tc>
                <w:tcPr>
                  <w:tcW w:w="753" w:type="dxa"/>
                  <w:tcBorders>
                    <w:top w:val="single" w:color="000000" w:sz="4" w:space="0"/>
                    <w:left w:val="single" w:color="000000" w:sz="4" w:space="0"/>
                    <w:bottom w:val="single" w:color="000000" w:sz="4" w:space="0"/>
                    <w:right w:val="single" w:color="000000" w:sz="4" w:space="0"/>
                  </w:tcBorders>
                  <w:vAlign w:val="center"/>
                </w:tcPr>
                <w:p w14:paraId="48E7F42D">
                  <w:pPr>
                    <w:widowControl/>
                    <w:adjustRightInd w:val="0"/>
                    <w:snapToGrid w:val="0"/>
                    <w:jc w:val="center"/>
                    <w:textAlignment w:val="bottom"/>
                    <w:rPr>
                      <w:rFonts w:eastAsiaTheme="minorEastAsia"/>
                      <w:bCs/>
                      <w:spacing w:val="-2"/>
                      <w:kern w:val="0"/>
                      <w:szCs w:val="21"/>
                      <w:lang w:bidi="ar"/>
                    </w:rPr>
                  </w:pPr>
                  <w:r>
                    <w:rPr>
                      <w:rFonts w:eastAsiaTheme="minorEastAsia"/>
                      <w:bCs/>
                      <w:spacing w:val="-2"/>
                      <w:kern w:val="0"/>
                      <w:szCs w:val="21"/>
                      <w:lang w:bidi="ar"/>
                    </w:rPr>
                    <w:t>数量</w:t>
                  </w:r>
                </w:p>
              </w:tc>
            </w:tr>
            <w:tr w14:paraId="4E85866E">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63DE">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1</w:t>
                  </w: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E33F">
                  <w:pPr>
                    <w:widowControl/>
                    <w:adjustRightInd w:val="0"/>
                    <w:snapToGrid w:val="0"/>
                    <w:jc w:val="center"/>
                    <w:textAlignment w:val="bottom"/>
                    <w:rPr>
                      <w:rFonts w:eastAsiaTheme="minorEastAsia"/>
                      <w:spacing w:val="-2"/>
                      <w:kern w:val="0"/>
                      <w:szCs w:val="21"/>
                      <w:lang w:bidi="ar"/>
                    </w:rPr>
                  </w:pPr>
                  <w:r>
                    <w:rPr>
                      <w:rFonts w:eastAsiaTheme="minorEastAsia"/>
                      <w:spacing w:val="-2"/>
                      <w:kern w:val="0"/>
                      <w:szCs w:val="21"/>
                      <w:lang w:bidi="ar"/>
                    </w:rPr>
                    <w:t>装载机</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2E64">
                  <w:pPr>
                    <w:widowControl/>
                    <w:adjustRightInd w:val="0"/>
                    <w:snapToGrid w:val="0"/>
                    <w:jc w:val="center"/>
                    <w:textAlignment w:val="bottom"/>
                    <w:rPr>
                      <w:rFonts w:eastAsiaTheme="minorEastAsia"/>
                      <w:spacing w:val="-2"/>
                      <w:kern w:val="0"/>
                      <w:szCs w:val="21"/>
                      <w:lang w:bidi="ar"/>
                    </w:rPr>
                  </w:pPr>
                  <w:r>
                    <w:rPr>
                      <w:rFonts w:eastAsiaTheme="minorEastAsia"/>
                      <w:spacing w:val="-2"/>
                      <w:kern w:val="0"/>
                      <w:szCs w:val="21"/>
                      <w:lang w:bidi="ar"/>
                    </w:rPr>
                    <w:t>ZL-30型</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8201">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2</w:t>
                  </w:r>
                </w:p>
              </w:tc>
            </w:tr>
            <w:tr w14:paraId="4F338BE1">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8AEA">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D8C9">
                  <w:pPr>
                    <w:widowControl/>
                    <w:adjustRightInd w:val="0"/>
                    <w:snapToGrid w:val="0"/>
                    <w:jc w:val="center"/>
                    <w:textAlignment w:val="bottom"/>
                    <w:rPr>
                      <w:rFonts w:eastAsiaTheme="minorEastAsia"/>
                      <w:szCs w:val="21"/>
                    </w:rPr>
                  </w:pPr>
                  <w:r>
                    <w:rPr>
                      <w:rFonts w:eastAsiaTheme="minorEastAsia"/>
                      <w:spacing w:val="-2"/>
                      <w:kern w:val="0"/>
                      <w:szCs w:val="21"/>
                      <w:lang w:bidi="ar"/>
                    </w:rPr>
                    <w:t>翻抛机</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7712">
                  <w:pPr>
                    <w:widowControl/>
                    <w:adjustRightInd w:val="0"/>
                    <w:snapToGrid w:val="0"/>
                    <w:jc w:val="center"/>
                    <w:textAlignment w:val="bottom"/>
                    <w:rPr>
                      <w:rFonts w:eastAsiaTheme="minorEastAsia"/>
                      <w:szCs w:val="21"/>
                    </w:rPr>
                  </w:pPr>
                  <w:r>
                    <w:rPr>
                      <w:rFonts w:eastAsiaTheme="minorEastAsia"/>
                      <w:spacing w:val="-2"/>
                      <w:kern w:val="0"/>
                      <w:szCs w:val="21"/>
                      <w:lang w:bidi="ar"/>
                    </w:rPr>
                    <w:t>20t/h</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9CF4">
                  <w:pPr>
                    <w:widowControl/>
                    <w:adjustRightInd w:val="0"/>
                    <w:snapToGrid w:val="0"/>
                    <w:jc w:val="center"/>
                    <w:textAlignment w:val="bottom"/>
                    <w:rPr>
                      <w:rFonts w:eastAsiaTheme="minorEastAsia"/>
                      <w:szCs w:val="21"/>
                    </w:rPr>
                  </w:pPr>
                  <w:r>
                    <w:rPr>
                      <w:rFonts w:eastAsiaTheme="minorEastAsia"/>
                      <w:spacing w:val="-2"/>
                      <w:kern w:val="0"/>
                      <w:szCs w:val="21"/>
                      <w:lang w:bidi="ar"/>
                    </w:rPr>
                    <w:t>1</w:t>
                  </w:r>
                </w:p>
              </w:tc>
            </w:tr>
            <w:tr w14:paraId="22674E4F">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7E822F61">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3</w:t>
                  </w:r>
                </w:p>
              </w:tc>
              <w:tc>
                <w:tcPr>
                  <w:tcW w:w="3850" w:type="dxa"/>
                  <w:tcBorders>
                    <w:top w:val="single" w:color="000000" w:sz="4" w:space="0"/>
                    <w:left w:val="single" w:color="000000" w:sz="4" w:space="0"/>
                    <w:bottom w:val="single" w:color="000000" w:sz="4" w:space="0"/>
                    <w:right w:val="single" w:color="000000" w:sz="4" w:space="0"/>
                  </w:tcBorders>
                  <w:vAlign w:val="center"/>
                </w:tcPr>
                <w:p w14:paraId="2FBAFA54">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菌种加料器</w:t>
                  </w:r>
                </w:p>
              </w:tc>
              <w:tc>
                <w:tcPr>
                  <w:tcW w:w="2591" w:type="dxa"/>
                  <w:tcBorders>
                    <w:top w:val="single" w:color="000000" w:sz="4" w:space="0"/>
                    <w:left w:val="single" w:color="000000" w:sz="4" w:space="0"/>
                    <w:bottom w:val="single" w:color="000000" w:sz="4" w:space="0"/>
                    <w:right w:val="single" w:color="000000" w:sz="4" w:space="0"/>
                  </w:tcBorders>
                  <w:vAlign w:val="center"/>
                </w:tcPr>
                <w:p w14:paraId="3B635EFE">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w:t>
                  </w:r>
                </w:p>
              </w:tc>
              <w:tc>
                <w:tcPr>
                  <w:tcW w:w="753" w:type="dxa"/>
                  <w:tcBorders>
                    <w:top w:val="single" w:color="000000" w:sz="4" w:space="0"/>
                    <w:left w:val="single" w:color="000000" w:sz="4" w:space="0"/>
                    <w:bottom w:val="single" w:color="000000" w:sz="4" w:space="0"/>
                    <w:right w:val="single" w:color="000000" w:sz="4" w:space="0"/>
                  </w:tcBorders>
                  <w:vAlign w:val="center"/>
                </w:tcPr>
                <w:p w14:paraId="61473F48">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1</w:t>
                  </w:r>
                </w:p>
              </w:tc>
            </w:tr>
            <w:tr w14:paraId="4E6DB360">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12C4ED0D">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4</w:t>
                  </w:r>
                </w:p>
              </w:tc>
              <w:tc>
                <w:tcPr>
                  <w:tcW w:w="3850" w:type="dxa"/>
                  <w:tcBorders>
                    <w:top w:val="single" w:color="000000" w:sz="4" w:space="0"/>
                    <w:left w:val="single" w:color="000000" w:sz="4" w:space="0"/>
                    <w:bottom w:val="single" w:color="000000" w:sz="4" w:space="0"/>
                    <w:right w:val="single" w:color="000000" w:sz="4" w:space="0"/>
                  </w:tcBorders>
                  <w:vAlign w:val="center"/>
                </w:tcPr>
                <w:p w14:paraId="4364AB29">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皮带输送机</w:t>
                  </w:r>
                </w:p>
              </w:tc>
              <w:tc>
                <w:tcPr>
                  <w:tcW w:w="2591" w:type="dxa"/>
                  <w:tcBorders>
                    <w:top w:val="single" w:color="000000" w:sz="4" w:space="0"/>
                    <w:left w:val="single" w:color="000000" w:sz="4" w:space="0"/>
                    <w:bottom w:val="single" w:color="000000" w:sz="4" w:space="0"/>
                    <w:right w:val="single" w:color="000000" w:sz="4" w:space="0"/>
                  </w:tcBorders>
                  <w:vAlign w:val="center"/>
                </w:tcPr>
                <w:p w14:paraId="556F49DE">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w:t>
                  </w:r>
                </w:p>
              </w:tc>
              <w:tc>
                <w:tcPr>
                  <w:tcW w:w="753" w:type="dxa"/>
                  <w:tcBorders>
                    <w:top w:val="single" w:color="000000" w:sz="4" w:space="0"/>
                    <w:left w:val="single" w:color="000000" w:sz="4" w:space="0"/>
                    <w:bottom w:val="single" w:color="000000" w:sz="4" w:space="0"/>
                    <w:right w:val="single" w:color="000000" w:sz="4" w:space="0"/>
                  </w:tcBorders>
                  <w:vAlign w:val="center"/>
                </w:tcPr>
                <w:p w14:paraId="0484DA79">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2</w:t>
                  </w:r>
                </w:p>
              </w:tc>
            </w:tr>
            <w:tr w14:paraId="220DA6A3">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6237AC03">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5</w:t>
                  </w:r>
                </w:p>
              </w:tc>
              <w:tc>
                <w:tcPr>
                  <w:tcW w:w="3850" w:type="dxa"/>
                  <w:tcBorders>
                    <w:top w:val="single" w:color="000000" w:sz="4" w:space="0"/>
                    <w:left w:val="single" w:color="000000" w:sz="4" w:space="0"/>
                    <w:bottom w:val="single" w:color="000000" w:sz="4" w:space="0"/>
                    <w:right w:val="single" w:color="000000" w:sz="4" w:space="0"/>
                  </w:tcBorders>
                  <w:vAlign w:val="center"/>
                </w:tcPr>
                <w:p w14:paraId="690F094F">
                  <w:pPr>
                    <w:widowControl/>
                    <w:adjustRightInd w:val="0"/>
                    <w:snapToGrid w:val="0"/>
                    <w:jc w:val="center"/>
                    <w:textAlignment w:val="bottom"/>
                    <w:rPr>
                      <w:rFonts w:eastAsiaTheme="minorEastAsia"/>
                      <w:szCs w:val="21"/>
                    </w:rPr>
                  </w:pPr>
                  <w:r>
                    <w:rPr>
                      <w:rFonts w:eastAsiaTheme="minorEastAsia"/>
                      <w:spacing w:val="-2"/>
                      <w:kern w:val="0"/>
                      <w:szCs w:val="21"/>
                      <w:lang w:bidi="ar"/>
                    </w:rPr>
                    <w:t>双斗自动</w:t>
                  </w:r>
                  <w:r>
                    <w:rPr>
                      <w:rFonts w:hint="eastAsia" w:eastAsiaTheme="minorEastAsia"/>
                      <w:spacing w:val="-2"/>
                      <w:kern w:val="0"/>
                      <w:szCs w:val="21"/>
                      <w:lang w:bidi="ar"/>
                    </w:rPr>
                    <w:t>计量</w:t>
                  </w:r>
                  <w:r>
                    <w:rPr>
                      <w:rFonts w:eastAsiaTheme="minorEastAsia"/>
                      <w:spacing w:val="-2"/>
                      <w:kern w:val="0"/>
                      <w:szCs w:val="21"/>
                      <w:lang w:bidi="ar"/>
                    </w:rPr>
                    <w:t>包装</w:t>
                  </w:r>
                  <w:r>
                    <w:rPr>
                      <w:rFonts w:hint="eastAsia" w:eastAsiaTheme="minorEastAsia"/>
                      <w:spacing w:val="-2"/>
                      <w:kern w:val="0"/>
                      <w:szCs w:val="21"/>
                      <w:lang w:bidi="ar"/>
                    </w:rPr>
                    <w:t>机</w:t>
                  </w:r>
                </w:p>
              </w:tc>
              <w:tc>
                <w:tcPr>
                  <w:tcW w:w="2591" w:type="dxa"/>
                  <w:tcBorders>
                    <w:top w:val="single" w:color="000000" w:sz="4" w:space="0"/>
                    <w:left w:val="single" w:color="000000" w:sz="4" w:space="0"/>
                    <w:bottom w:val="single" w:color="000000" w:sz="4" w:space="0"/>
                    <w:right w:val="single" w:color="000000" w:sz="4" w:space="0"/>
                  </w:tcBorders>
                  <w:vAlign w:val="center"/>
                </w:tcPr>
                <w:p w14:paraId="78F0FFD0">
                  <w:pPr>
                    <w:widowControl/>
                    <w:adjustRightInd w:val="0"/>
                    <w:snapToGrid w:val="0"/>
                    <w:jc w:val="center"/>
                    <w:textAlignment w:val="bottom"/>
                    <w:rPr>
                      <w:rFonts w:eastAsiaTheme="minorEastAsia"/>
                      <w:szCs w:val="21"/>
                    </w:rPr>
                  </w:pPr>
                  <w:r>
                    <w:rPr>
                      <w:rFonts w:eastAsiaTheme="minorEastAsia"/>
                      <w:spacing w:val="-2"/>
                      <w:kern w:val="0"/>
                      <w:szCs w:val="21"/>
                      <w:lang w:bidi="ar"/>
                    </w:rPr>
                    <w:t>3-4包/分钟</w:t>
                  </w:r>
                </w:p>
              </w:tc>
              <w:tc>
                <w:tcPr>
                  <w:tcW w:w="753" w:type="dxa"/>
                  <w:tcBorders>
                    <w:top w:val="single" w:color="000000" w:sz="4" w:space="0"/>
                    <w:left w:val="single" w:color="000000" w:sz="4" w:space="0"/>
                    <w:bottom w:val="single" w:color="000000" w:sz="4" w:space="0"/>
                    <w:right w:val="single" w:color="000000" w:sz="4" w:space="0"/>
                  </w:tcBorders>
                  <w:vAlign w:val="center"/>
                </w:tcPr>
                <w:p w14:paraId="24DDDFE9">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1</w:t>
                  </w:r>
                </w:p>
              </w:tc>
            </w:tr>
            <w:tr w14:paraId="7F90B87A">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1F77D776">
                  <w:pPr>
                    <w:widowControl/>
                    <w:adjustRightInd w:val="0"/>
                    <w:snapToGrid w:val="0"/>
                    <w:jc w:val="center"/>
                    <w:textAlignment w:val="bottom"/>
                    <w:rPr>
                      <w:rFonts w:eastAsiaTheme="minorEastAsia"/>
                      <w:szCs w:val="21"/>
                    </w:rPr>
                  </w:pPr>
                  <w:r>
                    <w:rPr>
                      <w:rFonts w:hint="eastAsia" w:eastAsiaTheme="minorEastAsia"/>
                      <w:szCs w:val="21"/>
                    </w:rPr>
                    <w:t>6</w:t>
                  </w:r>
                </w:p>
              </w:tc>
              <w:tc>
                <w:tcPr>
                  <w:tcW w:w="3850" w:type="dxa"/>
                  <w:tcBorders>
                    <w:top w:val="single" w:color="000000" w:sz="4" w:space="0"/>
                    <w:left w:val="single" w:color="000000" w:sz="4" w:space="0"/>
                    <w:bottom w:val="single" w:color="000000" w:sz="4" w:space="0"/>
                    <w:right w:val="single" w:color="000000" w:sz="4" w:space="0"/>
                  </w:tcBorders>
                  <w:vAlign w:val="center"/>
                </w:tcPr>
                <w:p w14:paraId="32F007F4">
                  <w:pPr>
                    <w:widowControl/>
                    <w:adjustRightInd w:val="0"/>
                    <w:snapToGrid w:val="0"/>
                    <w:jc w:val="center"/>
                    <w:textAlignment w:val="bottom"/>
                    <w:rPr>
                      <w:rFonts w:eastAsiaTheme="minorEastAsia"/>
                      <w:szCs w:val="21"/>
                    </w:rPr>
                  </w:pPr>
                  <w:r>
                    <w:rPr>
                      <w:rFonts w:eastAsiaTheme="minorEastAsia"/>
                      <w:spacing w:val="-2"/>
                      <w:kern w:val="0"/>
                      <w:szCs w:val="21"/>
                      <w:lang w:bidi="ar"/>
                    </w:rPr>
                    <w:t>运输车辆</w:t>
                  </w:r>
                </w:p>
              </w:tc>
              <w:tc>
                <w:tcPr>
                  <w:tcW w:w="2591" w:type="dxa"/>
                  <w:tcBorders>
                    <w:top w:val="single" w:color="000000" w:sz="4" w:space="0"/>
                    <w:left w:val="single" w:color="000000" w:sz="4" w:space="0"/>
                    <w:bottom w:val="single" w:color="000000" w:sz="4" w:space="0"/>
                    <w:right w:val="single" w:color="000000" w:sz="4" w:space="0"/>
                  </w:tcBorders>
                  <w:vAlign w:val="center"/>
                </w:tcPr>
                <w:p w14:paraId="063E08D8">
                  <w:pPr>
                    <w:widowControl/>
                    <w:adjustRightInd w:val="0"/>
                    <w:snapToGrid w:val="0"/>
                    <w:jc w:val="center"/>
                    <w:textAlignment w:val="bottom"/>
                    <w:rPr>
                      <w:rFonts w:eastAsiaTheme="minorEastAsia"/>
                      <w:szCs w:val="21"/>
                    </w:rPr>
                  </w:pPr>
                  <w:r>
                    <w:rPr>
                      <w:rFonts w:eastAsiaTheme="minorEastAsia"/>
                      <w:spacing w:val="-2"/>
                      <w:kern w:val="0"/>
                      <w:szCs w:val="21"/>
                      <w:lang w:bidi="ar"/>
                    </w:rPr>
                    <w:t>20-30T</w:t>
                  </w:r>
                </w:p>
              </w:tc>
              <w:tc>
                <w:tcPr>
                  <w:tcW w:w="753" w:type="dxa"/>
                  <w:tcBorders>
                    <w:top w:val="single" w:color="000000" w:sz="4" w:space="0"/>
                    <w:left w:val="single" w:color="000000" w:sz="4" w:space="0"/>
                    <w:bottom w:val="single" w:color="000000" w:sz="4" w:space="0"/>
                    <w:right w:val="single" w:color="000000" w:sz="4" w:space="0"/>
                  </w:tcBorders>
                  <w:vAlign w:val="center"/>
                </w:tcPr>
                <w:p w14:paraId="1EE62368">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1</w:t>
                  </w:r>
                </w:p>
              </w:tc>
            </w:tr>
            <w:tr w14:paraId="182A04A1">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70C05604">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7</w:t>
                  </w:r>
                </w:p>
              </w:tc>
              <w:tc>
                <w:tcPr>
                  <w:tcW w:w="3850" w:type="dxa"/>
                  <w:tcBorders>
                    <w:top w:val="single" w:color="000000" w:sz="4" w:space="0"/>
                    <w:left w:val="single" w:color="000000" w:sz="4" w:space="0"/>
                    <w:bottom w:val="single" w:color="000000" w:sz="4" w:space="0"/>
                    <w:right w:val="single" w:color="000000" w:sz="4" w:space="0"/>
                  </w:tcBorders>
                  <w:vAlign w:val="center"/>
                </w:tcPr>
                <w:p w14:paraId="5B79B714">
                  <w:pPr>
                    <w:widowControl/>
                    <w:adjustRightInd w:val="0"/>
                    <w:snapToGrid w:val="0"/>
                    <w:jc w:val="center"/>
                    <w:textAlignment w:val="bottom"/>
                    <w:rPr>
                      <w:rFonts w:eastAsiaTheme="minorEastAsia"/>
                      <w:szCs w:val="21"/>
                    </w:rPr>
                  </w:pPr>
                  <w:r>
                    <w:rPr>
                      <w:rFonts w:hint="eastAsia" w:eastAsiaTheme="minorEastAsia"/>
                      <w:szCs w:val="21"/>
                    </w:rPr>
                    <w:t>雾炮机</w:t>
                  </w:r>
                </w:p>
              </w:tc>
              <w:tc>
                <w:tcPr>
                  <w:tcW w:w="2591" w:type="dxa"/>
                  <w:tcBorders>
                    <w:top w:val="single" w:color="000000" w:sz="4" w:space="0"/>
                    <w:left w:val="single" w:color="000000" w:sz="4" w:space="0"/>
                    <w:bottom w:val="single" w:color="000000" w:sz="4" w:space="0"/>
                    <w:right w:val="single" w:color="000000" w:sz="4" w:space="0"/>
                  </w:tcBorders>
                  <w:vAlign w:val="center"/>
                </w:tcPr>
                <w:p w14:paraId="13EC9918">
                  <w:pPr>
                    <w:widowControl/>
                    <w:adjustRightInd w:val="0"/>
                    <w:snapToGrid w:val="0"/>
                    <w:jc w:val="center"/>
                    <w:rPr>
                      <w:rFonts w:eastAsiaTheme="minorEastAsia"/>
                      <w:szCs w:val="21"/>
                    </w:rPr>
                  </w:pPr>
                </w:p>
              </w:tc>
              <w:tc>
                <w:tcPr>
                  <w:tcW w:w="753" w:type="dxa"/>
                  <w:tcBorders>
                    <w:top w:val="single" w:color="000000" w:sz="4" w:space="0"/>
                    <w:left w:val="single" w:color="000000" w:sz="4" w:space="0"/>
                    <w:bottom w:val="single" w:color="000000" w:sz="4" w:space="0"/>
                    <w:right w:val="single" w:color="000000" w:sz="4" w:space="0"/>
                  </w:tcBorders>
                  <w:vAlign w:val="center"/>
                </w:tcPr>
                <w:p w14:paraId="144DCE08">
                  <w:pPr>
                    <w:widowControl/>
                    <w:adjustRightInd w:val="0"/>
                    <w:snapToGrid w:val="0"/>
                    <w:jc w:val="center"/>
                    <w:textAlignment w:val="bottom"/>
                    <w:rPr>
                      <w:rFonts w:eastAsiaTheme="minorEastAsia"/>
                      <w:szCs w:val="21"/>
                    </w:rPr>
                  </w:pPr>
                  <w:r>
                    <w:rPr>
                      <w:rFonts w:hint="eastAsia" w:eastAsiaTheme="minorEastAsia"/>
                      <w:szCs w:val="21"/>
                    </w:rPr>
                    <w:t>2</w:t>
                  </w:r>
                </w:p>
              </w:tc>
            </w:tr>
            <w:tr w14:paraId="692EA1B4">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408300B6">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8</w:t>
                  </w:r>
                </w:p>
              </w:tc>
              <w:tc>
                <w:tcPr>
                  <w:tcW w:w="3850" w:type="dxa"/>
                  <w:tcBorders>
                    <w:top w:val="single" w:color="000000" w:sz="4" w:space="0"/>
                    <w:left w:val="single" w:color="000000" w:sz="4" w:space="0"/>
                    <w:bottom w:val="single" w:color="000000" w:sz="4" w:space="0"/>
                    <w:right w:val="single" w:color="000000" w:sz="4" w:space="0"/>
                  </w:tcBorders>
                  <w:vAlign w:val="center"/>
                </w:tcPr>
                <w:p w14:paraId="41338F1D">
                  <w:pPr>
                    <w:widowControl/>
                    <w:adjustRightInd w:val="0"/>
                    <w:snapToGrid w:val="0"/>
                    <w:jc w:val="center"/>
                    <w:textAlignment w:val="bottom"/>
                    <w:rPr>
                      <w:rFonts w:eastAsiaTheme="minorEastAsia"/>
                      <w:szCs w:val="21"/>
                    </w:rPr>
                  </w:pPr>
                  <w:r>
                    <w:rPr>
                      <w:rFonts w:hint="eastAsia" w:eastAsiaTheme="minorEastAsia"/>
                      <w:szCs w:val="21"/>
                    </w:rPr>
                    <w:t>通风系统</w:t>
                  </w:r>
                </w:p>
              </w:tc>
              <w:tc>
                <w:tcPr>
                  <w:tcW w:w="2591" w:type="dxa"/>
                  <w:tcBorders>
                    <w:top w:val="single" w:color="000000" w:sz="4" w:space="0"/>
                    <w:left w:val="single" w:color="000000" w:sz="4" w:space="0"/>
                    <w:bottom w:val="single" w:color="000000" w:sz="4" w:space="0"/>
                    <w:right w:val="single" w:color="000000" w:sz="4" w:space="0"/>
                  </w:tcBorders>
                  <w:vAlign w:val="center"/>
                </w:tcPr>
                <w:p w14:paraId="49488667">
                  <w:pPr>
                    <w:widowControl/>
                    <w:adjustRightInd w:val="0"/>
                    <w:snapToGrid w:val="0"/>
                    <w:jc w:val="center"/>
                    <w:rPr>
                      <w:rFonts w:eastAsiaTheme="minorEastAsia"/>
                      <w:szCs w:val="21"/>
                    </w:rPr>
                  </w:pPr>
                  <w:r>
                    <w:rPr>
                      <w:rFonts w:hint="eastAsia" w:eastAsiaTheme="minorEastAsia"/>
                      <w:szCs w:val="21"/>
                    </w:rPr>
                    <w:t>/</w:t>
                  </w:r>
                </w:p>
              </w:tc>
              <w:tc>
                <w:tcPr>
                  <w:tcW w:w="753" w:type="dxa"/>
                  <w:tcBorders>
                    <w:top w:val="single" w:color="000000" w:sz="4" w:space="0"/>
                    <w:left w:val="single" w:color="000000" w:sz="4" w:space="0"/>
                    <w:bottom w:val="single" w:color="000000" w:sz="4" w:space="0"/>
                    <w:right w:val="single" w:color="000000" w:sz="4" w:space="0"/>
                  </w:tcBorders>
                  <w:vAlign w:val="center"/>
                </w:tcPr>
                <w:p w14:paraId="3F99ADEC">
                  <w:pPr>
                    <w:widowControl/>
                    <w:adjustRightInd w:val="0"/>
                    <w:snapToGrid w:val="0"/>
                    <w:jc w:val="center"/>
                    <w:textAlignment w:val="bottom"/>
                    <w:rPr>
                      <w:rFonts w:eastAsiaTheme="minorEastAsia"/>
                      <w:szCs w:val="21"/>
                    </w:rPr>
                  </w:pPr>
                  <w:r>
                    <w:rPr>
                      <w:rFonts w:hint="eastAsia" w:eastAsiaTheme="minorEastAsia"/>
                      <w:szCs w:val="21"/>
                    </w:rPr>
                    <w:t>2</w:t>
                  </w:r>
                </w:p>
              </w:tc>
            </w:tr>
          </w:tbl>
          <w:p w14:paraId="3B6D675C">
            <w:pPr>
              <w:adjustRightInd w:val="0"/>
              <w:snapToGrid w:val="0"/>
              <w:spacing w:before="120" w:beforeLines="50" w:line="360" w:lineRule="auto"/>
              <w:rPr>
                <w:b/>
                <w:sz w:val="24"/>
              </w:rPr>
            </w:pPr>
            <w:r>
              <w:rPr>
                <w:rFonts w:hint="eastAsia"/>
                <w:b/>
                <w:sz w:val="24"/>
              </w:rPr>
              <w:t xml:space="preserve">    </w:t>
            </w:r>
            <w:r>
              <w:rPr>
                <w:rFonts w:hint="eastAsia"/>
                <w:bCs/>
                <w:sz w:val="24"/>
              </w:rPr>
              <w:t>本项目采购原料可满足生产需求，不需要进行破碎、烘干等环节，产品的质量检测每批次定期委托相应的检测机构进行，项目区不设置实验室和检测仪器。</w:t>
            </w:r>
          </w:p>
          <w:p w14:paraId="3F69151A">
            <w:pPr>
              <w:adjustRightInd w:val="0"/>
              <w:snapToGrid w:val="0"/>
              <w:spacing w:before="120" w:beforeLines="50" w:line="360" w:lineRule="auto"/>
              <w:rPr>
                <w:b/>
                <w:sz w:val="24"/>
              </w:rPr>
            </w:pPr>
            <w:r>
              <w:rPr>
                <w:rFonts w:hint="eastAsia"/>
                <w:b/>
                <w:sz w:val="24"/>
              </w:rPr>
              <w:t>四</w:t>
            </w:r>
            <w:r>
              <w:rPr>
                <w:b/>
                <w:sz w:val="24"/>
              </w:rPr>
              <w:t>、主要原辅材料及燃料的种类、用量：</w:t>
            </w:r>
          </w:p>
          <w:p w14:paraId="7A83BC7B">
            <w:pPr>
              <w:adjustRightInd w:val="0"/>
              <w:snapToGrid w:val="0"/>
              <w:spacing w:line="360" w:lineRule="auto"/>
              <w:ind w:firstLine="480" w:firstLineChars="200"/>
              <w:rPr>
                <w:bCs/>
                <w:sz w:val="24"/>
              </w:rPr>
            </w:pPr>
            <w:r>
              <w:rPr>
                <w:rFonts w:hint="eastAsia"/>
                <w:bCs/>
                <w:sz w:val="24"/>
              </w:rPr>
              <w:t>1、主要原辅料种类及用量</w:t>
            </w:r>
          </w:p>
          <w:p w14:paraId="520A3F63">
            <w:pPr>
              <w:adjustRightInd w:val="0"/>
              <w:snapToGrid w:val="0"/>
              <w:spacing w:line="360" w:lineRule="auto"/>
              <w:ind w:firstLine="480" w:firstLineChars="200"/>
              <w:rPr>
                <w:bCs/>
                <w:sz w:val="24"/>
              </w:rPr>
            </w:pPr>
            <w:r>
              <w:rPr>
                <w:bCs/>
                <w:sz w:val="24"/>
              </w:rPr>
              <w:t>本项目原辅材料及用量详见表2-</w:t>
            </w:r>
            <w:r>
              <w:rPr>
                <w:rFonts w:hint="eastAsia"/>
                <w:bCs/>
                <w:sz w:val="24"/>
              </w:rPr>
              <w:t>7</w:t>
            </w:r>
            <w:r>
              <w:rPr>
                <w:bCs/>
                <w:sz w:val="24"/>
              </w:rPr>
              <w:t>。</w:t>
            </w:r>
          </w:p>
          <w:p w14:paraId="02298B30">
            <w:pPr>
              <w:adjustRightInd w:val="0"/>
              <w:snapToGrid w:val="0"/>
              <w:ind w:firstLine="422" w:firstLineChars="200"/>
              <w:jc w:val="center"/>
              <w:rPr>
                <w:b/>
                <w:szCs w:val="21"/>
              </w:rPr>
            </w:pPr>
            <w:r>
              <w:rPr>
                <w:b/>
                <w:szCs w:val="21"/>
              </w:rPr>
              <w:t>表2-</w:t>
            </w:r>
            <w:r>
              <w:rPr>
                <w:rFonts w:hint="eastAsia"/>
                <w:b/>
                <w:szCs w:val="21"/>
              </w:rPr>
              <w:t>7</w:t>
            </w:r>
            <w:r>
              <w:rPr>
                <w:b/>
                <w:szCs w:val="21"/>
              </w:rPr>
              <w:t xml:space="preserve">  </w:t>
            </w:r>
            <w:r>
              <w:rPr>
                <w:rFonts w:hint="eastAsia"/>
                <w:b/>
                <w:szCs w:val="21"/>
              </w:rPr>
              <w:t>本项目</w:t>
            </w:r>
            <w:r>
              <w:rPr>
                <w:b/>
                <w:szCs w:val="21"/>
              </w:rPr>
              <w:t>原辅料用量及来源</w:t>
            </w:r>
          </w:p>
          <w:tbl>
            <w:tblPr>
              <w:tblStyle w:val="23"/>
              <w:tblW w:w="7945" w:type="dxa"/>
              <w:jc w:val="center"/>
              <w:tblLayout w:type="fixed"/>
              <w:tblCellMar>
                <w:top w:w="15" w:type="dxa"/>
                <w:left w:w="15" w:type="dxa"/>
                <w:bottom w:w="15" w:type="dxa"/>
                <w:right w:w="15" w:type="dxa"/>
              </w:tblCellMar>
            </w:tblPr>
            <w:tblGrid>
              <w:gridCol w:w="653"/>
              <w:gridCol w:w="2425"/>
              <w:gridCol w:w="1425"/>
              <w:gridCol w:w="1078"/>
              <w:gridCol w:w="1334"/>
              <w:gridCol w:w="1030"/>
            </w:tblGrid>
            <w:tr w14:paraId="6AE10614">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7D7A0D41">
                  <w:pPr>
                    <w:widowControl/>
                    <w:adjustRightInd w:val="0"/>
                    <w:snapToGrid w:val="0"/>
                    <w:jc w:val="center"/>
                    <w:textAlignment w:val="top"/>
                    <w:rPr>
                      <w:szCs w:val="21"/>
                    </w:rPr>
                  </w:pPr>
                  <w:r>
                    <w:rPr>
                      <w:spacing w:val="-2"/>
                      <w:kern w:val="0"/>
                      <w:szCs w:val="21"/>
                      <w:lang w:bidi="ar"/>
                    </w:rPr>
                    <w:t>序号</w:t>
                  </w:r>
                </w:p>
              </w:tc>
              <w:tc>
                <w:tcPr>
                  <w:tcW w:w="2425" w:type="dxa"/>
                  <w:tcBorders>
                    <w:top w:val="single" w:color="000000" w:sz="4" w:space="0"/>
                    <w:left w:val="single" w:color="000000" w:sz="4" w:space="0"/>
                    <w:bottom w:val="single" w:color="000000" w:sz="4" w:space="0"/>
                    <w:right w:val="single" w:color="000000" w:sz="4" w:space="0"/>
                  </w:tcBorders>
                  <w:vAlign w:val="center"/>
                </w:tcPr>
                <w:p w14:paraId="0FA9ED3D">
                  <w:pPr>
                    <w:widowControl/>
                    <w:adjustRightInd w:val="0"/>
                    <w:snapToGrid w:val="0"/>
                    <w:jc w:val="center"/>
                    <w:textAlignment w:val="top"/>
                    <w:rPr>
                      <w:szCs w:val="21"/>
                    </w:rPr>
                  </w:pPr>
                  <w:r>
                    <w:rPr>
                      <w:spacing w:val="-2"/>
                      <w:kern w:val="0"/>
                      <w:szCs w:val="21"/>
                      <w:lang w:bidi="ar"/>
                    </w:rPr>
                    <w:t>原辅料名称</w:t>
                  </w:r>
                </w:p>
              </w:tc>
              <w:tc>
                <w:tcPr>
                  <w:tcW w:w="1425" w:type="dxa"/>
                  <w:tcBorders>
                    <w:top w:val="single" w:color="000000" w:sz="4" w:space="0"/>
                    <w:left w:val="single" w:color="000000" w:sz="4" w:space="0"/>
                    <w:bottom w:val="single" w:color="000000" w:sz="4" w:space="0"/>
                    <w:right w:val="single" w:color="000000" w:sz="4" w:space="0"/>
                  </w:tcBorders>
                  <w:vAlign w:val="center"/>
                </w:tcPr>
                <w:p w14:paraId="027450BA">
                  <w:pPr>
                    <w:widowControl/>
                    <w:adjustRightInd w:val="0"/>
                    <w:snapToGrid w:val="0"/>
                    <w:jc w:val="center"/>
                    <w:textAlignment w:val="top"/>
                    <w:rPr>
                      <w:szCs w:val="21"/>
                    </w:rPr>
                  </w:pPr>
                  <w:r>
                    <w:rPr>
                      <w:spacing w:val="-2"/>
                      <w:kern w:val="0"/>
                      <w:szCs w:val="21"/>
                      <w:lang w:bidi="ar"/>
                    </w:rPr>
                    <w:t>年耗量</w:t>
                  </w:r>
                  <w:r>
                    <w:rPr>
                      <w:rFonts w:hint="eastAsia"/>
                      <w:spacing w:val="-2"/>
                      <w:kern w:val="0"/>
                      <w:szCs w:val="21"/>
                      <w:lang w:bidi="ar"/>
                    </w:rPr>
                    <w:t>（t）</w:t>
                  </w:r>
                </w:p>
              </w:tc>
              <w:tc>
                <w:tcPr>
                  <w:tcW w:w="1078" w:type="dxa"/>
                  <w:tcBorders>
                    <w:top w:val="single" w:color="000000" w:sz="4" w:space="0"/>
                    <w:left w:val="single" w:color="000000" w:sz="4" w:space="0"/>
                    <w:bottom w:val="single" w:color="000000" w:sz="4" w:space="0"/>
                    <w:right w:val="single" w:color="000000" w:sz="4" w:space="0"/>
                  </w:tcBorders>
                  <w:vAlign w:val="center"/>
                </w:tcPr>
                <w:p w14:paraId="0CD185BD">
                  <w:pPr>
                    <w:widowControl/>
                    <w:adjustRightInd w:val="0"/>
                    <w:snapToGrid w:val="0"/>
                    <w:jc w:val="center"/>
                    <w:textAlignment w:val="top"/>
                    <w:rPr>
                      <w:szCs w:val="21"/>
                    </w:rPr>
                  </w:pPr>
                  <w:r>
                    <w:rPr>
                      <w:rFonts w:hint="eastAsia"/>
                      <w:spacing w:val="-2"/>
                      <w:kern w:val="0"/>
                      <w:szCs w:val="21"/>
                      <w:lang w:bidi="ar"/>
                    </w:rPr>
                    <w:t>含水率（%）</w:t>
                  </w:r>
                </w:p>
              </w:tc>
              <w:tc>
                <w:tcPr>
                  <w:tcW w:w="1334" w:type="dxa"/>
                  <w:tcBorders>
                    <w:top w:val="single" w:color="000000" w:sz="4" w:space="0"/>
                    <w:left w:val="single" w:color="000000" w:sz="4" w:space="0"/>
                    <w:bottom w:val="single" w:color="000000" w:sz="4" w:space="0"/>
                    <w:right w:val="single" w:color="000000" w:sz="4" w:space="0"/>
                  </w:tcBorders>
                  <w:vAlign w:val="center"/>
                </w:tcPr>
                <w:p w14:paraId="48523E7B">
                  <w:pPr>
                    <w:widowControl/>
                    <w:adjustRightInd w:val="0"/>
                    <w:snapToGrid w:val="0"/>
                    <w:jc w:val="center"/>
                    <w:textAlignment w:val="top"/>
                    <w:rPr>
                      <w:spacing w:val="-2"/>
                      <w:kern w:val="0"/>
                      <w:szCs w:val="21"/>
                      <w:lang w:bidi="ar"/>
                    </w:rPr>
                  </w:pPr>
                  <w:r>
                    <w:rPr>
                      <w:rFonts w:hint="eastAsia"/>
                      <w:spacing w:val="-2"/>
                      <w:kern w:val="0"/>
                      <w:szCs w:val="21"/>
                      <w:lang w:bidi="ar"/>
                    </w:rPr>
                    <w:t>最大暂存量（t）</w:t>
                  </w:r>
                </w:p>
              </w:tc>
              <w:tc>
                <w:tcPr>
                  <w:tcW w:w="1030" w:type="dxa"/>
                  <w:tcBorders>
                    <w:top w:val="single" w:color="000000" w:sz="4" w:space="0"/>
                    <w:left w:val="single" w:color="000000" w:sz="4" w:space="0"/>
                    <w:bottom w:val="single" w:color="000000" w:sz="4" w:space="0"/>
                    <w:right w:val="single" w:color="000000" w:sz="4" w:space="0"/>
                  </w:tcBorders>
                  <w:vAlign w:val="center"/>
                </w:tcPr>
                <w:p w14:paraId="4B22FC36">
                  <w:pPr>
                    <w:widowControl/>
                    <w:adjustRightInd w:val="0"/>
                    <w:snapToGrid w:val="0"/>
                    <w:jc w:val="center"/>
                    <w:textAlignment w:val="top"/>
                    <w:rPr>
                      <w:spacing w:val="-2"/>
                      <w:kern w:val="0"/>
                      <w:szCs w:val="21"/>
                      <w:lang w:bidi="ar"/>
                    </w:rPr>
                  </w:pPr>
                  <w:r>
                    <w:rPr>
                      <w:spacing w:val="-2"/>
                      <w:kern w:val="0"/>
                      <w:szCs w:val="21"/>
                      <w:lang w:bidi="ar"/>
                    </w:rPr>
                    <w:t>备注</w:t>
                  </w:r>
                </w:p>
              </w:tc>
            </w:tr>
            <w:tr w14:paraId="7BD81D77">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553965B3">
                  <w:pPr>
                    <w:widowControl/>
                    <w:adjustRightInd w:val="0"/>
                    <w:snapToGrid w:val="0"/>
                    <w:jc w:val="center"/>
                    <w:textAlignment w:val="top"/>
                    <w:rPr>
                      <w:szCs w:val="21"/>
                    </w:rPr>
                  </w:pPr>
                  <w:r>
                    <w:rPr>
                      <w:rFonts w:hint="eastAsia"/>
                      <w:spacing w:val="-2"/>
                      <w:kern w:val="0"/>
                      <w:szCs w:val="21"/>
                      <w:lang w:bidi="ar"/>
                    </w:rPr>
                    <w:t>1</w:t>
                  </w:r>
                </w:p>
              </w:tc>
              <w:tc>
                <w:tcPr>
                  <w:tcW w:w="2425" w:type="dxa"/>
                  <w:tcBorders>
                    <w:top w:val="single" w:color="000000" w:sz="4" w:space="0"/>
                    <w:left w:val="single" w:color="000000" w:sz="4" w:space="0"/>
                    <w:bottom w:val="single" w:color="000000" w:sz="4" w:space="0"/>
                    <w:right w:val="single" w:color="000000" w:sz="4" w:space="0"/>
                  </w:tcBorders>
                  <w:vAlign w:val="center"/>
                </w:tcPr>
                <w:p w14:paraId="24386F35">
                  <w:pPr>
                    <w:widowControl/>
                    <w:adjustRightInd w:val="0"/>
                    <w:snapToGrid w:val="0"/>
                    <w:jc w:val="center"/>
                    <w:textAlignment w:val="top"/>
                    <w:rPr>
                      <w:szCs w:val="21"/>
                    </w:rPr>
                  </w:pPr>
                  <w:r>
                    <w:rPr>
                      <w:rFonts w:hint="eastAsia"/>
                      <w:spacing w:val="-2"/>
                      <w:kern w:val="0"/>
                      <w:szCs w:val="21"/>
                      <w:lang w:bidi="ar"/>
                    </w:rPr>
                    <w:t>低变质褐煤</w:t>
                  </w:r>
                </w:p>
              </w:tc>
              <w:tc>
                <w:tcPr>
                  <w:tcW w:w="1425" w:type="dxa"/>
                  <w:tcBorders>
                    <w:top w:val="single" w:color="000000" w:sz="4" w:space="0"/>
                    <w:left w:val="single" w:color="000000" w:sz="4" w:space="0"/>
                    <w:bottom w:val="single" w:color="000000" w:sz="4" w:space="0"/>
                    <w:right w:val="single" w:color="000000" w:sz="4" w:space="0"/>
                  </w:tcBorders>
                  <w:vAlign w:val="center"/>
                </w:tcPr>
                <w:p w14:paraId="55019C55">
                  <w:pPr>
                    <w:widowControl/>
                    <w:adjustRightInd w:val="0"/>
                    <w:snapToGrid w:val="0"/>
                    <w:jc w:val="center"/>
                    <w:textAlignment w:val="top"/>
                    <w:rPr>
                      <w:szCs w:val="21"/>
                    </w:rPr>
                  </w:pPr>
                  <w:r>
                    <w:rPr>
                      <w:rFonts w:hint="eastAsia"/>
                      <w:spacing w:val="-2"/>
                      <w:kern w:val="0"/>
                      <w:szCs w:val="21"/>
                      <w:lang w:bidi="ar"/>
                    </w:rPr>
                    <w:t>61000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534D7E34">
                  <w:pPr>
                    <w:widowControl/>
                    <w:adjustRightInd w:val="0"/>
                    <w:snapToGrid w:val="0"/>
                    <w:jc w:val="center"/>
                    <w:textAlignment w:val="top"/>
                    <w:rPr>
                      <w:szCs w:val="21"/>
                    </w:rPr>
                  </w:pPr>
                  <w:r>
                    <w:rPr>
                      <w:spacing w:val="-2"/>
                      <w:kern w:val="0"/>
                      <w:szCs w:val="21"/>
                      <w:lang w:bidi="ar"/>
                    </w:rPr>
                    <w:t>30~4</w:t>
                  </w:r>
                  <w:r>
                    <w:rPr>
                      <w:rFonts w:hint="eastAsia"/>
                      <w:spacing w:val="-2"/>
                      <w:kern w:val="0"/>
                      <w:szCs w:val="21"/>
                      <w:lang w:bidi="ar"/>
                    </w:rPr>
                    <w:t>0</w:t>
                  </w:r>
                </w:p>
              </w:tc>
              <w:tc>
                <w:tcPr>
                  <w:tcW w:w="1334" w:type="dxa"/>
                  <w:tcBorders>
                    <w:top w:val="single" w:color="000000" w:sz="4" w:space="0"/>
                    <w:left w:val="single" w:color="000000" w:sz="4" w:space="0"/>
                    <w:bottom w:val="single" w:color="000000" w:sz="4" w:space="0"/>
                    <w:right w:val="single" w:color="000000" w:sz="4" w:space="0"/>
                  </w:tcBorders>
                  <w:vAlign w:val="center"/>
                </w:tcPr>
                <w:p w14:paraId="67F2712D">
                  <w:pPr>
                    <w:widowControl/>
                    <w:adjustRightInd w:val="0"/>
                    <w:snapToGrid w:val="0"/>
                    <w:jc w:val="center"/>
                    <w:textAlignment w:val="top"/>
                    <w:rPr>
                      <w:spacing w:val="-2"/>
                      <w:kern w:val="0"/>
                      <w:szCs w:val="21"/>
                      <w:lang w:bidi="ar"/>
                    </w:rPr>
                  </w:pPr>
                  <w:r>
                    <w:rPr>
                      <w:rFonts w:hint="eastAsia"/>
                      <w:spacing w:val="-2"/>
                      <w:kern w:val="0"/>
                      <w:szCs w:val="21"/>
                      <w:lang w:bidi="ar"/>
                    </w:rPr>
                    <w:t>4066</w:t>
                  </w:r>
                </w:p>
              </w:tc>
              <w:tc>
                <w:tcPr>
                  <w:tcW w:w="1030" w:type="dxa"/>
                  <w:vMerge w:val="restart"/>
                  <w:tcBorders>
                    <w:top w:val="single" w:color="000000" w:sz="4" w:space="0"/>
                    <w:left w:val="single" w:color="000000" w:sz="4" w:space="0"/>
                    <w:right w:val="single" w:color="000000" w:sz="4" w:space="0"/>
                  </w:tcBorders>
                  <w:vAlign w:val="center"/>
                </w:tcPr>
                <w:p w14:paraId="47654401">
                  <w:pPr>
                    <w:widowControl/>
                    <w:adjustRightInd w:val="0"/>
                    <w:snapToGrid w:val="0"/>
                    <w:jc w:val="center"/>
                    <w:textAlignment w:val="top"/>
                    <w:rPr>
                      <w:spacing w:val="-2"/>
                      <w:kern w:val="0"/>
                      <w:szCs w:val="21"/>
                      <w:lang w:bidi="ar"/>
                    </w:rPr>
                  </w:pPr>
                  <w:r>
                    <w:rPr>
                      <w:rFonts w:hint="eastAsia"/>
                      <w:spacing w:val="-2"/>
                      <w:kern w:val="0"/>
                      <w:szCs w:val="21"/>
                      <w:lang w:bidi="ar"/>
                    </w:rPr>
                    <w:t>寻甸周边购买</w:t>
                  </w:r>
                </w:p>
              </w:tc>
            </w:tr>
            <w:tr w14:paraId="56128702">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572DF525">
                  <w:pPr>
                    <w:widowControl/>
                    <w:adjustRightInd w:val="0"/>
                    <w:snapToGrid w:val="0"/>
                    <w:jc w:val="center"/>
                    <w:textAlignment w:val="top"/>
                    <w:rPr>
                      <w:szCs w:val="21"/>
                    </w:rPr>
                  </w:pPr>
                  <w:r>
                    <w:rPr>
                      <w:rFonts w:hint="eastAsia"/>
                      <w:spacing w:val="-2"/>
                      <w:kern w:val="0"/>
                      <w:szCs w:val="21"/>
                      <w:lang w:bidi="ar"/>
                    </w:rPr>
                    <w:t>2</w:t>
                  </w:r>
                </w:p>
              </w:tc>
              <w:tc>
                <w:tcPr>
                  <w:tcW w:w="2425" w:type="dxa"/>
                  <w:tcBorders>
                    <w:top w:val="single" w:color="000000" w:sz="4" w:space="0"/>
                    <w:left w:val="single" w:color="000000" w:sz="4" w:space="0"/>
                    <w:bottom w:val="single" w:color="000000" w:sz="4" w:space="0"/>
                    <w:right w:val="single" w:color="000000" w:sz="4" w:space="0"/>
                  </w:tcBorders>
                  <w:vAlign w:val="center"/>
                </w:tcPr>
                <w:p w14:paraId="036275C3">
                  <w:pPr>
                    <w:widowControl/>
                    <w:adjustRightInd w:val="0"/>
                    <w:snapToGrid w:val="0"/>
                    <w:jc w:val="center"/>
                    <w:textAlignment w:val="top"/>
                    <w:rPr>
                      <w:szCs w:val="21"/>
                    </w:rPr>
                  </w:pPr>
                  <w:r>
                    <w:rPr>
                      <w:rFonts w:hint="eastAsia"/>
                      <w:spacing w:val="-2"/>
                      <w:kern w:val="0"/>
                      <w:szCs w:val="21"/>
                      <w:lang w:bidi="ar"/>
                    </w:rPr>
                    <w:t>锯木屑</w:t>
                  </w:r>
                </w:p>
              </w:tc>
              <w:tc>
                <w:tcPr>
                  <w:tcW w:w="1425" w:type="dxa"/>
                  <w:tcBorders>
                    <w:top w:val="single" w:color="000000" w:sz="4" w:space="0"/>
                    <w:left w:val="single" w:color="000000" w:sz="4" w:space="0"/>
                    <w:bottom w:val="single" w:color="000000" w:sz="4" w:space="0"/>
                    <w:right w:val="single" w:color="000000" w:sz="4" w:space="0"/>
                  </w:tcBorders>
                  <w:vAlign w:val="center"/>
                </w:tcPr>
                <w:p w14:paraId="02C86B1C">
                  <w:pPr>
                    <w:widowControl/>
                    <w:adjustRightInd w:val="0"/>
                    <w:snapToGrid w:val="0"/>
                    <w:jc w:val="center"/>
                    <w:textAlignment w:val="top"/>
                    <w:rPr>
                      <w:szCs w:val="21"/>
                    </w:rPr>
                  </w:pPr>
                  <w:r>
                    <w:rPr>
                      <w:rFonts w:hint="eastAsia"/>
                      <w:spacing w:val="-2"/>
                      <w:kern w:val="0"/>
                      <w:szCs w:val="21"/>
                      <w:lang w:bidi="ar"/>
                    </w:rPr>
                    <w:t>16000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719B0A74">
                  <w:pPr>
                    <w:widowControl/>
                    <w:adjustRightInd w:val="0"/>
                    <w:snapToGrid w:val="0"/>
                    <w:jc w:val="center"/>
                    <w:textAlignment w:val="top"/>
                    <w:rPr>
                      <w:szCs w:val="21"/>
                    </w:rPr>
                  </w:pPr>
                  <w:r>
                    <w:rPr>
                      <w:rFonts w:hint="eastAsia"/>
                      <w:szCs w:val="21"/>
                    </w:rPr>
                    <w:t>10-15</w:t>
                  </w:r>
                </w:p>
              </w:tc>
              <w:tc>
                <w:tcPr>
                  <w:tcW w:w="1334" w:type="dxa"/>
                  <w:tcBorders>
                    <w:top w:val="single" w:color="000000" w:sz="4" w:space="0"/>
                    <w:left w:val="single" w:color="000000" w:sz="4" w:space="0"/>
                    <w:bottom w:val="single" w:color="000000" w:sz="4" w:space="0"/>
                    <w:right w:val="single" w:color="000000" w:sz="4" w:space="0"/>
                  </w:tcBorders>
                  <w:vAlign w:val="center"/>
                </w:tcPr>
                <w:p w14:paraId="714F8F56">
                  <w:pPr>
                    <w:widowControl/>
                    <w:adjustRightInd w:val="0"/>
                    <w:snapToGrid w:val="0"/>
                    <w:jc w:val="center"/>
                    <w:textAlignment w:val="top"/>
                    <w:rPr>
                      <w:spacing w:val="-2"/>
                      <w:kern w:val="0"/>
                      <w:szCs w:val="21"/>
                      <w:lang w:bidi="ar"/>
                    </w:rPr>
                  </w:pPr>
                  <w:r>
                    <w:rPr>
                      <w:rFonts w:hint="eastAsia"/>
                      <w:spacing w:val="-2"/>
                      <w:kern w:val="0"/>
                      <w:szCs w:val="21"/>
                      <w:lang w:bidi="ar"/>
                    </w:rPr>
                    <w:t>1066</w:t>
                  </w:r>
                </w:p>
              </w:tc>
              <w:tc>
                <w:tcPr>
                  <w:tcW w:w="1030" w:type="dxa"/>
                  <w:vMerge w:val="continue"/>
                  <w:tcBorders>
                    <w:left w:val="single" w:color="000000" w:sz="4" w:space="0"/>
                    <w:right w:val="single" w:color="000000" w:sz="4" w:space="0"/>
                  </w:tcBorders>
                  <w:vAlign w:val="center"/>
                </w:tcPr>
                <w:p w14:paraId="1C94058D">
                  <w:pPr>
                    <w:widowControl/>
                    <w:adjustRightInd w:val="0"/>
                    <w:snapToGrid w:val="0"/>
                    <w:jc w:val="center"/>
                    <w:textAlignment w:val="top"/>
                    <w:rPr>
                      <w:spacing w:val="-2"/>
                      <w:kern w:val="0"/>
                      <w:szCs w:val="21"/>
                      <w:lang w:bidi="ar"/>
                    </w:rPr>
                  </w:pPr>
                </w:p>
              </w:tc>
            </w:tr>
            <w:tr w14:paraId="0191DF51">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09C70F09">
                  <w:pPr>
                    <w:widowControl/>
                    <w:adjustRightInd w:val="0"/>
                    <w:snapToGrid w:val="0"/>
                    <w:jc w:val="center"/>
                    <w:textAlignment w:val="top"/>
                    <w:rPr>
                      <w:szCs w:val="21"/>
                    </w:rPr>
                  </w:pPr>
                  <w:r>
                    <w:rPr>
                      <w:rFonts w:hint="eastAsia"/>
                      <w:spacing w:val="-2"/>
                      <w:kern w:val="0"/>
                      <w:szCs w:val="21"/>
                      <w:lang w:bidi="ar"/>
                    </w:rPr>
                    <w:t>3</w:t>
                  </w:r>
                </w:p>
              </w:tc>
              <w:tc>
                <w:tcPr>
                  <w:tcW w:w="2425" w:type="dxa"/>
                  <w:tcBorders>
                    <w:top w:val="single" w:color="000000" w:sz="4" w:space="0"/>
                    <w:left w:val="single" w:color="000000" w:sz="4" w:space="0"/>
                    <w:bottom w:val="single" w:color="000000" w:sz="4" w:space="0"/>
                    <w:right w:val="single" w:color="000000" w:sz="4" w:space="0"/>
                  </w:tcBorders>
                  <w:vAlign w:val="center"/>
                </w:tcPr>
                <w:p w14:paraId="3EB7F6CD">
                  <w:pPr>
                    <w:widowControl/>
                    <w:adjustRightInd w:val="0"/>
                    <w:snapToGrid w:val="0"/>
                    <w:jc w:val="center"/>
                    <w:textAlignment w:val="top"/>
                    <w:rPr>
                      <w:szCs w:val="21"/>
                    </w:rPr>
                  </w:pPr>
                  <w:r>
                    <w:rPr>
                      <w:rFonts w:hint="eastAsia"/>
                      <w:spacing w:val="-2"/>
                      <w:kern w:val="0"/>
                      <w:szCs w:val="21"/>
                      <w:lang w:bidi="ar"/>
                    </w:rPr>
                    <w:t>尿素</w:t>
                  </w:r>
                </w:p>
              </w:tc>
              <w:tc>
                <w:tcPr>
                  <w:tcW w:w="1425" w:type="dxa"/>
                  <w:tcBorders>
                    <w:top w:val="single" w:color="000000" w:sz="4" w:space="0"/>
                    <w:left w:val="single" w:color="000000" w:sz="4" w:space="0"/>
                    <w:bottom w:val="single" w:color="000000" w:sz="4" w:space="0"/>
                    <w:right w:val="single" w:color="000000" w:sz="4" w:space="0"/>
                  </w:tcBorders>
                  <w:vAlign w:val="center"/>
                </w:tcPr>
                <w:p w14:paraId="4435FC6A">
                  <w:pPr>
                    <w:widowControl/>
                    <w:adjustRightInd w:val="0"/>
                    <w:snapToGrid w:val="0"/>
                    <w:jc w:val="center"/>
                    <w:textAlignment w:val="top"/>
                    <w:rPr>
                      <w:szCs w:val="21"/>
                    </w:rPr>
                  </w:pPr>
                  <w:r>
                    <w:rPr>
                      <w:rFonts w:hint="eastAsia"/>
                      <w:spacing w:val="-2"/>
                      <w:kern w:val="0"/>
                      <w:szCs w:val="21"/>
                      <w:lang w:bidi="ar"/>
                    </w:rPr>
                    <w:t>4000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2C139F5B">
                  <w:pPr>
                    <w:widowControl/>
                    <w:adjustRightInd w:val="0"/>
                    <w:snapToGrid w:val="0"/>
                    <w:jc w:val="center"/>
                    <w:rPr>
                      <w:szCs w:val="21"/>
                    </w:rPr>
                  </w:pPr>
                  <w:r>
                    <w:rPr>
                      <w:rFonts w:hint="eastAsia"/>
                      <w:szCs w:val="21"/>
                    </w:rPr>
                    <w:t>＜0.1</w:t>
                  </w:r>
                </w:p>
              </w:tc>
              <w:tc>
                <w:tcPr>
                  <w:tcW w:w="1334" w:type="dxa"/>
                  <w:tcBorders>
                    <w:top w:val="single" w:color="000000" w:sz="4" w:space="0"/>
                    <w:left w:val="single" w:color="000000" w:sz="4" w:space="0"/>
                    <w:bottom w:val="single" w:color="000000" w:sz="4" w:space="0"/>
                    <w:right w:val="single" w:color="000000" w:sz="4" w:space="0"/>
                  </w:tcBorders>
                  <w:vAlign w:val="center"/>
                </w:tcPr>
                <w:p w14:paraId="256A8EB2">
                  <w:pPr>
                    <w:widowControl/>
                    <w:adjustRightInd w:val="0"/>
                    <w:snapToGrid w:val="0"/>
                    <w:jc w:val="center"/>
                    <w:textAlignment w:val="top"/>
                    <w:rPr>
                      <w:spacing w:val="-2"/>
                      <w:kern w:val="0"/>
                      <w:szCs w:val="21"/>
                      <w:lang w:bidi="ar"/>
                    </w:rPr>
                  </w:pPr>
                  <w:r>
                    <w:rPr>
                      <w:rFonts w:hint="eastAsia"/>
                      <w:spacing w:val="-2"/>
                      <w:kern w:val="0"/>
                      <w:szCs w:val="21"/>
                      <w:lang w:bidi="ar"/>
                    </w:rPr>
                    <w:t>266</w:t>
                  </w:r>
                </w:p>
              </w:tc>
              <w:tc>
                <w:tcPr>
                  <w:tcW w:w="1030" w:type="dxa"/>
                  <w:vMerge w:val="continue"/>
                  <w:tcBorders>
                    <w:left w:val="single" w:color="000000" w:sz="4" w:space="0"/>
                    <w:bottom w:val="single" w:color="auto" w:sz="4" w:space="0"/>
                    <w:right w:val="single" w:color="000000" w:sz="4" w:space="0"/>
                  </w:tcBorders>
                  <w:vAlign w:val="center"/>
                </w:tcPr>
                <w:p w14:paraId="7D9CA8A7">
                  <w:pPr>
                    <w:widowControl/>
                    <w:adjustRightInd w:val="0"/>
                    <w:snapToGrid w:val="0"/>
                    <w:jc w:val="center"/>
                    <w:textAlignment w:val="top"/>
                    <w:rPr>
                      <w:spacing w:val="-2"/>
                      <w:kern w:val="0"/>
                      <w:szCs w:val="21"/>
                      <w:lang w:bidi="ar"/>
                    </w:rPr>
                  </w:pPr>
                </w:p>
              </w:tc>
            </w:tr>
            <w:tr w14:paraId="7CF95AA1">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2A4E">
                  <w:pPr>
                    <w:widowControl/>
                    <w:adjustRightInd w:val="0"/>
                    <w:snapToGrid w:val="0"/>
                    <w:jc w:val="center"/>
                    <w:textAlignment w:val="top"/>
                    <w:rPr>
                      <w:szCs w:val="21"/>
                    </w:rPr>
                  </w:pPr>
                  <w:r>
                    <w:rPr>
                      <w:rFonts w:hint="eastAsia"/>
                      <w:spacing w:val="-2"/>
                      <w:kern w:val="0"/>
                      <w:szCs w:val="21"/>
                      <w:lang w:bidi="ar"/>
                    </w:rPr>
                    <w:t>4</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CE97">
                  <w:pPr>
                    <w:widowControl/>
                    <w:adjustRightInd w:val="0"/>
                    <w:snapToGrid w:val="0"/>
                    <w:jc w:val="center"/>
                    <w:textAlignment w:val="bottom"/>
                    <w:rPr>
                      <w:szCs w:val="21"/>
                    </w:rPr>
                  </w:pPr>
                  <w:r>
                    <w:rPr>
                      <w:spacing w:val="-2"/>
                      <w:kern w:val="0"/>
                      <w:szCs w:val="21"/>
                      <w:lang w:bidi="ar"/>
                    </w:rPr>
                    <w:t>发酵剂菌种</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6E79">
                  <w:pPr>
                    <w:widowControl/>
                    <w:adjustRightInd w:val="0"/>
                    <w:snapToGrid w:val="0"/>
                    <w:jc w:val="center"/>
                    <w:textAlignment w:val="top"/>
                    <w:rPr>
                      <w:szCs w:val="21"/>
                    </w:rPr>
                  </w:pPr>
                  <w:r>
                    <w:rPr>
                      <w:rFonts w:hint="eastAsia"/>
                      <w:spacing w:val="-2"/>
                      <w:kern w:val="0"/>
                      <w:szCs w:val="21"/>
                      <w:lang w:bidi="ar"/>
                    </w:rPr>
                    <w:t>20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4DDC">
                  <w:pPr>
                    <w:widowControl/>
                    <w:adjustRightInd w:val="0"/>
                    <w:snapToGrid w:val="0"/>
                    <w:jc w:val="center"/>
                    <w:textAlignment w:val="bottom"/>
                    <w:rPr>
                      <w:szCs w:val="21"/>
                    </w:rPr>
                  </w:pPr>
                  <w:r>
                    <w:rPr>
                      <w:rFonts w:hint="eastAsia"/>
                      <w:szCs w:val="21"/>
                    </w:rPr>
                    <w:t>/</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FBD4">
                  <w:pPr>
                    <w:widowControl/>
                    <w:adjustRightInd w:val="0"/>
                    <w:snapToGrid w:val="0"/>
                    <w:jc w:val="center"/>
                    <w:textAlignment w:val="bottom"/>
                    <w:rPr>
                      <w:spacing w:val="-2"/>
                      <w:kern w:val="0"/>
                      <w:szCs w:val="21"/>
                      <w:lang w:bidi="ar"/>
                    </w:rPr>
                  </w:pPr>
                  <w:r>
                    <w:rPr>
                      <w:rFonts w:hint="eastAsia"/>
                      <w:spacing w:val="-2"/>
                      <w:kern w:val="0"/>
                      <w:szCs w:val="21"/>
                      <w:lang w:bidi="ar"/>
                    </w:rPr>
                    <w:t>1.34</w:t>
                  </w:r>
                </w:p>
              </w:tc>
              <w:tc>
                <w:tcPr>
                  <w:tcW w:w="1030" w:type="dxa"/>
                  <w:tcBorders>
                    <w:left w:val="single" w:color="000000" w:sz="4" w:space="0"/>
                    <w:bottom w:val="single" w:color="auto" w:sz="4" w:space="0"/>
                    <w:right w:val="single" w:color="000000" w:sz="4" w:space="0"/>
                  </w:tcBorders>
                  <w:shd w:val="clear" w:color="auto" w:fill="auto"/>
                  <w:vAlign w:val="center"/>
                </w:tcPr>
                <w:p w14:paraId="78171CE1">
                  <w:pPr>
                    <w:widowControl/>
                    <w:adjustRightInd w:val="0"/>
                    <w:snapToGrid w:val="0"/>
                    <w:jc w:val="center"/>
                    <w:textAlignment w:val="top"/>
                    <w:rPr>
                      <w:spacing w:val="-2"/>
                      <w:kern w:val="0"/>
                      <w:szCs w:val="21"/>
                      <w:lang w:bidi="ar"/>
                    </w:rPr>
                  </w:pPr>
                  <w:r>
                    <w:rPr>
                      <w:spacing w:val="-2"/>
                      <w:kern w:val="0"/>
                      <w:szCs w:val="21"/>
                      <w:lang w:bidi="ar"/>
                    </w:rPr>
                    <w:t>地衣芽孢杆菌、枯草芽孢杆菌、酵母菌等</w:t>
                  </w:r>
                </w:p>
              </w:tc>
            </w:tr>
            <w:tr w14:paraId="29A84C31">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417FBC43">
                  <w:pPr>
                    <w:widowControl/>
                    <w:adjustRightInd w:val="0"/>
                    <w:snapToGrid w:val="0"/>
                    <w:jc w:val="center"/>
                    <w:textAlignment w:val="top"/>
                    <w:rPr>
                      <w:szCs w:val="21"/>
                    </w:rPr>
                  </w:pPr>
                  <w:r>
                    <w:rPr>
                      <w:rFonts w:hint="eastAsia"/>
                      <w:szCs w:val="21"/>
                    </w:rPr>
                    <w:t>5</w:t>
                  </w:r>
                </w:p>
              </w:tc>
              <w:tc>
                <w:tcPr>
                  <w:tcW w:w="2425" w:type="dxa"/>
                  <w:tcBorders>
                    <w:top w:val="single" w:color="000000" w:sz="4" w:space="0"/>
                    <w:left w:val="single" w:color="000000" w:sz="4" w:space="0"/>
                    <w:bottom w:val="single" w:color="000000" w:sz="4" w:space="0"/>
                    <w:right w:val="single" w:color="000000" w:sz="4" w:space="0"/>
                  </w:tcBorders>
                  <w:vAlign w:val="center"/>
                </w:tcPr>
                <w:p w14:paraId="40430A93">
                  <w:pPr>
                    <w:widowControl/>
                    <w:adjustRightInd w:val="0"/>
                    <w:snapToGrid w:val="0"/>
                    <w:jc w:val="center"/>
                    <w:textAlignment w:val="top"/>
                    <w:rPr>
                      <w:szCs w:val="21"/>
                    </w:rPr>
                  </w:pPr>
                  <w:r>
                    <w:rPr>
                      <w:rFonts w:hint="eastAsia"/>
                      <w:spacing w:val="-2"/>
                      <w:kern w:val="0"/>
                      <w:szCs w:val="21"/>
                      <w:lang w:bidi="ar"/>
                    </w:rPr>
                    <w:t>尾矿</w:t>
                  </w:r>
                </w:p>
              </w:tc>
              <w:tc>
                <w:tcPr>
                  <w:tcW w:w="1425" w:type="dxa"/>
                  <w:tcBorders>
                    <w:top w:val="single" w:color="000000" w:sz="4" w:space="0"/>
                    <w:left w:val="single" w:color="000000" w:sz="4" w:space="0"/>
                    <w:bottom w:val="single" w:color="000000" w:sz="4" w:space="0"/>
                    <w:right w:val="single" w:color="000000" w:sz="4" w:space="0"/>
                  </w:tcBorders>
                  <w:vAlign w:val="center"/>
                </w:tcPr>
                <w:p w14:paraId="1BB62BF5">
                  <w:pPr>
                    <w:widowControl/>
                    <w:adjustRightInd w:val="0"/>
                    <w:snapToGrid w:val="0"/>
                    <w:jc w:val="center"/>
                    <w:textAlignment w:val="top"/>
                    <w:rPr>
                      <w:szCs w:val="21"/>
                    </w:rPr>
                  </w:pPr>
                  <w:r>
                    <w:rPr>
                      <w:rFonts w:hint="eastAsia"/>
                      <w:spacing w:val="-2"/>
                      <w:kern w:val="0"/>
                      <w:szCs w:val="21"/>
                      <w:lang w:bidi="ar"/>
                    </w:rPr>
                    <w:t>24000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6F19B4D6">
                  <w:pPr>
                    <w:widowControl/>
                    <w:adjustRightInd w:val="0"/>
                    <w:snapToGrid w:val="0"/>
                    <w:jc w:val="center"/>
                    <w:textAlignment w:val="top"/>
                    <w:rPr>
                      <w:szCs w:val="21"/>
                    </w:rPr>
                  </w:pPr>
                  <w:r>
                    <w:rPr>
                      <w:rFonts w:hint="eastAsia"/>
                      <w:szCs w:val="21"/>
                    </w:rPr>
                    <w:t>12-15</w:t>
                  </w:r>
                </w:p>
              </w:tc>
              <w:tc>
                <w:tcPr>
                  <w:tcW w:w="1334" w:type="dxa"/>
                  <w:tcBorders>
                    <w:top w:val="single" w:color="000000" w:sz="4" w:space="0"/>
                    <w:left w:val="single" w:color="000000" w:sz="4" w:space="0"/>
                    <w:bottom w:val="single" w:color="000000" w:sz="4" w:space="0"/>
                    <w:right w:val="single" w:color="000000" w:sz="4" w:space="0"/>
                  </w:tcBorders>
                  <w:vAlign w:val="center"/>
                </w:tcPr>
                <w:p w14:paraId="4167E0D4">
                  <w:pPr>
                    <w:widowControl/>
                    <w:adjustRightInd w:val="0"/>
                    <w:snapToGrid w:val="0"/>
                    <w:jc w:val="center"/>
                    <w:rPr>
                      <w:spacing w:val="-2"/>
                      <w:kern w:val="0"/>
                      <w:szCs w:val="21"/>
                      <w:lang w:bidi="ar"/>
                    </w:rPr>
                  </w:pPr>
                  <w:r>
                    <w:rPr>
                      <w:rFonts w:hint="eastAsia"/>
                      <w:szCs w:val="21"/>
                    </w:rPr>
                    <w:t>1600</w:t>
                  </w:r>
                </w:p>
              </w:tc>
              <w:tc>
                <w:tcPr>
                  <w:tcW w:w="1030" w:type="dxa"/>
                  <w:tcBorders>
                    <w:top w:val="single" w:color="auto" w:sz="4" w:space="0"/>
                    <w:left w:val="single" w:color="000000" w:sz="4" w:space="0"/>
                    <w:bottom w:val="single" w:color="000000" w:sz="4" w:space="0"/>
                    <w:right w:val="single" w:color="000000" w:sz="4" w:space="0"/>
                  </w:tcBorders>
                  <w:vAlign w:val="center"/>
                </w:tcPr>
                <w:p w14:paraId="7CC3D4E1">
                  <w:pPr>
                    <w:widowControl/>
                    <w:adjustRightInd w:val="0"/>
                    <w:snapToGrid w:val="0"/>
                    <w:jc w:val="center"/>
                    <w:textAlignment w:val="top"/>
                    <w:rPr>
                      <w:spacing w:val="-2"/>
                      <w:kern w:val="0"/>
                      <w:szCs w:val="21"/>
                      <w:lang w:bidi="ar"/>
                    </w:rPr>
                  </w:pPr>
                  <w:r>
                    <w:rPr>
                      <w:spacing w:val="-2"/>
                      <w:kern w:val="0"/>
                      <w:szCs w:val="21"/>
                      <w:lang w:bidi="ar"/>
                    </w:rPr>
                    <w:t>中化云龙</w:t>
                  </w:r>
                </w:p>
              </w:tc>
            </w:tr>
            <w:tr w14:paraId="7CA5A477">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1C66C375">
                  <w:pPr>
                    <w:widowControl/>
                    <w:adjustRightInd w:val="0"/>
                    <w:snapToGrid w:val="0"/>
                    <w:jc w:val="center"/>
                    <w:textAlignment w:val="top"/>
                    <w:rPr>
                      <w:spacing w:val="-2"/>
                      <w:kern w:val="0"/>
                      <w:szCs w:val="21"/>
                      <w:lang w:bidi="ar"/>
                    </w:rPr>
                  </w:pPr>
                  <w:r>
                    <w:rPr>
                      <w:rFonts w:hint="eastAsia"/>
                      <w:spacing w:val="-2"/>
                      <w:kern w:val="0"/>
                      <w:szCs w:val="21"/>
                      <w:lang w:bidi="ar"/>
                    </w:rPr>
                    <w:t>6</w:t>
                  </w:r>
                </w:p>
              </w:tc>
              <w:tc>
                <w:tcPr>
                  <w:tcW w:w="2425" w:type="dxa"/>
                  <w:tcBorders>
                    <w:top w:val="single" w:color="000000" w:sz="4" w:space="0"/>
                    <w:left w:val="single" w:color="000000" w:sz="4" w:space="0"/>
                    <w:bottom w:val="single" w:color="000000" w:sz="4" w:space="0"/>
                    <w:right w:val="single" w:color="000000" w:sz="4" w:space="0"/>
                  </w:tcBorders>
                  <w:vAlign w:val="center"/>
                </w:tcPr>
                <w:p w14:paraId="0E3E1E81">
                  <w:pPr>
                    <w:widowControl/>
                    <w:adjustRightInd w:val="0"/>
                    <w:snapToGrid w:val="0"/>
                    <w:jc w:val="center"/>
                    <w:textAlignment w:val="top"/>
                    <w:rPr>
                      <w:spacing w:val="-2"/>
                      <w:kern w:val="0"/>
                      <w:szCs w:val="21"/>
                      <w:lang w:bidi="ar"/>
                    </w:rPr>
                  </w:pPr>
                  <w:r>
                    <w:rPr>
                      <w:rFonts w:hint="eastAsia"/>
                      <w:spacing w:val="-2"/>
                      <w:kern w:val="0"/>
                      <w:szCs w:val="21"/>
                      <w:lang w:bidi="ar"/>
                    </w:rPr>
                    <w:t>水</w:t>
                  </w:r>
                </w:p>
              </w:tc>
              <w:tc>
                <w:tcPr>
                  <w:tcW w:w="1425" w:type="dxa"/>
                  <w:tcBorders>
                    <w:top w:val="single" w:color="000000" w:sz="4" w:space="0"/>
                    <w:left w:val="single" w:color="000000" w:sz="4" w:space="0"/>
                    <w:bottom w:val="single" w:color="000000" w:sz="4" w:space="0"/>
                    <w:right w:val="single" w:color="000000" w:sz="4" w:space="0"/>
                  </w:tcBorders>
                  <w:vAlign w:val="center"/>
                </w:tcPr>
                <w:p w14:paraId="7FB04D2A">
                  <w:pPr>
                    <w:widowControl/>
                    <w:adjustRightInd w:val="0"/>
                    <w:snapToGrid w:val="0"/>
                    <w:jc w:val="center"/>
                    <w:textAlignment w:val="top"/>
                    <w:rPr>
                      <w:spacing w:val="-2"/>
                      <w:kern w:val="0"/>
                      <w:szCs w:val="21"/>
                      <w:lang w:bidi="ar"/>
                    </w:rPr>
                  </w:pPr>
                  <w:r>
                    <w:rPr>
                      <w:rFonts w:hint="eastAsia"/>
                      <w:spacing w:val="-2"/>
                      <w:kern w:val="0"/>
                      <w:szCs w:val="21"/>
                      <w:lang w:bidi="ar"/>
                    </w:rPr>
                    <w:t>7700</w:t>
                  </w:r>
                </w:p>
              </w:tc>
              <w:tc>
                <w:tcPr>
                  <w:tcW w:w="3442" w:type="dxa"/>
                  <w:gridSpan w:val="3"/>
                  <w:tcBorders>
                    <w:top w:val="single" w:color="000000" w:sz="4" w:space="0"/>
                    <w:left w:val="single" w:color="000000" w:sz="4" w:space="0"/>
                    <w:bottom w:val="single" w:color="000000" w:sz="4" w:space="0"/>
                    <w:right w:val="single" w:color="000000" w:sz="4" w:space="0"/>
                  </w:tcBorders>
                  <w:vAlign w:val="center"/>
                </w:tcPr>
                <w:p w14:paraId="5209407B">
                  <w:pPr>
                    <w:widowControl/>
                    <w:adjustRightInd w:val="0"/>
                    <w:snapToGrid w:val="0"/>
                    <w:jc w:val="center"/>
                    <w:textAlignment w:val="top"/>
                    <w:rPr>
                      <w:spacing w:val="-2"/>
                      <w:kern w:val="0"/>
                      <w:szCs w:val="21"/>
                      <w:lang w:bidi="ar"/>
                    </w:rPr>
                  </w:pPr>
                  <w:r>
                    <w:rPr>
                      <w:rFonts w:hint="eastAsia"/>
                      <w:spacing w:val="-2"/>
                      <w:kern w:val="0"/>
                      <w:szCs w:val="21"/>
                      <w:lang w:bidi="ar"/>
                    </w:rPr>
                    <w:t>已建供水系统提供</w:t>
                  </w:r>
                </w:p>
              </w:tc>
            </w:tr>
            <w:tr w14:paraId="00ED26BB">
              <w:tblPrEx>
                <w:tblCellMar>
                  <w:top w:w="15" w:type="dxa"/>
                  <w:left w:w="15" w:type="dxa"/>
                  <w:bottom w:w="15" w:type="dxa"/>
                  <w:right w:w="15" w:type="dxa"/>
                </w:tblCellMar>
              </w:tblPrEx>
              <w:trPr>
                <w:trHeight w:val="369" w:hRule="atLeast"/>
                <w:jc w:val="center"/>
              </w:trPr>
              <w:tc>
                <w:tcPr>
                  <w:tcW w:w="7945" w:type="dxa"/>
                  <w:gridSpan w:val="6"/>
                  <w:tcBorders>
                    <w:top w:val="single" w:color="000000" w:sz="4" w:space="0"/>
                    <w:left w:val="single" w:color="000000" w:sz="4" w:space="0"/>
                    <w:bottom w:val="single" w:color="000000" w:sz="4" w:space="0"/>
                    <w:right w:val="single" w:color="000000" w:sz="4" w:space="0"/>
                  </w:tcBorders>
                  <w:vAlign w:val="center"/>
                </w:tcPr>
                <w:p w14:paraId="39ACFF63">
                  <w:pPr>
                    <w:widowControl/>
                    <w:adjustRightInd w:val="0"/>
                    <w:snapToGrid w:val="0"/>
                    <w:jc w:val="center"/>
                    <w:textAlignment w:val="top"/>
                    <w:rPr>
                      <w:spacing w:val="-2"/>
                      <w:kern w:val="0"/>
                      <w:szCs w:val="21"/>
                      <w:lang w:bidi="ar"/>
                    </w:rPr>
                  </w:pPr>
                  <w:r>
                    <w:rPr>
                      <w:rFonts w:hint="eastAsia"/>
                      <w:spacing w:val="-2"/>
                      <w:kern w:val="0"/>
                      <w:szCs w:val="21"/>
                      <w:lang w:bidi="ar"/>
                    </w:rPr>
                    <w:t>其他</w:t>
                  </w:r>
                </w:p>
              </w:tc>
            </w:tr>
            <w:tr w14:paraId="3ECBC200">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186181A2">
                  <w:pPr>
                    <w:widowControl/>
                    <w:adjustRightInd w:val="0"/>
                    <w:snapToGrid w:val="0"/>
                    <w:jc w:val="center"/>
                    <w:textAlignment w:val="top"/>
                    <w:rPr>
                      <w:spacing w:val="-2"/>
                      <w:kern w:val="0"/>
                      <w:szCs w:val="21"/>
                      <w:lang w:bidi="ar"/>
                    </w:rPr>
                  </w:pPr>
                  <w:r>
                    <w:rPr>
                      <w:rFonts w:hint="eastAsia"/>
                      <w:spacing w:val="-2"/>
                      <w:kern w:val="0"/>
                      <w:szCs w:val="21"/>
                      <w:lang w:bidi="ar"/>
                    </w:rPr>
                    <w:t>1</w:t>
                  </w:r>
                </w:p>
              </w:tc>
              <w:tc>
                <w:tcPr>
                  <w:tcW w:w="2425" w:type="dxa"/>
                  <w:tcBorders>
                    <w:top w:val="single" w:color="000000" w:sz="4" w:space="0"/>
                    <w:left w:val="single" w:color="000000" w:sz="4" w:space="0"/>
                    <w:bottom w:val="single" w:color="000000" w:sz="4" w:space="0"/>
                    <w:right w:val="single" w:color="000000" w:sz="4" w:space="0"/>
                  </w:tcBorders>
                  <w:vAlign w:val="center"/>
                </w:tcPr>
                <w:p w14:paraId="409DCE55">
                  <w:pPr>
                    <w:widowControl/>
                    <w:adjustRightInd w:val="0"/>
                    <w:snapToGrid w:val="0"/>
                    <w:jc w:val="center"/>
                    <w:textAlignment w:val="bottom"/>
                    <w:rPr>
                      <w:spacing w:val="-2"/>
                      <w:kern w:val="0"/>
                      <w:szCs w:val="21"/>
                      <w:lang w:bidi="ar"/>
                    </w:rPr>
                  </w:pPr>
                  <w:r>
                    <w:rPr>
                      <w:rFonts w:hint="eastAsia"/>
                      <w:spacing w:val="-2"/>
                      <w:kern w:val="0"/>
                      <w:szCs w:val="21"/>
                      <w:lang w:bidi="ar"/>
                    </w:rPr>
                    <w:t>生物除臭剂</w:t>
                  </w:r>
                </w:p>
              </w:tc>
              <w:tc>
                <w:tcPr>
                  <w:tcW w:w="1425" w:type="dxa"/>
                  <w:tcBorders>
                    <w:top w:val="single" w:color="000000" w:sz="4" w:space="0"/>
                    <w:left w:val="single" w:color="000000" w:sz="4" w:space="0"/>
                    <w:bottom w:val="single" w:color="000000" w:sz="4" w:space="0"/>
                    <w:right w:val="single" w:color="000000" w:sz="4" w:space="0"/>
                  </w:tcBorders>
                  <w:vAlign w:val="center"/>
                </w:tcPr>
                <w:p w14:paraId="59D1C6F4">
                  <w:pPr>
                    <w:widowControl/>
                    <w:adjustRightInd w:val="0"/>
                    <w:snapToGrid w:val="0"/>
                    <w:jc w:val="center"/>
                    <w:textAlignment w:val="top"/>
                    <w:rPr>
                      <w:spacing w:val="-2"/>
                      <w:kern w:val="0"/>
                      <w:szCs w:val="21"/>
                      <w:lang w:bidi="ar"/>
                    </w:rPr>
                  </w:pPr>
                  <w:r>
                    <w:rPr>
                      <w:rFonts w:hint="eastAsia"/>
                      <w:spacing w:val="-2"/>
                      <w:kern w:val="0"/>
                      <w:szCs w:val="21"/>
                      <w:lang w:bidi="ar"/>
                    </w:rPr>
                    <w:t>2</w:t>
                  </w:r>
                </w:p>
              </w:tc>
              <w:tc>
                <w:tcPr>
                  <w:tcW w:w="1078" w:type="dxa"/>
                  <w:tcBorders>
                    <w:top w:val="single" w:color="000000" w:sz="4" w:space="0"/>
                    <w:left w:val="single" w:color="000000" w:sz="4" w:space="0"/>
                    <w:bottom w:val="single" w:color="000000" w:sz="4" w:space="0"/>
                    <w:right w:val="single" w:color="000000" w:sz="4" w:space="0"/>
                  </w:tcBorders>
                  <w:vAlign w:val="center"/>
                </w:tcPr>
                <w:p w14:paraId="2C42132E">
                  <w:pPr>
                    <w:widowControl/>
                    <w:adjustRightInd w:val="0"/>
                    <w:snapToGrid w:val="0"/>
                    <w:jc w:val="center"/>
                    <w:textAlignment w:val="bottom"/>
                    <w:rPr>
                      <w:spacing w:val="-2"/>
                      <w:kern w:val="0"/>
                      <w:szCs w:val="21"/>
                      <w:lang w:bidi="ar"/>
                    </w:rPr>
                  </w:pPr>
                  <w:r>
                    <w:rPr>
                      <w:rFonts w:hint="eastAsia"/>
                      <w:spacing w:val="-2"/>
                      <w:kern w:val="0"/>
                      <w:szCs w:val="21"/>
                      <w:lang w:bidi="ar"/>
                    </w:rPr>
                    <w:t>/</w:t>
                  </w:r>
                </w:p>
              </w:tc>
              <w:tc>
                <w:tcPr>
                  <w:tcW w:w="1334" w:type="dxa"/>
                  <w:tcBorders>
                    <w:top w:val="single" w:color="000000" w:sz="4" w:space="0"/>
                    <w:left w:val="single" w:color="000000" w:sz="4" w:space="0"/>
                    <w:bottom w:val="single" w:color="000000" w:sz="4" w:space="0"/>
                    <w:right w:val="single" w:color="000000" w:sz="4" w:space="0"/>
                  </w:tcBorders>
                  <w:vAlign w:val="center"/>
                </w:tcPr>
                <w:p w14:paraId="19C5A106">
                  <w:pPr>
                    <w:widowControl/>
                    <w:adjustRightInd w:val="0"/>
                    <w:snapToGrid w:val="0"/>
                    <w:jc w:val="center"/>
                    <w:textAlignment w:val="bottom"/>
                    <w:rPr>
                      <w:spacing w:val="-2"/>
                      <w:kern w:val="0"/>
                      <w:szCs w:val="21"/>
                      <w:lang w:bidi="ar"/>
                    </w:rPr>
                  </w:pPr>
                  <w:r>
                    <w:rPr>
                      <w:rFonts w:hint="eastAsia"/>
                      <w:spacing w:val="-2"/>
                      <w:kern w:val="0"/>
                      <w:szCs w:val="21"/>
                      <w:lang w:bidi="ar"/>
                    </w:rPr>
                    <w:t>0.1</w:t>
                  </w:r>
                </w:p>
              </w:tc>
              <w:tc>
                <w:tcPr>
                  <w:tcW w:w="1030" w:type="dxa"/>
                  <w:tcBorders>
                    <w:top w:val="single" w:color="000000" w:sz="4" w:space="0"/>
                    <w:left w:val="single" w:color="000000" w:sz="4" w:space="0"/>
                    <w:bottom w:val="single" w:color="000000" w:sz="4" w:space="0"/>
                    <w:right w:val="single" w:color="000000" w:sz="4" w:space="0"/>
                  </w:tcBorders>
                </w:tcPr>
                <w:p w14:paraId="0147ED7A">
                  <w:pPr>
                    <w:adjustRightInd w:val="0"/>
                    <w:snapToGrid w:val="0"/>
                    <w:jc w:val="center"/>
                    <w:rPr>
                      <w:spacing w:val="-2"/>
                      <w:kern w:val="0"/>
                      <w:szCs w:val="21"/>
                      <w:lang w:bidi="ar"/>
                    </w:rPr>
                  </w:pPr>
                  <w:r>
                    <w:rPr>
                      <w:rFonts w:hint="eastAsia"/>
                      <w:spacing w:val="-2"/>
                      <w:kern w:val="0"/>
                      <w:szCs w:val="21"/>
                      <w:lang w:bidi="ar"/>
                    </w:rPr>
                    <w:t>寻甸周边购买</w:t>
                  </w:r>
                </w:p>
              </w:tc>
            </w:tr>
            <w:tr w14:paraId="62682B85">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0D06EE27">
                  <w:pPr>
                    <w:widowControl/>
                    <w:adjustRightInd w:val="0"/>
                    <w:snapToGrid w:val="0"/>
                    <w:jc w:val="center"/>
                    <w:textAlignment w:val="top"/>
                    <w:rPr>
                      <w:spacing w:val="-2"/>
                      <w:kern w:val="0"/>
                      <w:szCs w:val="21"/>
                      <w:lang w:bidi="ar"/>
                    </w:rPr>
                  </w:pPr>
                  <w:r>
                    <w:rPr>
                      <w:rFonts w:hint="eastAsia"/>
                      <w:spacing w:val="-2"/>
                      <w:kern w:val="0"/>
                      <w:szCs w:val="21"/>
                      <w:lang w:bidi="ar"/>
                    </w:rPr>
                    <w:t>2</w:t>
                  </w:r>
                </w:p>
              </w:tc>
              <w:tc>
                <w:tcPr>
                  <w:tcW w:w="2425" w:type="dxa"/>
                  <w:tcBorders>
                    <w:top w:val="single" w:color="000000" w:sz="4" w:space="0"/>
                    <w:left w:val="single" w:color="000000" w:sz="4" w:space="0"/>
                    <w:bottom w:val="single" w:color="000000" w:sz="4" w:space="0"/>
                    <w:right w:val="single" w:color="000000" w:sz="4" w:space="0"/>
                  </w:tcBorders>
                  <w:vAlign w:val="center"/>
                </w:tcPr>
                <w:p w14:paraId="29A1BFC0">
                  <w:pPr>
                    <w:widowControl/>
                    <w:adjustRightInd w:val="0"/>
                    <w:snapToGrid w:val="0"/>
                    <w:jc w:val="center"/>
                    <w:textAlignment w:val="bottom"/>
                    <w:rPr>
                      <w:spacing w:val="-2"/>
                      <w:kern w:val="0"/>
                      <w:szCs w:val="21"/>
                      <w:lang w:bidi="ar"/>
                    </w:rPr>
                  </w:pPr>
                  <w:r>
                    <w:rPr>
                      <w:rFonts w:hint="eastAsia"/>
                      <w:spacing w:val="-2"/>
                      <w:kern w:val="0"/>
                      <w:szCs w:val="21"/>
                      <w:lang w:bidi="ar"/>
                    </w:rPr>
                    <w:t>水</w:t>
                  </w:r>
                </w:p>
              </w:tc>
              <w:tc>
                <w:tcPr>
                  <w:tcW w:w="4867" w:type="dxa"/>
                  <w:gridSpan w:val="4"/>
                  <w:tcBorders>
                    <w:top w:val="single" w:color="000000" w:sz="4" w:space="0"/>
                    <w:left w:val="single" w:color="000000" w:sz="4" w:space="0"/>
                    <w:bottom w:val="single" w:color="000000" w:sz="4" w:space="0"/>
                    <w:right w:val="single" w:color="000000" w:sz="4" w:space="0"/>
                  </w:tcBorders>
                  <w:vAlign w:val="center"/>
                </w:tcPr>
                <w:p w14:paraId="54289CAF">
                  <w:pPr>
                    <w:widowControl/>
                    <w:adjustRightInd w:val="0"/>
                    <w:snapToGrid w:val="0"/>
                    <w:jc w:val="center"/>
                    <w:textAlignment w:val="bottom"/>
                    <w:rPr>
                      <w:spacing w:val="-2"/>
                      <w:kern w:val="0"/>
                      <w:szCs w:val="21"/>
                      <w:lang w:bidi="ar"/>
                    </w:rPr>
                  </w:pPr>
                  <w:r>
                    <w:rPr>
                      <w:rFonts w:hint="eastAsia"/>
                      <w:spacing w:val="-2"/>
                      <w:kern w:val="0"/>
                      <w:szCs w:val="21"/>
                      <w:lang w:bidi="ar"/>
                    </w:rPr>
                    <w:t>8744</w:t>
                  </w:r>
                  <w:r>
                    <w:rPr>
                      <w:szCs w:val="21"/>
                    </w:rPr>
                    <w:t>m</w:t>
                  </w:r>
                  <w:r>
                    <w:rPr>
                      <w:szCs w:val="21"/>
                      <w:vertAlign w:val="superscript"/>
                    </w:rPr>
                    <w:t>3</w:t>
                  </w:r>
                  <w:r>
                    <w:rPr>
                      <w:szCs w:val="21"/>
                    </w:rPr>
                    <w:t>/a</w:t>
                  </w:r>
                  <w:r>
                    <w:rPr>
                      <w:rFonts w:hint="eastAsia"/>
                      <w:spacing w:val="-2"/>
                      <w:kern w:val="0"/>
                      <w:szCs w:val="21"/>
                      <w:lang w:bidi="ar"/>
                    </w:rPr>
                    <w:t>，当地已建供水系统提供</w:t>
                  </w:r>
                </w:p>
              </w:tc>
            </w:tr>
            <w:tr w14:paraId="7F2B6325">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1EEA8AFB">
                  <w:pPr>
                    <w:widowControl/>
                    <w:adjustRightInd w:val="0"/>
                    <w:snapToGrid w:val="0"/>
                    <w:jc w:val="center"/>
                    <w:textAlignment w:val="top"/>
                    <w:rPr>
                      <w:spacing w:val="-2"/>
                      <w:kern w:val="0"/>
                      <w:szCs w:val="21"/>
                      <w:lang w:bidi="ar"/>
                    </w:rPr>
                  </w:pPr>
                  <w:r>
                    <w:rPr>
                      <w:rFonts w:hint="eastAsia"/>
                      <w:spacing w:val="-2"/>
                      <w:kern w:val="0"/>
                      <w:szCs w:val="21"/>
                      <w:lang w:bidi="ar"/>
                    </w:rPr>
                    <w:t>3</w:t>
                  </w:r>
                </w:p>
              </w:tc>
              <w:tc>
                <w:tcPr>
                  <w:tcW w:w="2425" w:type="dxa"/>
                  <w:tcBorders>
                    <w:top w:val="single" w:color="000000" w:sz="4" w:space="0"/>
                    <w:left w:val="single" w:color="000000" w:sz="4" w:space="0"/>
                    <w:bottom w:val="single" w:color="000000" w:sz="4" w:space="0"/>
                    <w:right w:val="single" w:color="000000" w:sz="4" w:space="0"/>
                  </w:tcBorders>
                  <w:vAlign w:val="center"/>
                </w:tcPr>
                <w:p w14:paraId="68E105B0">
                  <w:pPr>
                    <w:widowControl/>
                    <w:adjustRightInd w:val="0"/>
                    <w:snapToGrid w:val="0"/>
                    <w:jc w:val="center"/>
                    <w:textAlignment w:val="bottom"/>
                    <w:rPr>
                      <w:spacing w:val="-2"/>
                      <w:kern w:val="0"/>
                      <w:szCs w:val="21"/>
                      <w:lang w:bidi="ar"/>
                    </w:rPr>
                  </w:pPr>
                  <w:r>
                    <w:rPr>
                      <w:rFonts w:hint="eastAsia"/>
                      <w:spacing w:val="-2"/>
                      <w:kern w:val="0"/>
                      <w:szCs w:val="21"/>
                      <w:lang w:bidi="ar"/>
                    </w:rPr>
                    <w:t>电</w:t>
                  </w:r>
                </w:p>
              </w:tc>
              <w:tc>
                <w:tcPr>
                  <w:tcW w:w="4867" w:type="dxa"/>
                  <w:gridSpan w:val="4"/>
                  <w:tcBorders>
                    <w:top w:val="single" w:color="000000" w:sz="4" w:space="0"/>
                    <w:left w:val="single" w:color="000000" w:sz="4" w:space="0"/>
                    <w:bottom w:val="single" w:color="000000" w:sz="4" w:space="0"/>
                    <w:right w:val="single" w:color="000000" w:sz="4" w:space="0"/>
                  </w:tcBorders>
                  <w:vAlign w:val="center"/>
                </w:tcPr>
                <w:p w14:paraId="23572E21">
                  <w:pPr>
                    <w:widowControl/>
                    <w:adjustRightInd w:val="0"/>
                    <w:snapToGrid w:val="0"/>
                    <w:jc w:val="center"/>
                    <w:textAlignment w:val="bottom"/>
                    <w:rPr>
                      <w:spacing w:val="-2"/>
                      <w:kern w:val="0"/>
                      <w:szCs w:val="21"/>
                      <w:lang w:bidi="ar"/>
                    </w:rPr>
                  </w:pPr>
                  <w:r>
                    <w:rPr>
                      <w:rFonts w:hint="eastAsia"/>
                      <w:spacing w:val="-2"/>
                      <w:kern w:val="0"/>
                      <w:szCs w:val="21"/>
                      <w:lang w:bidi="ar"/>
                    </w:rPr>
                    <w:t>100万</w:t>
                  </w:r>
                  <w:r>
                    <w:rPr>
                      <w:szCs w:val="21"/>
                    </w:rPr>
                    <w:t>kW·h/a</w:t>
                  </w:r>
                  <w:r>
                    <w:rPr>
                      <w:rFonts w:hint="eastAsia"/>
                      <w:szCs w:val="21"/>
                    </w:rPr>
                    <w:t>，当地已建供电系统提供</w:t>
                  </w:r>
                </w:p>
              </w:tc>
            </w:tr>
          </w:tbl>
          <w:p w14:paraId="190F908D">
            <w:pPr>
              <w:spacing w:line="360" w:lineRule="auto"/>
              <w:ind w:firstLine="480" w:firstLineChars="200"/>
              <w:rPr>
                <w:rFonts w:ascii="宋体" w:hAnsi="宋体" w:cs="宋体"/>
                <w:sz w:val="24"/>
              </w:rPr>
            </w:pPr>
            <w:r>
              <w:rPr>
                <w:rFonts w:hint="eastAsia" w:ascii="宋体" w:hAnsi="宋体" w:cs="宋体"/>
                <w:sz w:val="24"/>
              </w:rPr>
              <w:t>项目每批次产品生产周期约为20天，每年生产15个批次。原料发酵、陈化需要15天，产品生产加工需要5天。厂区每次仅进行一批次有机肥和</w:t>
            </w:r>
            <w:r>
              <w:rPr>
                <w:rFonts w:hint="eastAsia"/>
                <w:sz w:val="24"/>
              </w:rPr>
              <w:t>中量元素有机肥</w:t>
            </w:r>
            <w:r>
              <w:rPr>
                <w:rFonts w:hint="eastAsia" w:ascii="宋体" w:hAnsi="宋体" w:cs="宋体"/>
                <w:sz w:val="24"/>
              </w:rPr>
              <w:t>生产和原料储存，项目前期按照配比配料、混合后发酵、陈化，陈化后</w:t>
            </w:r>
            <w:r>
              <w:rPr>
                <w:rFonts w:hint="eastAsia"/>
                <w:sz w:val="24"/>
              </w:rPr>
              <w:t>中量元素有机肥</w:t>
            </w:r>
            <w:r>
              <w:rPr>
                <w:rFonts w:hint="eastAsia" w:ascii="宋体" w:hAnsi="宋体" w:cs="宋体"/>
                <w:sz w:val="24"/>
              </w:rPr>
              <w:t>加入尾矿混合、包装、入库待售，有机肥陈化后包装、入库待售。项目每批次原料用量配比如下：</w:t>
            </w:r>
          </w:p>
          <w:p w14:paraId="758AE291">
            <w:pPr>
              <w:jc w:val="center"/>
              <w:rPr>
                <w:rFonts w:ascii="宋体" w:hAnsi="宋体" w:cs="宋体"/>
                <w:b/>
                <w:bCs/>
                <w:szCs w:val="21"/>
              </w:rPr>
            </w:pPr>
            <w:r>
              <w:rPr>
                <w:rFonts w:hint="eastAsia" w:ascii="宋体" w:hAnsi="宋体" w:cs="宋体"/>
                <w:b/>
                <w:bCs/>
                <w:szCs w:val="21"/>
              </w:rPr>
              <w:t>表2-9 项目每批次原料用量</w:t>
            </w:r>
          </w:p>
          <w:tbl>
            <w:tblPr>
              <w:tblStyle w:val="23"/>
              <w:tblpPr w:leftFromText="180" w:rightFromText="180" w:vertAnchor="text" w:tblpXSpec="center" w:tblpY="1"/>
              <w:tblOverlap w:val="never"/>
              <w:tblW w:w="65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82"/>
              <w:gridCol w:w="3080"/>
              <w:gridCol w:w="2817"/>
            </w:tblGrid>
            <w:tr w14:paraId="435807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038128F2">
                  <w:pPr>
                    <w:widowControl/>
                    <w:jc w:val="center"/>
                    <w:rPr>
                      <w:rFonts w:ascii="宋体" w:hAnsi="宋体" w:cs="宋体"/>
                      <w:szCs w:val="21"/>
                    </w:rPr>
                  </w:pPr>
                  <w:r>
                    <w:rPr>
                      <w:rFonts w:hint="eastAsia" w:ascii="宋体" w:hAnsi="宋体" w:cs="宋体"/>
                      <w:szCs w:val="21"/>
                    </w:rPr>
                    <w:t>序号</w:t>
                  </w:r>
                </w:p>
              </w:tc>
              <w:tc>
                <w:tcPr>
                  <w:tcW w:w="3080" w:type="dxa"/>
                  <w:vAlign w:val="center"/>
                </w:tcPr>
                <w:p w14:paraId="0F4D2F7D">
                  <w:pPr>
                    <w:widowControl/>
                    <w:jc w:val="center"/>
                    <w:rPr>
                      <w:rFonts w:ascii="宋体" w:hAnsi="宋体" w:cs="宋体"/>
                      <w:szCs w:val="21"/>
                    </w:rPr>
                  </w:pPr>
                  <w:r>
                    <w:rPr>
                      <w:rFonts w:hint="eastAsia" w:ascii="宋体" w:hAnsi="宋体" w:cs="宋体"/>
                      <w:szCs w:val="21"/>
                    </w:rPr>
                    <w:t>主要原、辅材料</w:t>
                  </w:r>
                </w:p>
              </w:tc>
              <w:tc>
                <w:tcPr>
                  <w:tcW w:w="2817" w:type="dxa"/>
                  <w:vAlign w:val="center"/>
                </w:tcPr>
                <w:p w14:paraId="6EECC7E5">
                  <w:pPr>
                    <w:widowControl/>
                    <w:jc w:val="center"/>
                    <w:rPr>
                      <w:rFonts w:ascii="宋体" w:hAnsi="宋体" w:cs="宋体"/>
                      <w:szCs w:val="21"/>
                    </w:rPr>
                  </w:pPr>
                  <w:r>
                    <w:rPr>
                      <w:rFonts w:hint="eastAsia" w:ascii="宋体" w:hAnsi="宋体" w:cs="宋体"/>
                      <w:szCs w:val="21"/>
                    </w:rPr>
                    <w:t>单次用量（t）</w:t>
                  </w:r>
                </w:p>
              </w:tc>
            </w:tr>
            <w:tr w14:paraId="3A3EA0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579" w:type="dxa"/>
                  <w:gridSpan w:val="3"/>
                  <w:vAlign w:val="center"/>
                </w:tcPr>
                <w:p w14:paraId="69208A75">
                  <w:pPr>
                    <w:widowControl/>
                    <w:jc w:val="center"/>
                    <w:rPr>
                      <w:rFonts w:ascii="宋体" w:hAnsi="宋体" w:cs="宋体"/>
                      <w:szCs w:val="21"/>
                    </w:rPr>
                  </w:pPr>
                  <w:r>
                    <w:rPr>
                      <w:rFonts w:hint="eastAsia" w:ascii="宋体" w:hAnsi="宋体" w:cs="宋体"/>
                      <w:szCs w:val="21"/>
                    </w:rPr>
                    <w:t>有机肥生产线</w:t>
                  </w:r>
                </w:p>
              </w:tc>
            </w:tr>
            <w:tr w14:paraId="378B42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235FBDF9">
                  <w:pPr>
                    <w:widowControl/>
                    <w:jc w:val="center"/>
                    <w:rPr>
                      <w:rFonts w:ascii="宋体" w:hAnsi="宋体" w:cs="宋体"/>
                      <w:szCs w:val="21"/>
                    </w:rPr>
                  </w:pPr>
                  <w:r>
                    <w:rPr>
                      <w:rFonts w:hint="eastAsia" w:ascii="宋体" w:hAnsi="宋体" w:cs="宋体"/>
                      <w:szCs w:val="21"/>
                    </w:rPr>
                    <w:t>1</w:t>
                  </w:r>
                </w:p>
              </w:tc>
              <w:tc>
                <w:tcPr>
                  <w:tcW w:w="3080" w:type="dxa"/>
                  <w:vAlign w:val="center"/>
                </w:tcPr>
                <w:p w14:paraId="3C1CFC9F">
                  <w:pPr>
                    <w:widowControl/>
                    <w:adjustRightInd w:val="0"/>
                    <w:snapToGrid w:val="0"/>
                    <w:jc w:val="center"/>
                    <w:textAlignment w:val="top"/>
                    <w:rPr>
                      <w:rFonts w:ascii="宋体" w:hAnsi="宋体" w:cs="宋体"/>
                      <w:szCs w:val="21"/>
                    </w:rPr>
                  </w:pPr>
                  <w:r>
                    <w:rPr>
                      <w:rFonts w:hint="eastAsia"/>
                      <w:spacing w:val="-2"/>
                      <w:kern w:val="0"/>
                      <w:szCs w:val="21"/>
                      <w:lang w:bidi="ar"/>
                    </w:rPr>
                    <w:t>低变质褐煤</w:t>
                  </w:r>
                </w:p>
              </w:tc>
              <w:tc>
                <w:tcPr>
                  <w:tcW w:w="2817" w:type="dxa"/>
                  <w:vAlign w:val="center"/>
                </w:tcPr>
                <w:p w14:paraId="3A17AEC5">
                  <w:pPr>
                    <w:widowControl/>
                    <w:adjustRightInd w:val="0"/>
                    <w:snapToGrid w:val="0"/>
                    <w:jc w:val="center"/>
                    <w:textAlignment w:val="top"/>
                    <w:rPr>
                      <w:spacing w:val="-2"/>
                      <w:kern w:val="0"/>
                      <w:szCs w:val="21"/>
                      <w:lang w:bidi="ar"/>
                    </w:rPr>
                  </w:pPr>
                  <w:r>
                    <w:rPr>
                      <w:rFonts w:hint="eastAsia"/>
                      <w:spacing w:val="-2"/>
                      <w:kern w:val="0"/>
                      <w:szCs w:val="21"/>
                      <w:lang w:bidi="ar"/>
                    </w:rPr>
                    <w:t>4066</w:t>
                  </w:r>
                </w:p>
              </w:tc>
            </w:tr>
            <w:tr w14:paraId="0A11D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7381AAD2">
                  <w:pPr>
                    <w:widowControl/>
                    <w:jc w:val="center"/>
                    <w:rPr>
                      <w:rFonts w:ascii="宋体" w:hAnsi="宋体" w:cs="宋体"/>
                      <w:szCs w:val="21"/>
                    </w:rPr>
                  </w:pPr>
                  <w:r>
                    <w:rPr>
                      <w:rFonts w:hint="eastAsia" w:ascii="宋体" w:hAnsi="宋体" w:cs="宋体"/>
                      <w:szCs w:val="21"/>
                    </w:rPr>
                    <w:t>2</w:t>
                  </w:r>
                </w:p>
              </w:tc>
              <w:tc>
                <w:tcPr>
                  <w:tcW w:w="3080" w:type="dxa"/>
                  <w:vAlign w:val="center"/>
                </w:tcPr>
                <w:p w14:paraId="529DED37">
                  <w:pPr>
                    <w:widowControl/>
                    <w:adjustRightInd w:val="0"/>
                    <w:snapToGrid w:val="0"/>
                    <w:jc w:val="center"/>
                    <w:textAlignment w:val="top"/>
                    <w:rPr>
                      <w:rFonts w:ascii="宋体" w:hAnsi="宋体" w:cs="宋体"/>
                      <w:szCs w:val="21"/>
                    </w:rPr>
                  </w:pPr>
                  <w:r>
                    <w:rPr>
                      <w:rFonts w:hint="eastAsia"/>
                      <w:spacing w:val="-2"/>
                      <w:kern w:val="0"/>
                      <w:szCs w:val="21"/>
                      <w:lang w:bidi="ar"/>
                    </w:rPr>
                    <w:t>锯木屑</w:t>
                  </w:r>
                </w:p>
              </w:tc>
              <w:tc>
                <w:tcPr>
                  <w:tcW w:w="2817" w:type="dxa"/>
                  <w:vAlign w:val="center"/>
                </w:tcPr>
                <w:p w14:paraId="3543A05B">
                  <w:pPr>
                    <w:widowControl/>
                    <w:adjustRightInd w:val="0"/>
                    <w:snapToGrid w:val="0"/>
                    <w:jc w:val="center"/>
                    <w:textAlignment w:val="top"/>
                    <w:rPr>
                      <w:spacing w:val="-2"/>
                      <w:kern w:val="0"/>
                      <w:szCs w:val="21"/>
                      <w:lang w:bidi="ar"/>
                    </w:rPr>
                  </w:pPr>
                  <w:r>
                    <w:rPr>
                      <w:rFonts w:hint="eastAsia"/>
                      <w:spacing w:val="-2"/>
                      <w:kern w:val="0"/>
                      <w:szCs w:val="21"/>
                      <w:lang w:bidi="ar"/>
                    </w:rPr>
                    <w:t>1066</w:t>
                  </w:r>
                </w:p>
              </w:tc>
            </w:tr>
            <w:tr w14:paraId="06B9BF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07BCC98D">
                  <w:pPr>
                    <w:widowControl/>
                    <w:jc w:val="center"/>
                    <w:rPr>
                      <w:rFonts w:ascii="宋体" w:hAnsi="宋体" w:cs="宋体"/>
                      <w:szCs w:val="21"/>
                    </w:rPr>
                  </w:pPr>
                  <w:r>
                    <w:rPr>
                      <w:rFonts w:hint="eastAsia" w:ascii="宋体" w:hAnsi="宋体" w:cs="宋体"/>
                      <w:szCs w:val="21"/>
                    </w:rPr>
                    <w:t>3</w:t>
                  </w:r>
                </w:p>
              </w:tc>
              <w:tc>
                <w:tcPr>
                  <w:tcW w:w="3080" w:type="dxa"/>
                  <w:vAlign w:val="center"/>
                </w:tcPr>
                <w:p w14:paraId="690A465A">
                  <w:pPr>
                    <w:widowControl/>
                    <w:adjustRightInd w:val="0"/>
                    <w:snapToGrid w:val="0"/>
                    <w:jc w:val="center"/>
                    <w:textAlignment w:val="top"/>
                    <w:rPr>
                      <w:rFonts w:ascii="宋体" w:hAnsi="宋体" w:cs="宋体"/>
                      <w:szCs w:val="21"/>
                    </w:rPr>
                  </w:pPr>
                  <w:r>
                    <w:rPr>
                      <w:rFonts w:hint="eastAsia"/>
                      <w:spacing w:val="-2"/>
                      <w:kern w:val="0"/>
                      <w:szCs w:val="21"/>
                      <w:lang w:bidi="ar"/>
                    </w:rPr>
                    <w:t>尿素</w:t>
                  </w:r>
                </w:p>
              </w:tc>
              <w:tc>
                <w:tcPr>
                  <w:tcW w:w="2817" w:type="dxa"/>
                  <w:vAlign w:val="center"/>
                </w:tcPr>
                <w:p w14:paraId="40D4BC63">
                  <w:pPr>
                    <w:widowControl/>
                    <w:adjustRightInd w:val="0"/>
                    <w:snapToGrid w:val="0"/>
                    <w:jc w:val="center"/>
                    <w:textAlignment w:val="top"/>
                    <w:rPr>
                      <w:spacing w:val="-2"/>
                      <w:kern w:val="0"/>
                      <w:szCs w:val="21"/>
                      <w:lang w:bidi="ar"/>
                    </w:rPr>
                  </w:pPr>
                  <w:r>
                    <w:rPr>
                      <w:rFonts w:hint="eastAsia"/>
                      <w:spacing w:val="-2"/>
                      <w:kern w:val="0"/>
                      <w:szCs w:val="21"/>
                      <w:lang w:bidi="ar"/>
                    </w:rPr>
                    <w:t>266</w:t>
                  </w:r>
                </w:p>
              </w:tc>
            </w:tr>
            <w:tr w14:paraId="5B1107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66993295">
                  <w:pPr>
                    <w:widowControl/>
                    <w:jc w:val="center"/>
                    <w:rPr>
                      <w:rFonts w:ascii="宋体" w:hAnsi="宋体" w:cs="宋体"/>
                      <w:szCs w:val="21"/>
                    </w:rPr>
                  </w:pPr>
                  <w:r>
                    <w:rPr>
                      <w:rFonts w:hint="eastAsia" w:ascii="宋体" w:hAnsi="宋体" w:cs="宋体"/>
                      <w:szCs w:val="21"/>
                    </w:rPr>
                    <w:t>4</w:t>
                  </w:r>
                </w:p>
              </w:tc>
              <w:tc>
                <w:tcPr>
                  <w:tcW w:w="3080" w:type="dxa"/>
                  <w:vAlign w:val="center"/>
                </w:tcPr>
                <w:p w14:paraId="20D907AD">
                  <w:pPr>
                    <w:widowControl/>
                    <w:adjustRightInd w:val="0"/>
                    <w:snapToGrid w:val="0"/>
                    <w:jc w:val="center"/>
                    <w:textAlignment w:val="top"/>
                    <w:rPr>
                      <w:rFonts w:ascii="宋体" w:hAnsi="宋体" w:cs="宋体"/>
                      <w:szCs w:val="21"/>
                    </w:rPr>
                  </w:pPr>
                  <w:r>
                    <w:rPr>
                      <w:spacing w:val="-2"/>
                      <w:kern w:val="0"/>
                      <w:szCs w:val="21"/>
                      <w:lang w:bidi="ar"/>
                    </w:rPr>
                    <w:t>发酵剂菌种</w:t>
                  </w:r>
                </w:p>
              </w:tc>
              <w:tc>
                <w:tcPr>
                  <w:tcW w:w="2817" w:type="dxa"/>
                  <w:vAlign w:val="center"/>
                </w:tcPr>
                <w:p w14:paraId="041669F3">
                  <w:pPr>
                    <w:widowControl/>
                    <w:adjustRightInd w:val="0"/>
                    <w:snapToGrid w:val="0"/>
                    <w:jc w:val="center"/>
                    <w:textAlignment w:val="top"/>
                    <w:rPr>
                      <w:spacing w:val="-2"/>
                      <w:kern w:val="0"/>
                      <w:szCs w:val="21"/>
                      <w:lang w:bidi="ar"/>
                    </w:rPr>
                  </w:pPr>
                  <w:r>
                    <w:rPr>
                      <w:rFonts w:hint="eastAsia"/>
                      <w:spacing w:val="-2"/>
                      <w:kern w:val="0"/>
                      <w:szCs w:val="21"/>
                      <w:lang w:bidi="ar"/>
                    </w:rPr>
                    <w:t>1.34</w:t>
                  </w:r>
                </w:p>
              </w:tc>
            </w:tr>
            <w:tr w14:paraId="0FDEF6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544E4774">
                  <w:pPr>
                    <w:widowControl/>
                    <w:jc w:val="center"/>
                    <w:rPr>
                      <w:rFonts w:ascii="宋体" w:hAnsi="宋体" w:cs="宋体"/>
                      <w:szCs w:val="21"/>
                    </w:rPr>
                  </w:pPr>
                  <w:r>
                    <w:rPr>
                      <w:rFonts w:hint="eastAsia" w:ascii="宋体" w:hAnsi="宋体" w:cs="宋体"/>
                      <w:szCs w:val="21"/>
                    </w:rPr>
                    <w:t>5</w:t>
                  </w:r>
                </w:p>
              </w:tc>
              <w:tc>
                <w:tcPr>
                  <w:tcW w:w="3080" w:type="dxa"/>
                  <w:vAlign w:val="center"/>
                </w:tcPr>
                <w:p w14:paraId="1B2BE0A7">
                  <w:pPr>
                    <w:widowControl/>
                    <w:jc w:val="center"/>
                    <w:rPr>
                      <w:rFonts w:ascii="宋体" w:hAnsi="宋体" w:cs="宋体"/>
                      <w:szCs w:val="21"/>
                    </w:rPr>
                  </w:pPr>
                  <w:r>
                    <w:rPr>
                      <w:rFonts w:hint="eastAsia" w:ascii="宋体" w:hAnsi="宋体" w:cs="宋体"/>
                      <w:szCs w:val="21"/>
                    </w:rPr>
                    <w:t>尾矿</w:t>
                  </w:r>
                </w:p>
              </w:tc>
              <w:tc>
                <w:tcPr>
                  <w:tcW w:w="2817" w:type="dxa"/>
                  <w:vAlign w:val="center"/>
                </w:tcPr>
                <w:p w14:paraId="6E8E5227">
                  <w:pPr>
                    <w:widowControl/>
                    <w:jc w:val="center"/>
                    <w:rPr>
                      <w:spacing w:val="-2"/>
                      <w:kern w:val="0"/>
                      <w:szCs w:val="21"/>
                      <w:lang w:bidi="ar"/>
                    </w:rPr>
                  </w:pPr>
                  <w:r>
                    <w:rPr>
                      <w:rFonts w:hint="eastAsia"/>
                      <w:spacing w:val="-2"/>
                      <w:kern w:val="0"/>
                      <w:szCs w:val="21"/>
                      <w:lang w:bidi="ar"/>
                    </w:rPr>
                    <w:t>1600</w:t>
                  </w:r>
                </w:p>
              </w:tc>
            </w:tr>
            <w:tr w14:paraId="020993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shd w:val="clear" w:color="auto" w:fill="auto"/>
                  <w:vAlign w:val="center"/>
                </w:tcPr>
                <w:p w14:paraId="23BDB708">
                  <w:pPr>
                    <w:widowControl/>
                    <w:jc w:val="center"/>
                    <w:rPr>
                      <w:rFonts w:ascii="宋体" w:hAnsi="宋体" w:cs="宋体"/>
                      <w:szCs w:val="21"/>
                    </w:rPr>
                  </w:pPr>
                  <w:r>
                    <w:rPr>
                      <w:rFonts w:hint="eastAsia" w:ascii="宋体" w:hAnsi="宋体" w:cs="宋体"/>
                      <w:szCs w:val="21"/>
                    </w:rPr>
                    <w:t>6</w:t>
                  </w:r>
                </w:p>
              </w:tc>
              <w:tc>
                <w:tcPr>
                  <w:tcW w:w="3080" w:type="dxa"/>
                  <w:shd w:val="clear" w:color="auto" w:fill="auto"/>
                  <w:vAlign w:val="center"/>
                </w:tcPr>
                <w:p w14:paraId="4DBA9B53">
                  <w:pPr>
                    <w:widowControl/>
                    <w:jc w:val="center"/>
                    <w:rPr>
                      <w:rFonts w:ascii="宋体" w:hAnsi="宋体" w:cs="宋体"/>
                      <w:szCs w:val="21"/>
                    </w:rPr>
                  </w:pPr>
                  <w:r>
                    <w:rPr>
                      <w:rFonts w:hint="eastAsia" w:ascii="宋体" w:hAnsi="宋体" w:cs="宋体"/>
                      <w:szCs w:val="21"/>
                    </w:rPr>
                    <w:t>水</w:t>
                  </w:r>
                </w:p>
              </w:tc>
              <w:tc>
                <w:tcPr>
                  <w:tcW w:w="2817" w:type="dxa"/>
                  <w:shd w:val="clear" w:color="auto" w:fill="auto"/>
                  <w:vAlign w:val="center"/>
                </w:tcPr>
                <w:p w14:paraId="12AD9CF2">
                  <w:pPr>
                    <w:widowControl/>
                    <w:jc w:val="center"/>
                    <w:rPr>
                      <w:rFonts w:ascii="宋体" w:hAnsi="宋体" w:cs="宋体"/>
                      <w:szCs w:val="21"/>
                    </w:rPr>
                  </w:pPr>
                  <w:r>
                    <w:rPr>
                      <w:rFonts w:hint="eastAsia"/>
                      <w:spacing w:val="-2"/>
                      <w:kern w:val="0"/>
                      <w:szCs w:val="21"/>
                      <w:lang w:bidi="ar"/>
                    </w:rPr>
                    <w:t>513</w:t>
                  </w:r>
                </w:p>
              </w:tc>
            </w:tr>
          </w:tbl>
          <w:p w14:paraId="1C95EF9E">
            <w:pPr>
              <w:adjustRightInd w:val="0"/>
              <w:snapToGrid w:val="0"/>
              <w:spacing w:before="120" w:beforeLines="50" w:line="360" w:lineRule="auto"/>
              <w:ind w:firstLine="480" w:firstLineChars="200"/>
              <w:rPr>
                <w:bCs/>
                <w:sz w:val="24"/>
              </w:rPr>
            </w:pPr>
          </w:p>
          <w:p w14:paraId="3C6403D5">
            <w:pPr>
              <w:adjustRightInd w:val="0"/>
              <w:snapToGrid w:val="0"/>
              <w:spacing w:before="120" w:beforeLines="50" w:line="360" w:lineRule="auto"/>
              <w:ind w:firstLine="480" w:firstLineChars="200"/>
              <w:rPr>
                <w:bCs/>
                <w:sz w:val="24"/>
              </w:rPr>
            </w:pPr>
          </w:p>
          <w:p w14:paraId="394EC6C4">
            <w:pPr>
              <w:adjustRightInd w:val="0"/>
              <w:snapToGrid w:val="0"/>
              <w:spacing w:before="120" w:beforeLines="50" w:line="360" w:lineRule="auto"/>
              <w:ind w:firstLine="480" w:firstLineChars="200"/>
              <w:rPr>
                <w:bCs/>
                <w:sz w:val="24"/>
              </w:rPr>
            </w:pPr>
          </w:p>
          <w:p w14:paraId="23B735F4">
            <w:pPr>
              <w:adjustRightInd w:val="0"/>
              <w:snapToGrid w:val="0"/>
              <w:spacing w:before="120" w:beforeLines="50" w:line="360" w:lineRule="auto"/>
              <w:ind w:firstLine="480" w:firstLineChars="200"/>
              <w:rPr>
                <w:bCs/>
                <w:sz w:val="24"/>
              </w:rPr>
            </w:pPr>
          </w:p>
          <w:p w14:paraId="2AE3E42E">
            <w:pPr>
              <w:adjustRightInd w:val="0"/>
              <w:snapToGrid w:val="0"/>
              <w:spacing w:before="120" w:beforeLines="50" w:line="360" w:lineRule="auto"/>
              <w:ind w:firstLine="480" w:firstLineChars="200"/>
              <w:rPr>
                <w:bCs/>
                <w:sz w:val="24"/>
              </w:rPr>
            </w:pPr>
          </w:p>
          <w:p w14:paraId="46406BB3">
            <w:pPr>
              <w:adjustRightInd w:val="0"/>
              <w:snapToGrid w:val="0"/>
              <w:spacing w:before="120" w:beforeLines="50" w:line="360" w:lineRule="auto"/>
              <w:ind w:firstLine="480" w:firstLineChars="200"/>
              <w:rPr>
                <w:bCs/>
                <w:sz w:val="24"/>
              </w:rPr>
            </w:pPr>
            <w:r>
              <w:rPr>
                <w:bCs/>
                <w:sz w:val="24"/>
              </w:rPr>
              <w:t>2、主要原辅料供应指标</w:t>
            </w:r>
          </w:p>
          <w:p w14:paraId="30784F32">
            <w:pPr>
              <w:adjustRightInd w:val="0"/>
              <w:snapToGrid w:val="0"/>
              <w:spacing w:line="360" w:lineRule="auto"/>
              <w:ind w:firstLine="480" w:firstLineChars="200"/>
              <w:rPr>
                <w:bCs/>
                <w:sz w:val="24"/>
              </w:rPr>
            </w:pPr>
            <w:r>
              <w:rPr>
                <w:bCs/>
                <w:sz w:val="24"/>
              </w:rPr>
              <w:t>本项目所需</w:t>
            </w:r>
            <w:r>
              <w:rPr>
                <w:rFonts w:hint="eastAsia"/>
                <w:bCs/>
                <w:sz w:val="24"/>
              </w:rPr>
              <w:t>低变质褐煤、</w:t>
            </w:r>
            <w:r>
              <w:rPr>
                <w:rFonts w:hint="eastAsia"/>
                <w:sz w:val="24"/>
              </w:rPr>
              <w:t>锯木屑、发酵菌剂、尿素</w:t>
            </w:r>
            <w:r>
              <w:rPr>
                <w:bCs/>
                <w:sz w:val="24"/>
              </w:rPr>
              <w:t>从</w:t>
            </w:r>
            <w:r>
              <w:rPr>
                <w:rFonts w:hint="eastAsia"/>
                <w:bCs/>
                <w:sz w:val="24"/>
              </w:rPr>
              <w:t>寻甸县</w:t>
            </w:r>
            <w:r>
              <w:rPr>
                <w:bCs/>
                <w:sz w:val="24"/>
              </w:rPr>
              <w:t>及周边采购，</w:t>
            </w:r>
            <w:r>
              <w:rPr>
                <w:rFonts w:hint="eastAsia"/>
                <w:sz w:val="24"/>
              </w:rPr>
              <w:t>磷矿石浮选尾矿</w:t>
            </w:r>
            <w:r>
              <w:rPr>
                <w:rFonts w:hint="eastAsia"/>
                <w:bCs/>
                <w:sz w:val="24"/>
              </w:rPr>
              <w:t>采购中化云龙有限公司磷矿石浮选生产中产生的尾矿</w:t>
            </w:r>
            <w:r>
              <w:rPr>
                <w:bCs/>
                <w:sz w:val="24"/>
              </w:rPr>
              <w:t>。</w:t>
            </w:r>
          </w:p>
          <w:p w14:paraId="4437408E">
            <w:pPr>
              <w:adjustRightInd w:val="0"/>
              <w:snapToGrid w:val="0"/>
              <w:spacing w:line="360" w:lineRule="auto"/>
              <w:ind w:firstLine="480" w:firstLineChars="200"/>
              <w:rPr>
                <w:bCs/>
                <w:sz w:val="24"/>
              </w:rPr>
            </w:pPr>
            <w:r>
              <w:rPr>
                <w:bCs/>
                <w:sz w:val="24"/>
              </w:rPr>
              <w:t>（1）</w:t>
            </w:r>
            <w:r>
              <w:rPr>
                <w:rFonts w:hint="eastAsia"/>
                <w:bCs/>
                <w:sz w:val="24"/>
              </w:rPr>
              <w:t>低变质褐煤</w:t>
            </w:r>
          </w:p>
          <w:p w14:paraId="0DCD2E70">
            <w:pPr>
              <w:adjustRightInd w:val="0"/>
              <w:snapToGrid w:val="0"/>
              <w:spacing w:line="360" w:lineRule="auto"/>
              <w:ind w:firstLine="480" w:firstLineChars="200"/>
              <w:rPr>
                <w:bCs/>
                <w:sz w:val="24"/>
              </w:rPr>
            </w:pPr>
            <w:r>
              <w:rPr>
                <w:rFonts w:hint="eastAsia"/>
                <w:bCs/>
                <w:sz w:val="24"/>
              </w:rPr>
              <w:t>褐煤成煤过程一般分为两个主要阶段。第一阶段是在地热和压力的作用下，古代植物遗骸（主要是高等植物）在沼泽环境中堆积形成泥炭。随着地壳的下沉，泥炭被黏土、砂石等物质覆盖，形成岩层。第二阶段是在上覆岩层的压力作用下，泥炭发生压紧、失水、胶体老化、硬结等物理和物理化学作用，化学组成也发生变化，逐渐转变为碳含量更高、氧和氢含量更低的物质。褐煤是碳化程度最低的煤种，由泥炭经过成岩作用演变为褐煤。</w:t>
            </w:r>
          </w:p>
          <w:p w14:paraId="75176070">
            <w:pPr>
              <w:adjustRightInd w:val="0"/>
              <w:snapToGrid w:val="0"/>
              <w:spacing w:line="360" w:lineRule="auto"/>
              <w:ind w:firstLine="480" w:firstLineChars="200"/>
              <w:rPr>
                <w:bCs/>
                <w:sz w:val="24"/>
              </w:rPr>
            </w:pPr>
            <w:r>
              <w:rPr>
                <w:rFonts w:hint="eastAsia"/>
                <w:bCs/>
                <w:sz w:val="24"/>
              </w:rPr>
              <w:t>低变质褐煤处于成煤的初始阶段，其形成与成煤时间、所处地层的压力和温度密切相关。低变质褐煤由于形成时间相对较短，所处地层的压力和温度较低，因此碳化程度较低，</w:t>
            </w:r>
            <w:r>
              <w:rPr>
                <w:rFonts w:ascii="Segoe UI" w:hAnsi="Segoe UI" w:eastAsia="Segoe UI" w:cs="Segoe UI"/>
                <w:sz w:val="24"/>
                <w:shd w:val="clear" w:color="auto" w:fill="FFFFFF"/>
              </w:rPr>
              <w:t>其成分以碳、氢、氧为主，同时含有一定量的氮、硫、水分和灰分</w:t>
            </w:r>
            <w:r>
              <w:rPr>
                <w:rFonts w:hint="eastAsia" w:ascii="Segoe UI" w:hAnsi="Segoe UI" w:cs="Segoe UI"/>
                <w:sz w:val="24"/>
                <w:shd w:val="clear" w:color="auto" w:fill="FFFFFF"/>
              </w:rPr>
              <w:t>，</w:t>
            </w:r>
            <w:r>
              <w:rPr>
                <w:rFonts w:ascii="Segoe UI" w:hAnsi="Segoe UI" w:eastAsia="Segoe UI" w:cs="Segoe UI"/>
                <w:sz w:val="24"/>
                <w:shd w:val="clear" w:color="auto" w:fill="FFFFFF"/>
              </w:rPr>
              <w:t>热值较低，含水量高，燃烧性能相对较差</w:t>
            </w:r>
            <w:r>
              <w:rPr>
                <w:rFonts w:hint="eastAsia" w:ascii="Segoe UI" w:hAnsi="Segoe UI" w:cs="Segoe UI"/>
                <w:sz w:val="24"/>
                <w:shd w:val="clear" w:color="auto" w:fill="FFFFFF"/>
              </w:rPr>
              <w:t>。因此，在煤炭开采过程中，</w:t>
            </w:r>
            <w:r>
              <w:rPr>
                <w:rFonts w:hint="eastAsia"/>
                <w:bCs/>
                <w:sz w:val="24"/>
              </w:rPr>
              <w:t>低变质褐煤与褐煤分开进行堆放，低变质褐煤作为固废进行处置。</w:t>
            </w:r>
          </w:p>
          <w:p w14:paraId="66C9370A">
            <w:pPr>
              <w:adjustRightInd w:val="0"/>
              <w:snapToGrid w:val="0"/>
              <w:spacing w:line="360" w:lineRule="auto"/>
              <w:ind w:firstLine="480" w:firstLineChars="200"/>
              <w:rPr>
                <w:bCs/>
                <w:sz w:val="24"/>
              </w:rPr>
            </w:pPr>
            <w:r>
              <w:rPr>
                <w:rFonts w:hint="eastAsia"/>
                <w:bCs/>
                <w:sz w:val="24"/>
              </w:rPr>
              <w:t>草炭也处于成煤的初始阶段，碳化程度和时间均低于低变质褐煤，在开采过程中也常把草炭归为低变质褐煤。</w:t>
            </w:r>
          </w:p>
          <w:p w14:paraId="22DAC7B0">
            <w:pPr>
              <w:adjustRightInd w:val="0"/>
              <w:snapToGrid w:val="0"/>
              <w:spacing w:line="360" w:lineRule="auto"/>
              <w:ind w:firstLine="480" w:firstLineChars="200"/>
              <w:rPr>
                <w:bCs/>
                <w:sz w:val="24"/>
              </w:rPr>
            </w:pPr>
            <w:r>
              <w:rPr>
                <w:rFonts w:hint="eastAsia"/>
                <w:bCs/>
                <w:sz w:val="24"/>
              </w:rPr>
              <w:t>低变质褐煤中</w:t>
            </w:r>
            <w:r>
              <w:rPr>
                <w:bCs/>
                <w:sz w:val="24"/>
              </w:rPr>
              <w:t>富含有</w:t>
            </w:r>
            <w:r>
              <w:rPr>
                <w:rFonts w:hint="eastAsia"/>
                <w:bCs/>
                <w:sz w:val="24"/>
              </w:rPr>
              <w:t>机</w:t>
            </w:r>
            <w:r>
              <w:rPr>
                <w:bCs/>
                <w:sz w:val="24"/>
              </w:rPr>
              <w:t>质</w:t>
            </w:r>
            <w:r>
              <w:rPr>
                <w:rFonts w:hint="eastAsia"/>
                <w:bCs/>
                <w:sz w:val="24"/>
              </w:rPr>
              <w:t>，</w:t>
            </w:r>
            <w:r>
              <w:rPr>
                <w:bCs/>
                <w:sz w:val="24"/>
              </w:rPr>
              <w:t>含高腐殖酸</w:t>
            </w:r>
            <w:r>
              <w:rPr>
                <w:rFonts w:hint="eastAsia"/>
                <w:bCs/>
                <w:sz w:val="24"/>
              </w:rPr>
              <w:t>，</w:t>
            </w:r>
            <w:r>
              <w:rPr>
                <w:bCs/>
                <w:sz w:val="24"/>
              </w:rPr>
              <w:t>且各种营养元素也较丰富因而在工农医诸方面有着广泛的用途</w:t>
            </w:r>
            <w:r>
              <w:rPr>
                <w:rFonts w:hint="eastAsia"/>
                <w:bCs/>
                <w:sz w:val="24"/>
              </w:rPr>
              <w:t>，</w:t>
            </w:r>
            <w:r>
              <w:rPr>
                <w:bCs/>
                <w:sz w:val="24"/>
              </w:rPr>
              <w:t>成为宝贵的自然资源</w:t>
            </w:r>
            <w:r>
              <w:rPr>
                <w:rFonts w:hint="eastAsia"/>
                <w:bCs/>
                <w:sz w:val="24"/>
              </w:rPr>
              <w:t>，常用于生产有机肥或土壤改良剂。</w:t>
            </w:r>
          </w:p>
          <w:p w14:paraId="43375878">
            <w:pPr>
              <w:adjustRightInd w:val="0"/>
              <w:snapToGrid w:val="0"/>
              <w:spacing w:line="360" w:lineRule="auto"/>
              <w:ind w:firstLine="480" w:firstLineChars="200"/>
              <w:rPr>
                <w:bCs/>
                <w:sz w:val="24"/>
              </w:rPr>
            </w:pPr>
            <w:r>
              <w:rPr>
                <w:rFonts w:hint="eastAsia"/>
                <w:bCs/>
                <w:sz w:val="24"/>
              </w:rPr>
              <w:t>本项目采购的低变质褐煤主要来自寻甸金所煤矿开采过程中产生的，根据建设单位采购的草炭检验报告单（见附件7），主要成分为有机质57.84%，腐殖酸29.38%，水分37.55%，成分满足</w:t>
            </w:r>
            <w:r>
              <w:rPr>
                <w:bCs/>
                <w:sz w:val="24"/>
              </w:rPr>
              <w:t>《有机肥料》（NY/T525-2021）</w:t>
            </w:r>
            <w:r>
              <w:rPr>
                <w:rFonts w:hint="eastAsia"/>
                <w:bCs/>
                <w:sz w:val="24"/>
              </w:rPr>
              <w:t>。根据《金所煤矿30万吨/年转型升级整合重组技改项目环境影响报告书》，按有关煤质主要指标分级标准划分，金所煤矿煤层为中高-中等水分、中-高灰分、特高挥发份、中硫、低磷、特低氯、低砷、中热值、富油、富腐植酸煤。由此看出，低变质褐煤中的重金属含量甚微。</w:t>
            </w:r>
          </w:p>
          <w:p w14:paraId="46F08D9B">
            <w:pPr>
              <w:numPr>
                <w:ilvl w:val="0"/>
                <w:numId w:val="2"/>
              </w:numPr>
              <w:adjustRightInd w:val="0"/>
              <w:snapToGrid w:val="0"/>
              <w:spacing w:line="360" w:lineRule="auto"/>
              <w:ind w:firstLine="480" w:firstLineChars="200"/>
              <w:rPr>
                <w:sz w:val="24"/>
              </w:rPr>
            </w:pPr>
            <w:r>
              <w:rPr>
                <w:rFonts w:hint="eastAsia"/>
                <w:sz w:val="24"/>
              </w:rPr>
              <w:t>磷矿石浮选尾矿</w:t>
            </w:r>
          </w:p>
          <w:p w14:paraId="5CF335A5">
            <w:pPr>
              <w:adjustRightInd w:val="0"/>
              <w:snapToGrid w:val="0"/>
              <w:spacing w:line="360" w:lineRule="auto"/>
              <w:ind w:firstLine="480" w:firstLineChars="200"/>
              <w:rPr>
                <w:bCs/>
                <w:sz w:val="24"/>
              </w:rPr>
            </w:pPr>
            <w:r>
              <w:rPr>
                <w:rFonts w:hint="eastAsia"/>
                <w:bCs/>
                <w:sz w:val="24"/>
              </w:rPr>
              <w:t>本项目磷矿石浮选尾矿采用中化云龙有限公司磷矿石浮选生产中产生的尾矿，磷矿浮选工艺流程具体为：原矿→磷矿破碎→磷矿磨矿→矿浆分级→磷矿浮选→磷矿粉浓缩→过滤→干燥→矿仓。</w:t>
            </w:r>
          </w:p>
          <w:p w14:paraId="2EF28F34">
            <w:pPr>
              <w:adjustRightInd w:val="0"/>
              <w:snapToGrid w:val="0"/>
              <w:spacing w:line="360" w:lineRule="auto"/>
              <w:ind w:firstLine="480" w:firstLineChars="200"/>
              <w:rPr>
                <w:bCs/>
                <w:sz w:val="24"/>
              </w:rPr>
            </w:pPr>
            <w:r>
              <w:rPr>
                <w:rFonts w:hint="eastAsia"/>
                <w:bCs/>
                <w:sz w:val="24"/>
              </w:rPr>
              <w:t>①尾矿物理特性</w:t>
            </w:r>
          </w:p>
          <w:p w14:paraId="62687452">
            <w:pPr>
              <w:spacing w:line="360" w:lineRule="auto"/>
              <w:ind w:firstLine="480" w:firstLineChars="200"/>
              <w:jc w:val="left"/>
              <w:rPr>
                <w:sz w:val="24"/>
              </w:rPr>
            </w:pPr>
            <w:r>
              <w:rPr>
                <w:rFonts w:hint="eastAsia"/>
                <w:bCs/>
                <w:sz w:val="24"/>
              </w:rPr>
              <w:t>根据《中化云龙有限公司浮选尾矿充填项目环境影响报告书》，尾矿的</w:t>
            </w:r>
            <w:r>
              <w:rPr>
                <w:sz w:val="24"/>
              </w:rPr>
              <w:t>基本物理参数测定结果见表</w:t>
            </w:r>
            <w:r>
              <w:rPr>
                <w:rFonts w:hint="eastAsia"/>
                <w:sz w:val="24"/>
              </w:rPr>
              <w:t>2-10</w:t>
            </w:r>
            <w:r>
              <w:rPr>
                <w:sz w:val="24"/>
              </w:rPr>
              <w:t>、尾</w:t>
            </w:r>
            <w:r>
              <w:rPr>
                <w:rFonts w:hint="eastAsia"/>
                <w:bCs/>
                <w:sz w:val="24"/>
              </w:rPr>
              <w:t>矿</w:t>
            </w:r>
            <w:r>
              <w:rPr>
                <w:sz w:val="24"/>
              </w:rPr>
              <w:t>粒级测定分析结果见表</w:t>
            </w:r>
            <w:r>
              <w:rPr>
                <w:rFonts w:hint="eastAsia"/>
                <w:sz w:val="24"/>
              </w:rPr>
              <w:t>2-11</w:t>
            </w:r>
            <w:r>
              <w:rPr>
                <w:sz w:val="24"/>
              </w:rPr>
              <w:t>。</w:t>
            </w:r>
          </w:p>
          <w:p w14:paraId="7C51CBBC">
            <w:pPr>
              <w:spacing w:line="360" w:lineRule="auto"/>
              <w:jc w:val="center"/>
              <w:rPr>
                <w:b/>
                <w:bCs/>
                <w:szCs w:val="21"/>
              </w:rPr>
            </w:pPr>
            <w:r>
              <w:rPr>
                <w:b/>
                <w:bCs/>
                <w:szCs w:val="21"/>
              </w:rPr>
              <w:t>表</w:t>
            </w:r>
            <w:r>
              <w:rPr>
                <w:rFonts w:hint="eastAsia"/>
                <w:b/>
                <w:bCs/>
                <w:szCs w:val="21"/>
              </w:rPr>
              <w:t>2-10</w:t>
            </w:r>
            <w:r>
              <w:rPr>
                <w:b/>
                <w:bCs/>
                <w:szCs w:val="21"/>
              </w:rPr>
              <w:t>尾</w:t>
            </w:r>
            <w:r>
              <w:rPr>
                <w:rFonts w:hint="eastAsia"/>
                <w:b/>
                <w:bCs/>
                <w:szCs w:val="21"/>
              </w:rPr>
              <w:t>矿</w:t>
            </w:r>
            <w:r>
              <w:rPr>
                <w:b/>
                <w:bCs/>
                <w:szCs w:val="21"/>
              </w:rPr>
              <w:t>基本物理参数测定结果</w:t>
            </w:r>
          </w:p>
          <w:tbl>
            <w:tblPr>
              <w:tblStyle w:val="23"/>
              <w:tblW w:w="7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44"/>
              <w:gridCol w:w="844"/>
              <w:gridCol w:w="844"/>
              <w:gridCol w:w="801"/>
              <w:gridCol w:w="1285"/>
              <w:gridCol w:w="900"/>
              <w:gridCol w:w="870"/>
              <w:gridCol w:w="765"/>
            </w:tblGrid>
            <w:tr w14:paraId="534E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shd w:val="clear" w:color="auto" w:fill="auto"/>
                  <w:vAlign w:val="center"/>
                </w:tcPr>
                <w:p w14:paraId="58D03547">
                  <w:pPr>
                    <w:adjustRightInd w:val="0"/>
                    <w:jc w:val="center"/>
                    <w:rPr>
                      <w:bCs/>
                      <w:szCs w:val="21"/>
                    </w:rPr>
                  </w:pPr>
                  <w:r>
                    <w:rPr>
                      <w:bCs/>
                      <w:szCs w:val="21"/>
                    </w:rPr>
                    <w:t>材料</w:t>
                  </w:r>
                </w:p>
              </w:tc>
              <w:tc>
                <w:tcPr>
                  <w:tcW w:w="844" w:type="dxa"/>
                  <w:shd w:val="clear" w:color="auto" w:fill="auto"/>
                  <w:vAlign w:val="center"/>
                </w:tcPr>
                <w:p w14:paraId="36D0B504">
                  <w:pPr>
                    <w:adjustRightInd w:val="0"/>
                    <w:jc w:val="center"/>
                    <w:rPr>
                      <w:bCs/>
                      <w:szCs w:val="21"/>
                    </w:rPr>
                  </w:pPr>
                  <w:r>
                    <w:rPr>
                      <w:bCs/>
                      <w:szCs w:val="21"/>
                    </w:rPr>
                    <w:t>比重</w:t>
                  </w:r>
                </w:p>
                <w:p w14:paraId="0EF8B264">
                  <w:pPr>
                    <w:adjustRightInd w:val="0"/>
                    <w:jc w:val="center"/>
                    <w:rPr>
                      <w:bCs/>
                      <w:szCs w:val="21"/>
                    </w:rPr>
                  </w:pPr>
                  <w:r>
                    <w:rPr>
                      <w:bCs/>
                      <w:szCs w:val="21"/>
                    </w:rPr>
                    <w:t>(g/cm</w:t>
                  </w:r>
                  <w:r>
                    <w:rPr>
                      <w:bCs/>
                      <w:szCs w:val="21"/>
                      <w:vertAlign w:val="superscript"/>
                    </w:rPr>
                    <w:t>3</w:t>
                  </w:r>
                  <w:r>
                    <w:rPr>
                      <w:bCs/>
                      <w:szCs w:val="21"/>
                    </w:rPr>
                    <w:t>)</w:t>
                  </w:r>
                </w:p>
              </w:tc>
              <w:tc>
                <w:tcPr>
                  <w:tcW w:w="844" w:type="dxa"/>
                  <w:shd w:val="clear" w:color="auto" w:fill="auto"/>
                  <w:vAlign w:val="center"/>
                </w:tcPr>
                <w:p w14:paraId="1F7CB35E">
                  <w:pPr>
                    <w:adjustRightInd w:val="0"/>
                    <w:jc w:val="center"/>
                    <w:rPr>
                      <w:bCs/>
                      <w:szCs w:val="21"/>
                    </w:rPr>
                  </w:pPr>
                  <w:r>
                    <w:rPr>
                      <w:bCs/>
                      <w:szCs w:val="21"/>
                    </w:rPr>
                    <w:t>松散</w:t>
                  </w:r>
                </w:p>
                <w:p w14:paraId="70FF634F">
                  <w:pPr>
                    <w:adjustRightInd w:val="0"/>
                    <w:jc w:val="center"/>
                    <w:rPr>
                      <w:bCs/>
                      <w:szCs w:val="21"/>
                    </w:rPr>
                  </w:pPr>
                  <w:r>
                    <w:rPr>
                      <w:bCs/>
                      <w:szCs w:val="21"/>
                    </w:rPr>
                    <w:t>容重</w:t>
                  </w:r>
                </w:p>
                <w:p w14:paraId="3396924C">
                  <w:pPr>
                    <w:adjustRightInd w:val="0"/>
                    <w:jc w:val="center"/>
                    <w:rPr>
                      <w:bCs/>
                      <w:szCs w:val="21"/>
                    </w:rPr>
                  </w:pPr>
                  <w:r>
                    <w:rPr>
                      <w:bCs/>
                      <w:szCs w:val="21"/>
                    </w:rPr>
                    <w:t>(g/cm</w:t>
                  </w:r>
                  <w:r>
                    <w:rPr>
                      <w:bCs/>
                      <w:szCs w:val="21"/>
                      <w:vertAlign w:val="superscript"/>
                    </w:rPr>
                    <w:t>3</w:t>
                  </w:r>
                  <w:r>
                    <w:rPr>
                      <w:bCs/>
                      <w:szCs w:val="21"/>
                    </w:rPr>
                    <w:t>)</w:t>
                  </w:r>
                </w:p>
              </w:tc>
              <w:tc>
                <w:tcPr>
                  <w:tcW w:w="844" w:type="dxa"/>
                  <w:shd w:val="clear" w:color="auto" w:fill="auto"/>
                  <w:vAlign w:val="center"/>
                </w:tcPr>
                <w:p w14:paraId="0F3D7ADD">
                  <w:pPr>
                    <w:adjustRightInd w:val="0"/>
                    <w:jc w:val="center"/>
                    <w:rPr>
                      <w:bCs/>
                      <w:szCs w:val="21"/>
                    </w:rPr>
                  </w:pPr>
                  <w:r>
                    <w:rPr>
                      <w:bCs/>
                      <w:szCs w:val="21"/>
                    </w:rPr>
                    <w:t>压实</w:t>
                  </w:r>
                </w:p>
                <w:p w14:paraId="6EA8E293">
                  <w:pPr>
                    <w:adjustRightInd w:val="0"/>
                    <w:jc w:val="center"/>
                    <w:rPr>
                      <w:bCs/>
                      <w:szCs w:val="21"/>
                    </w:rPr>
                  </w:pPr>
                  <w:r>
                    <w:rPr>
                      <w:bCs/>
                      <w:szCs w:val="21"/>
                    </w:rPr>
                    <w:t>容重</w:t>
                  </w:r>
                </w:p>
                <w:p w14:paraId="2215BF34">
                  <w:pPr>
                    <w:adjustRightInd w:val="0"/>
                    <w:jc w:val="center"/>
                    <w:rPr>
                      <w:bCs/>
                      <w:szCs w:val="21"/>
                    </w:rPr>
                  </w:pPr>
                  <w:r>
                    <w:rPr>
                      <w:bCs/>
                      <w:szCs w:val="21"/>
                    </w:rPr>
                    <w:t>(g/cm</w:t>
                  </w:r>
                  <w:r>
                    <w:rPr>
                      <w:bCs/>
                      <w:szCs w:val="21"/>
                      <w:vertAlign w:val="superscript"/>
                    </w:rPr>
                    <w:t>3</w:t>
                  </w:r>
                  <w:r>
                    <w:rPr>
                      <w:bCs/>
                      <w:szCs w:val="21"/>
                    </w:rPr>
                    <w:t>)</w:t>
                  </w:r>
                </w:p>
              </w:tc>
              <w:tc>
                <w:tcPr>
                  <w:tcW w:w="801" w:type="dxa"/>
                  <w:shd w:val="clear" w:color="auto" w:fill="auto"/>
                  <w:vAlign w:val="center"/>
                </w:tcPr>
                <w:p w14:paraId="14812722">
                  <w:pPr>
                    <w:adjustRightInd w:val="0"/>
                    <w:jc w:val="center"/>
                    <w:rPr>
                      <w:bCs/>
                      <w:szCs w:val="21"/>
                    </w:rPr>
                  </w:pPr>
                  <w:r>
                    <w:rPr>
                      <w:bCs/>
                      <w:szCs w:val="21"/>
                    </w:rPr>
                    <w:t>孔隙率</w:t>
                  </w:r>
                </w:p>
              </w:tc>
              <w:tc>
                <w:tcPr>
                  <w:tcW w:w="1285" w:type="dxa"/>
                  <w:shd w:val="clear" w:color="auto" w:fill="auto"/>
                  <w:vAlign w:val="center"/>
                </w:tcPr>
                <w:p w14:paraId="03048B44">
                  <w:pPr>
                    <w:adjustRightInd w:val="0"/>
                    <w:jc w:val="center"/>
                    <w:rPr>
                      <w:bCs/>
                      <w:szCs w:val="21"/>
                    </w:rPr>
                  </w:pPr>
                  <w:r>
                    <w:rPr>
                      <w:bCs/>
                      <w:szCs w:val="21"/>
                    </w:rPr>
                    <w:t>安息角（原含水率状态下）</w:t>
                  </w:r>
                </w:p>
              </w:tc>
              <w:tc>
                <w:tcPr>
                  <w:tcW w:w="900" w:type="dxa"/>
                  <w:shd w:val="clear" w:color="auto" w:fill="auto"/>
                  <w:vAlign w:val="center"/>
                </w:tcPr>
                <w:p w14:paraId="00F0C4D8">
                  <w:pPr>
                    <w:adjustRightInd w:val="0"/>
                    <w:jc w:val="center"/>
                    <w:rPr>
                      <w:bCs/>
                      <w:szCs w:val="21"/>
                    </w:rPr>
                  </w:pPr>
                  <w:r>
                    <w:rPr>
                      <w:bCs/>
                      <w:szCs w:val="21"/>
                    </w:rPr>
                    <w:t>含水率</w:t>
                  </w:r>
                </w:p>
              </w:tc>
              <w:tc>
                <w:tcPr>
                  <w:tcW w:w="870" w:type="dxa"/>
                  <w:shd w:val="clear" w:color="auto" w:fill="auto"/>
                  <w:vAlign w:val="center"/>
                </w:tcPr>
                <w:p w14:paraId="42C2B06B">
                  <w:pPr>
                    <w:adjustRightInd w:val="0"/>
                    <w:jc w:val="center"/>
                    <w:rPr>
                      <w:bCs/>
                      <w:szCs w:val="21"/>
                    </w:rPr>
                  </w:pPr>
                  <w:r>
                    <w:rPr>
                      <w:bCs/>
                      <w:szCs w:val="21"/>
                    </w:rPr>
                    <w:t>渗透系数(cm/s)</w:t>
                  </w:r>
                </w:p>
              </w:tc>
              <w:tc>
                <w:tcPr>
                  <w:tcW w:w="765" w:type="dxa"/>
                  <w:shd w:val="clear" w:color="auto" w:fill="auto"/>
                  <w:vAlign w:val="center"/>
                </w:tcPr>
                <w:p w14:paraId="28B816CC">
                  <w:pPr>
                    <w:adjustRightInd w:val="0"/>
                    <w:jc w:val="center"/>
                    <w:rPr>
                      <w:bCs/>
                      <w:szCs w:val="21"/>
                    </w:rPr>
                  </w:pPr>
                  <w:r>
                    <w:rPr>
                      <w:bCs/>
                      <w:szCs w:val="21"/>
                    </w:rPr>
                    <w:t>pH值</w:t>
                  </w:r>
                </w:p>
              </w:tc>
            </w:tr>
            <w:tr w14:paraId="074B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shd w:val="clear" w:color="auto" w:fill="auto"/>
                  <w:vAlign w:val="center"/>
                </w:tcPr>
                <w:p w14:paraId="0E8FBDF1">
                  <w:pPr>
                    <w:adjustRightInd w:val="0"/>
                    <w:jc w:val="center"/>
                    <w:rPr>
                      <w:bCs/>
                      <w:szCs w:val="21"/>
                    </w:rPr>
                  </w:pPr>
                  <w:r>
                    <w:rPr>
                      <w:bCs/>
                      <w:szCs w:val="21"/>
                    </w:rPr>
                    <w:t>尾</w:t>
                  </w:r>
                  <w:r>
                    <w:rPr>
                      <w:rFonts w:hint="eastAsia"/>
                      <w:bCs/>
                      <w:szCs w:val="21"/>
                    </w:rPr>
                    <w:t>矿</w:t>
                  </w:r>
                </w:p>
              </w:tc>
              <w:tc>
                <w:tcPr>
                  <w:tcW w:w="844" w:type="dxa"/>
                  <w:shd w:val="clear" w:color="auto" w:fill="auto"/>
                  <w:vAlign w:val="center"/>
                </w:tcPr>
                <w:p w14:paraId="770091E3">
                  <w:pPr>
                    <w:adjustRightInd w:val="0"/>
                    <w:jc w:val="center"/>
                    <w:rPr>
                      <w:bCs/>
                      <w:szCs w:val="21"/>
                    </w:rPr>
                  </w:pPr>
                  <w:r>
                    <w:rPr>
                      <w:bCs/>
                      <w:szCs w:val="21"/>
                    </w:rPr>
                    <w:t>2.87</w:t>
                  </w:r>
                </w:p>
              </w:tc>
              <w:tc>
                <w:tcPr>
                  <w:tcW w:w="844" w:type="dxa"/>
                  <w:shd w:val="clear" w:color="auto" w:fill="auto"/>
                  <w:vAlign w:val="center"/>
                </w:tcPr>
                <w:p w14:paraId="5F43A3F0">
                  <w:pPr>
                    <w:adjustRightInd w:val="0"/>
                    <w:jc w:val="center"/>
                    <w:rPr>
                      <w:bCs/>
                      <w:szCs w:val="21"/>
                    </w:rPr>
                  </w:pPr>
                  <w:r>
                    <w:rPr>
                      <w:bCs/>
                      <w:szCs w:val="21"/>
                    </w:rPr>
                    <w:t>2.2</w:t>
                  </w:r>
                </w:p>
              </w:tc>
              <w:tc>
                <w:tcPr>
                  <w:tcW w:w="844" w:type="dxa"/>
                  <w:shd w:val="clear" w:color="auto" w:fill="auto"/>
                  <w:vAlign w:val="center"/>
                </w:tcPr>
                <w:p w14:paraId="72A5CD85">
                  <w:pPr>
                    <w:adjustRightInd w:val="0"/>
                    <w:jc w:val="center"/>
                    <w:rPr>
                      <w:bCs/>
                      <w:szCs w:val="21"/>
                    </w:rPr>
                  </w:pPr>
                  <w:r>
                    <w:rPr>
                      <w:bCs/>
                      <w:szCs w:val="21"/>
                    </w:rPr>
                    <w:t>2.29</w:t>
                  </w:r>
                </w:p>
              </w:tc>
              <w:tc>
                <w:tcPr>
                  <w:tcW w:w="801" w:type="dxa"/>
                  <w:shd w:val="clear" w:color="auto" w:fill="auto"/>
                  <w:vAlign w:val="center"/>
                </w:tcPr>
                <w:p w14:paraId="6B73F5A9">
                  <w:pPr>
                    <w:adjustRightInd w:val="0"/>
                    <w:jc w:val="center"/>
                    <w:rPr>
                      <w:bCs/>
                      <w:szCs w:val="21"/>
                    </w:rPr>
                  </w:pPr>
                  <w:r>
                    <w:rPr>
                      <w:bCs/>
                      <w:szCs w:val="21"/>
                    </w:rPr>
                    <w:t>43.5%</w:t>
                  </w:r>
                </w:p>
              </w:tc>
              <w:tc>
                <w:tcPr>
                  <w:tcW w:w="1285" w:type="dxa"/>
                  <w:shd w:val="clear" w:color="auto" w:fill="auto"/>
                  <w:vAlign w:val="center"/>
                </w:tcPr>
                <w:p w14:paraId="76D7FD1B">
                  <w:pPr>
                    <w:adjustRightInd w:val="0"/>
                    <w:jc w:val="center"/>
                    <w:rPr>
                      <w:bCs/>
                      <w:szCs w:val="21"/>
                    </w:rPr>
                  </w:pPr>
                  <w:r>
                    <w:rPr>
                      <w:bCs/>
                      <w:szCs w:val="21"/>
                    </w:rPr>
                    <w:t>39.8º</w:t>
                  </w:r>
                </w:p>
              </w:tc>
              <w:tc>
                <w:tcPr>
                  <w:tcW w:w="900" w:type="dxa"/>
                  <w:shd w:val="clear" w:color="auto" w:fill="auto"/>
                  <w:vAlign w:val="center"/>
                </w:tcPr>
                <w:p w14:paraId="4B2C8DE6">
                  <w:pPr>
                    <w:adjustRightInd w:val="0"/>
                    <w:jc w:val="center"/>
                    <w:rPr>
                      <w:bCs/>
                      <w:szCs w:val="21"/>
                    </w:rPr>
                  </w:pPr>
                  <w:r>
                    <w:rPr>
                      <w:bCs/>
                      <w:szCs w:val="21"/>
                    </w:rPr>
                    <w:t>14.5%</w:t>
                  </w:r>
                </w:p>
              </w:tc>
              <w:tc>
                <w:tcPr>
                  <w:tcW w:w="870" w:type="dxa"/>
                  <w:shd w:val="clear" w:color="auto" w:fill="auto"/>
                  <w:vAlign w:val="center"/>
                </w:tcPr>
                <w:p w14:paraId="6D7D7B43">
                  <w:pPr>
                    <w:adjustRightInd w:val="0"/>
                    <w:jc w:val="center"/>
                    <w:rPr>
                      <w:bCs/>
                      <w:szCs w:val="21"/>
                    </w:rPr>
                  </w:pPr>
                  <w:r>
                    <w:rPr>
                      <w:bCs/>
                      <w:szCs w:val="21"/>
                    </w:rPr>
                    <w:t>6.94×10</w:t>
                  </w:r>
                  <w:r>
                    <w:rPr>
                      <w:bCs/>
                      <w:szCs w:val="21"/>
                      <w:vertAlign w:val="superscript"/>
                    </w:rPr>
                    <w:t>-5</w:t>
                  </w:r>
                </w:p>
              </w:tc>
              <w:tc>
                <w:tcPr>
                  <w:tcW w:w="765" w:type="dxa"/>
                  <w:shd w:val="clear" w:color="auto" w:fill="auto"/>
                  <w:vAlign w:val="center"/>
                </w:tcPr>
                <w:p w14:paraId="469B488B">
                  <w:pPr>
                    <w:adjustRightInd w:val="0"/>
                    <w:jc w:val="center"/>
                    <w:rPr>
                      <w:bCs/>
                      <w:szCs w:val="21"/>
                    </w:rPr>
                  </w:pPr>
                  <w:r>
                    <w:rPr>
                      <w:bCs/>
                      <w:szCs w:val="21"/>
                    </w:rPr>
                    <w:t>7.775</w:t>
                  </w:r>
                </w:p>
              </w:tc>
            </w:tr>
          </w:tbl>
          <w:p w14:paraId="1CF71111">
            <w:pPr>
              <w:spacing w:line="360" w:lineRule="auto"/>
              <w:jc w:val="center"/>
              <w:rPr>
                <w:b/>
                <w:bCs/>
                <w:szCs w:val="21"/>
              </w:rPr>
            </w:pPr>
            <w:r>
              <w:rPr>
                <w:b/>
                <w:bCs/>
                <w:szCs w:val="21"/>
              </w:rPr>
              <w:t>表</w:t>
            </w:r>
            <w:r>
              <w:rPr>
                <w:rFonts w:hint="eastAsia"/>
                <w:b/>
                <w:bCs/>
                <w:szCs w:val="21"/>
              </w:rPr>
              <w:t>2-11</w:t>
            </w:r>
            <w:r>
              <w:rPr>
                <w:b/>
                <w:bCs/>
                <w:szCs w:val="21"/>
              </w:rPr>
              <w:t>尾</w:t>
            </w:r>
            <w:r>
              <w:rPr>
                <w:rFonts w:hint="eastAsia"/>
                <w:b/>
                <w:bCs/>
                <w:szCs w:val="21"/>
              </w:rPr>
              <w:t>矿</w:t>
            </w:r>
            <w:r>
              <w:rPr>
                <w:b/>
                <w:bCs/>
                <w:szCs w:val="21"/>
              </w:rPr>
              <w:t>粒级测定分析结果</w:t>
            </w:r>
          </w:p>
          <w:tbl>
            <w:tblPr>
              <w:tblStyle w:val="23"/>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1452"/>
              <w:gridCol w:w="1452"/>
              <w:gridCol w:w="1451"/>
              <w:gridCol w:w="1451"/>
              <w:gridCol w:w="1068"/>
            </w:tblGrid>
            <w:tr w14:paraId="68E3FE9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669" w:type="pct"/>
                  <w:vAlign w:val="center"/>
                </w:tcPr>
                <w:p w14:paraId="285DFDC1">
                  <w:pPr>
                    <w:spacing w:line="240" w:lineRule="atLeast"/>
                    <w:jc w:val="center"/>
                    <w:rPr>
                      <w:szCs w:val="21"/>
                    </w:rPr>
                  </w:pPr>
                  <w:r>
                    <w:rPr>
                      <w:szCs w:val="21"/>
                    </w:rPr>
                    <w:t>物料名称</w:t>
                  </w:r>
                </w:p>
              </w:tc>
              <w:tc>
                <w:tcPr>
                  <w:tcW w:w="914" w:type="pct"/>
                  <w:vAlign w:val="center"/>
                </w:tcPr>
                <w:p w14:paraId="184F4583">
                  <w:pPr>
                    <w:spacing w:line="240" w:lineRule="atLeast"/>
                    <w:jc w:val="center"/>
                    <w:rPr>
                      <w:szCs w:val="21"/>
                    </w:rPr>
                  </w:pPr>
                  <w:r>
                    <w:rPr>
                      <w:szCs w:val="21"/>
                    </w:rPr>
                    <w:t>10%物料粒径</w:t>
                  </w:r>
                </w:p>
                <w:p w14:paraId="3E2FCE6F">
                  <w:pPr>
                    <w:spacing w:line="240" w:lineRule="atLeast"/>
                    <w:jc w:val="center"/>
                    <w:rPr>
                      <w:szCs w:val="21"/>
                    </w:rPr>
                  </w:pPr>
                  <w:r>
                    <w:rPr>
                      <w:szCs w:val="21"/>
                    </w:rPr>
                    <w:t>小于</w:t>
                  </w:r>
                </w:p>
              </w:tc>
              <w:tc>
                <w:tcPr>
                  <w:tcW w:w="914" w:type="pct"/>
                  <w:vAlign w:val="center"/>
                </w:tcPr>
                <w:p w14:paraId="3FBFBB3C">
                  <w:pPr>
                    <w:spacing w:line="240" w:lineRule="atLeast"/>
                    <w:jc w:val="center"/>
                    <w:rPr>
                      <w:szCs w:val="21"/>
                    </w:rPr>
                  </w:pPr>
                  <w:r>
                    <w:rPr>
                      <w:szCs w:val="21"/>
                    </w:rPr>
                    <w:t>50%物料粒径</w:t>
                  </w:r>
                </w:p>
                <w:p w14:paraId="4AF33CAF">
                  <w:pPr>
                    <w:spacing w:line="240" w:lineRule="atLeast"/>
                    <w:jc w:val="center"/>
                    <w:rPr>
                      <w:szCs w:val="21"/>
                    </w:rPr>
                  </w:pPr>
                  <w:r>
                    <w:rPr>
                      <w:szCs w:val="21"/>
                    </w:rPr>
                    <w:t>小于</w:t>
                  </w:r>
                </w:p>
              </w:tc>
              <w:tc>
                <w:tcPr>
                  <w:tcW w:w="914" w:type="pct"/>
                  <w:vAlign w:val="center"/>
                </w:tcPr>
                <w:p w14:paraId="4656389D">
                  <w:pPr>
                    <w:spacing w:line="240" w:lineRule="atLeast"/>
                    <w:jc w:val="center"/>
                    <w:rPr>
                      <w:szCs w:val="21"/>
                    </w:rPr>
                  </w:pPr>
                  <w:r>
                    <w:rPr>
                      <w:szCs w:val="21"/>
                    </w:rPr>
                    <w:t>75%物料粒径</w:t>
                  </w:r>
                </w:p>
                <w:p w14:paraId="4444A8F5">
                  <w:pPr>
                    <w:spacing w:line="240" w:lineRule="atLeast"/>
                    <w:jc w:val="center"/>
                    <w:rPr>
                      <w:szCs w:val="21"/>
                    </w:rPr>
                  </w:pPr>
                  <w:r>
                    <w:rPr>
                      <w:szCs w:val="21"/>
                    </w:rPr>
                    <w:t>小于</w:t>
                  </w:r>
                </w:p>
              </w:tc>
              <w:tc>
                <w:tcPr>
                  <w:tcW w:w="914" w:type="pct"/>
                  <w:vAlign w:val="center"/>
                </w:tcPr>
                <w:p w14:paraId="11AA601E">
                  <w:pPr>
                    <w:spacing w:line="240" w:lineRule="atLeast"/>
                    <w:jc w:val="center"/>
                    <w:rPr>
                      <w:szCs w:val="21"/>
                    </w:rPr>
                  </w:pPr>
                  <w:r>
                    <w:rPr>
                      <w:szCs w:val="21"/>
                    </w:rPr>
                    <w:t>90%物料粒径</w:t>
                  </w:r>
                </w:p>
                <w:p w14:paraId="6158652B">
                  <w:pPr>
                    <w:spacing w:line="240" w:lineRule="atLeast"/>
                    <w:jc w:val="center"/>
                    <w:rPr>
                      <w:szCs w:val="21"/>
                    </w:rPr>
                  </w:pPr>
                  <w:r>
                    <w:rPr>
                      <w:szCs w:val="21"/>
                    </w:rPr>
                    <w:t>小于</w:t>
                  </w:r>
                </w:p>
              </w:tc>
              <w:tc>
                <w:tcPr>
                  <w:tcW w:w="673" w:type="pct"/>
                  <w:vAlign w:val="center"/>
                </w:tcPr>
                <w:p w14:paraId="4E036459">
                  <w:pPr>
                    <w:spacing w:line="240" w:lineRule="atLeast"/>
                    <w:jc w:val="center"/>
                    <w:rPr>
                      <w:szCs w:val="21"/>
                    </w:rPr>
                  </w:pPr>
                  <w:r>
                    <w:rPr>
                      <w:szCs w:val="21"/>
                    </w:rPr>
                    <w:t>中值粒径</w:t>
                  </w:r>
                </w:p>
                <w:p w14:paraId="28754F02">
                  <w:pPr>
                    <w:spacing w:line="240" w:lineRule="atLeast"/>
                    <w:jc w:val="center"/>
                    <w:rPr>
                      <w:szCs w:val="21"/>
                    </w:rPr>
                  </w:pPr>
                </w:p>
              </w:tc>
            </w:tr>
            <w:tr w14:paraId="1859345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69" w:type="pct"/>
                  <w:vAlign w:val="center"/>
                </w:tcPr>
                <w:p w14:paraId="5F5BB038">
                  <w:pPr>
                    <w:spacing w:line="360" w:lineRule="auto"/>
                    <w:jc w:val="center"/>
                    <w:rPr>
                      <w:szCs w:val="21"/>
                    </w:rPr>
                  </w:pPr>
                  <w:r>
                    <w:rPr>
                      <w:szCs w:val="21"/>
                    </w:rPr>
                    <w:t>尾</w:t>
                  </w:r>
                  <w:r>
                    <w:rPr>
                      <w:rFonts w:hint="eastAsia"/>
                      <w:bCs/>
                      <w:szCs w:val="21"/>
                    </w:rPr>
                    <w:t>矿</w:t>
                  </w:r>
                </w:p>
              </w:tc>
              <w:tc>
                <w:tcPr>
                  <w:tcW w:w="914" w:type="pct"/>
                  <w:vAlign w:val="center"/>
                </w:tcPr>
                <w:p w14:paraId="3D47D9D2">
                  <w:pPr>
                    <w:spacing w:line="360" w:lineRule="auto"/>
                    <w:jc w:val="center"/>
                    <w:rPr>
                      <w:szCs w:val="21"/>
                    </w:rPr>
                  </w:pPr>
                  <w:r>
                    <w:rPr>
                      <w:szCs w:val="21"/>
                    </w:rPr>
                    <w:t>4.247μm</w:t>
                  </w:r>
                </w:p>
              </w:tc>
              <w:tc>
                <w:tcPr>
                  <w:tcW w:w="914" w:type="pct"/>
                  <w:vAlign w:val="center"/>
                </w:tcPr>
                <w:p w14:paraId="62538F19">
                  <w:pPr>
                    <w:spacing w:line="360" w:lineRule="auto"/>
                    <w:jc w:val="center"/>
                    <w:rPr>
                      <w:szCs w:val="21"/>
                    </w:rPr>
                  </w:pPr>
                  <w:r>
                    <w:rPr>
                      <w:szCs w:val="21"/>
                    </w:rPr>
                    <w:t>51.81μm</w:t>
                  </w:r>
                </w:p>
              </w:tc>
              <w:tc>
                <w:tcPr>
                  <w:tcW w:w="914" w:type="pct"/>
                  <w:vAlign w:val="center"/>
                </w:tcPr>
                <w:p w14:paraId="3874C506">
                  <w:pPr>
                    <w:spacing w:line="360" w:lineRule="auto"/>
                    <w:jc w:val="center"/>
                    <w:rPr>
                      <w:szCs w:val="21"/>
                    </w:rPr>
                  </w:pPr>
                  <w:r>
                    <w:rPr>
                      <w:szCs w:val="21"/>
                    </w:rPr>
                    <w:t>136.1μm</w:t>
                  </w:r>
                </w:p>
              </w:tc>
              <w:tc>
                <w:tcPr>
                  <w:tcW w:w="914" w:type="pct"/>
                  <w:vAlign w:val="center"/>
                </w:tcPr>
                <w:p w14:paraId="2CBCCC47">
                  <w:pPr>
                    <w:spacing w:line="360" w:lineRule="auto"/>
                    <w:jc w:val="center"/>
                    <w:rPr>
                      <w:szCs w:val="21"/>
                    </w:rPr>
                  </w:pPr>
                  <w:r>
                    <w:rPr>
                      <w:szCs w:val="21"/>
                    </w:rPr>
                    <w:t>214.2μm</w:t>
                  </w:r>
                </w:p>
              </w:tc>
              <w:tc>
                <w:tcPr>
                  <w:tcW w:w="673" w:type="pct"/>
                  <w:vAlign w:val="center"/>
                </w:tcPr>
                <w:p w14:paraId="286F097C">
                  <w:pPr>
                    <w:spacing w:line="360" w:lineRule="auto"/>
                    <w:jc w:val="center"/>
                    <w:rPr>
                      <w:szCs w:val="21"/>
                    </w:rPr>
                  </w:pPr>
                  <w:r>
                    <w:rPr>
                      <w:szCs w:val="21"/>
                    </w:rPr>
                    <w:t>51.81μm</w:t>
                  </w:r>
                </w:p>
              </w:tc>
            </w:tr>
          </w:tbl>
          <w:p w14:paraId="3ECDE49E">
            <w:pPr>
              <w:spacing w:line="360" w:lineRule="auto"/>
              <w:ind w:firstLine="480" w:firstLineChars="200"/>
              <w:jc w:val="left"/>
              <w:rPr>
                <w:sz w:val="24"/>
              </w:rPr>
            </w:pPr>
            <w:r>
              <w:rPr>
                <w:rFonts w:hint="eastAsia"/>
                <w:sz w:val="24"/>
              </w:rPr>
              <w:t>②</w:t>
            </w:r>
            <w:r>
              <w:rPr>
                <w:sz w:val="24"/>
              </w:rPr>
              <w:t>尾矿成分分析</w:t>
            </w:r>
          </w:p>
          <w:p w14:paraId="661C52BE">
            <w:pPr>
              <w:spacing w:line="360" w:lineRule="auto"/>
              <w:ind w:firstLine="480" w:firstLineChars="200"/>
              <w:jc w:val="left"/>
              <w:rPr>
                <w:sz w:val="24"/>
              </w:rPr>
            </w:pPr>
            <w:r>
              <w:rPr>
                <w:sz w:val="24"/>
              </w:rPr>
              <w:t>尾矿各项物化性能指标与贵州瓮福磷矿、摩天冲磷矿相近，比重2.87，松散容重2.20，样品中10%的粒径处于4.247μm以下，25%的粒径处于12.43μm以下，50%的粒径处于51.81μm以下，75%的粒径处于136.1μm以下，90%的粒径处于214.2μm以下，中值粒径为51.81μm。尾砂中细粒级含量较高，对充填料浆的和易性、流动性产生有利影响。</w:t>
            </w:r>
          </w:p>
          <w:p w14:paraId="359D0C52">
            <w:pPr>
              <w:spacing w:line="360" w:lineRule="auto"/>
              <w:ind w:firstLine="480" w:firstLineChars="200"/>
              <w:jc w:val="left"/>
              <w:rPr>
                <w:rFonts w:hint="eastAsia"/>
                <w:sz w:val="24"/>
              </w:rPr>
            </w:pPr>
            <w:r>
              <w:rPr>
                <w:sz w:val="24"/>
              </w:rPr>
              <w:t>根据中蓝长化工程科技有限公司岩土工程检测中心出具的《检测报告》</w:t>
            </w:r>
            <w:r>
              <w:rPr>
                <w:rFonts w:hint="eastAsia"/>
                <w:sz w:val="24"/>
              </w:rPr>
              <w:t>（见图2-1）</w:t>
            </w:r>
            <w:r>
              <w:rPr>
                <w:sz w:val="24"/>
              </w:rPr>
              <w:t>，</w:t>
            </w:r>
            <w:r>
              <w:rPr>
                <w:rFonts w:hint="eastAsia"/>
                <w:sz w:val="24"/>
              </w:rPr>
              <w:t>以及云南省核工业二O九地质大队出具的《监测报告》（见附件4-1、4-2），</w:t>
            </w:r>
            <w:r>
              <w:rPr>
                <w:sz w:val="24"/>
              </w:rPr>
              <w:t>尾</w:t>
            </w:r>
            <w:r>
              <w:rPr>
                <w:rFonts w:hint="eastAsia"/>
                <w:sz w:val="24"/>
              </w:rPr>
              <w:t>矿</w:t>
            </w:r>
            <w:r>
              <w:rPr>
                <w:sz w:val="24"/>
              </w:rPr>
              <w:t>成分分析如下：</w:t>
            </w:r>
          </w:p>
          <w:p w14:paraId="7E501838">
            <w:pPr>
              <w:spacing w:line="360" w:lineRule="auto"/>
              <w:ind w:firstLine="480" w:firstLineChars="200"/>
              <w:jc w:val="left"/>
              <w:rPr>
                <w:rFonts w:hint="eastAsia"/>
                <w:sz w:val="24"/>
              </w:rPr>
            </w:pPr>
          </w:p>
          <w:p w14:paraId="5611FCBD">
            <w:pPr>
              <w:spacing w:line="360" w:lineRule="auto"/>
              <w:ind w:firstLine="480" w:firstLineChars="200"/>
              <w:jc w:val="left"/>
              <w:rPr>
                <w:rFonts w:hint="eastAsia"/>
                <w:sz w:val="24"/>
              </w:rPr>
            </w:pPr>
          </w:p>
          <w:p w14:paraId="6D33F5E6">
            <w:pPr>
              <w:spacing w:line="360" w:lineRule="auto"/>
              <w:ind w:firstLine="480" w:firstLineChars="200"/>
              <w:jc w:val="left"/>
              <w:rPr>
                <w:rFonts w:hint="eastAsia"/>
                <w:sz w:val="24"/>
              </w:rPr>
            </w:pPr>
          </w:p>
          <w:p w14:paraId="0DB2771D">
            <w:pPr>
              <w:spacing w:line="360" w:lineRule="auto"/>
              <w:ind w:firstLine="480" w:firstLineChars="200"/>
              <w:jc w:val="left"/>
              <w:rPr>
                <w:rFonts w:hint="eastAsia"/>
                <w:sz w:val="24"/>
              </w:rPr>
            </w:pPr>
          </w:p>
          <w:p w14:paraId="2ED749F5">
            <w:pPr>
              <w:spacing w:line="360" w:lineRule="auto"/>
              <w:ind w:firstLine="480" w:firstLineChars="200"/>
              <w:jc w:val="left"/>
              <w:rPr>
                <w:rFonts w:hint="eastAsia"/>
                <w:sz w:val="24"/>
              </w:rPr>
            </w:pPr>
          </w:p>
          <w:p w14:paraId="24EBA1D5">
            <w:pPr>
              <w:spacing w:line="360" w:lineRule="auto"/>
              <w:ind w:firstLine="480" w:firstLineChars="200"/>
              <w:jc w:val="left"/>
              <w:rPr>
                <w:rFonts w:hint="eastAsia"/>
                <w:sz w:val="24"/>
              </w:rPr>
            </w:pPr>
          </w:p>
          <w:p w14:paraId="58F831B1">
            <w:pPr>
              <w:spacing w:line="360" w:lineRule="auto"/>
              <w:ind w:firstLine="480" w:firstLineChars="200"/>
              <w:jc w:val="left"/>
              <w:rPr>
                <w:rFonts w:hint="eastAsia"/>
                <w:sz w:val="24"/>
              </w:rPr>
            </w:pPr>
          </w:p>
          <w:p w14:paraId="64482650">
            <w:pPr>
              <w:spacing w:line="360" w:lineRule="auto"/>
              <w:ind w:firstLine="480" w:firstLineChars="200"/>
              <w:jc w:val="left"/>
              <w:rPr>
                <w:rFonts w:hint="eastAsia"/>
                <w:sz w:val="24"/>
              </w:rPr>
            </w:pPr>
          </w:p>
          <w:p w14:paraId="00C114C1">
            <w:pPr>
              <w:spacing w:line="360" w:lineRule="auto"/>
              <w:ind w:firstLine="480" w:firstLineChars="200"/>
              <w:jc w:val="left"/>
              <w:rPr>
                <w:rFonts w:hint="eastAsia"/>
                <w:sz w:val="24"/>
              </w:rPr>
            </w:pPr>
          </w:p>
          <w:p w14:paraId="12596D98">
            <w:pPr>
              <w:spacing w:line="360" w:lineRule="auto"/>
              <w:ind w:firstLine="480" w:firstLineChars="200"/>
              <w:jc w:val="left"/>
              <w:rPr>
                <w:rFonts w:hint="eastAsia"/>
                <w:sz w:val="24"/>
              </w:rPr>
            </w:pPr>
          </w:p>
          <w:p w14:paraId="60BF7C8E">
            <w:pPr>
              <w:spacing w:line="360" w:lineRule="auto"/>
              <w:ind w:firstLine="480" w:firstLineChars="200"/>
              <w:jc w:val="left"/>
              <w:rPr>
                <w:sz w:val="24"/>
              </w:rPr>
            </w:pPr>
            <w:r>
              <w:rPr>
                <w:bCs/>
                <w:sz w:val="24"/>
              </w:rPr>
              <w:drawing>
                <wp:inline distT="0" distB="0" distL="114300" distR="114300">
                  <wp:extent cx="4591050" cy="5443220"/>
                  <wp:effectExtent l="0" t="0" r="0" b="5080"/>
                  <wp:docPr id="1" name="图片 1" descr="fa26e27f-65d3-4c75-8c12-72dfaaa20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26e27f-65d3-4c75-8c12-72dfaaa205bc"/>
                          <pic:cNvPicPr>
                            <a:picLocks noChangeAspect="1"/>
                          </pic:cNvPicPr>
                        </pic:nvPicPr>
                        <pic:blipFill>
                          <a:blip r:embed="rId11"/>
                          <a:stretch>
                            <a:fillRect/>
                          </a:stretch>
                        </pic:blipFill>
                        <pic:spPr>
                          <a:xfrm>
                            <a:off x="0" y="0"/>
                            <a:ext cx="4591050" cy="5443220"/>
                          </a:xfrm>
                          <a:prstGeom prst="rect">
                            <a:avLst/>
                          </a:prstGeom>
                        </pic:spPr>
                      </pic:pic>
                    </a:graphicData>
                  </a:graphic>
                </wp:inline>
              </w:drawing>
            </w:r>
          </w:p>
          <w:p w14:paraId="78AD5866">
            <w:pPr>
              <w:spacing w:line="360" w:lineRule="auto"/>
              <w:jc w:val="center"/>
              <w:rPr>
                <w:b/>
                <w:bCs/>
                <w:szCs w:val="21"/>
              </w:rPr>
            </w:pPr>
            <w:r>
              <w:rPr>
                <w:b/>
                <w:bCs/>
                <w:szCs w:val="21"/>
              </w:rPr>
              <w:t>图2-1中化云龙尾</w:t>
            </w:r>
            <w:r>
              <w:rPr>
                <w:rFonts w:hint="eastAsia"/>
                <w:b/>
                <w:bCs/>
                <w:szCs w:val="21"/>
              </w:rPr>
              <w:t>矿</w:t>
            </w:r>
            <w:r>
              <w:rPr>
                <w:b/>
                <w:bCs/>
                <w:szCs w:val="21"/>
              </w:rPr>
              <w:t>成分分析检测结果（摘录）</w:t>
            </w:r>
          </w:p>
          <w:p w14:paraId="3EC64271">
            <w:pPr>
              <w:spacing w:line="360" w:lineRule="auto"/>
              <w:jc w:val="center"/>
              <w:rPr>
                <w:b/>
                <w:bCs/>
                <w:szCs w:val="21"/>
              </w:rPr>
            </w:pPr>
            <w:r>
              <w:rPr>
                <w:b/>
                <w:bCs/>
                <w:szCs w:val="21"/>
              </w:rPr>
              <w:t>表</w:t>
            </w:r>
            <w:r>
              <w:rPr>
                <w:rFonts w:hint="eastAsia"/>
                <w:b/>
                <w:bCs/>
                <w:szCs w:val="21"/>
              </w:rPr>
              <w:t>2-12</w:t>
            </w:r>
            <w:r>
              <w:rPr>
                <w:b/>
                <w:bCs/>
                <w:szCs w:val="21"/>
              </w:rPr>
              <w:t>中化云龙尾</w:t>
            </w:r>
            <w:r>
              <w:rPr>
                <w:rFonts w:hint="eastAsia"/>
                <w:b/>
                <w:bCs/>
                <w:szCs w:val="21"/>
              </w:rPr>
              <w:t>矿</w:t>
            </w:r>
            <w:r>
              <w:rPr>
                <w:b/>
                <w:bCs/>
                <w:szCs w:val="21"/>
              </w:rPr>
              <w:t>成分分析</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617"/>
              <w:gridCol w:w="666"/>
              <w:gridCol w:w="682"/>
              <w:gridCol w:w="652"/>
              <w:gridCol w:w="649"/>
              <w:gridCol w:w="666"/>
              <w:gridCol w:w="715"/>
              <w:gridCol w:w="699"/>
              <w:gridCol w:w="683"/>
              <w:gridCol w:w="777"/>
            </w:tblGrid>
            <w:tr w14:paraId="35C900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08" w:type="pct"/>
                  <w:vAlign w:val="center"/>
                </w:tcPr>
                <w:p w14:paraId="1E71A39A">
                  <w:pPr>
                    <w:spacing w:line="360" w:lineRule="auto"/>
                    <w:jc w:val="center"/>
                    <w:rPr>
                      <w:sz w:val="18"/>
                      <w:szCs w:val="18"/>
                    </w:rPr>
                  </w:pPr>
                  <w:r>
                    <w:rPr>
                      <w:sz w:val="18"/>
                      <w:szCs w:val="18"/>
                    </w:rPr>
                    <w:t>检测参数</w:t>
                  </w:r>
                </w:p>
              </w:tc>
              <w:tc>
                <w:tcPr>
                  <w:tcW w:w="389" w:type="pct"/>
                  <w:shd w:val="clear" w:color="auto" w:fill="auto"/>
                  <w:noWrap/>
                  <w:vAlign w:val="center"/>
                </w:tcPr>
                <w:p w14:paraId="53151690">
                  <w:pPr>
                    <w:spacing w:line="360" w:lineRule="auto"/>
                    <w:jc w:val="center"/>
                    <w:rPr>
                      <w:sz w:val="18"/>
                      <w:szCs w:val="18"/>
                    </w:rPr>
                  </w:pPr>
                  <w:r>
                    <w:rPr>
                      <w:sz w:val="18"/>
                      <w:szCs w:val="18"/>
                    </w:rPr>
                    <w:t>P</w:t>
                  </w:r>
                  <w:r>
                    <w:rPr>
                      <w:sz w:val="18"/>
                      <w:szCs w:val="18"/>
                      <w:vertAlign w:val="subscript"/>
                    </w:rPr>
                    <w:t>2</w:t>
                  </w:r>
                  <w:r>
                    <w:rPr>
                      <w:sz w:val="18"/>
                      <w:szCs w:val="18"/>
                    </w:rPr>
                    <w:t>O</w:t>
                  </w:r>
                  <w:r>
                    <w:rPr>
                      <w:sz w:val="18"/>
                      <w:szCs w:val="18"/>
                      <w:vertAlign w:val="subscript"/>
                    </w:rPr>
                    <w:t>5</w:t>
                  </w:r>
                </w:p>
              </w:tc>
              <w:tc>
                <w:tcPr>
                  <w:tcW w:w="420" w:type="pct"/>
                  <w:shd w:val="clear" w:color="auto" w:fill="auto"/>
                  <w:noWrap/>
                  <w:vAlign w:val="center"/>
                </w:tcPr>
                <w:p w14:paraId="00732DD4">
                  <w:pPr>
                    <w:spacing w:line="360" w:lineRule="auto"/>
                    <w:jc w:val="center"/>
                    <w:rPr>
                      <w:sz w:val="18"/>
                      <w:szCs w:val="18"/>
                    </w:rPr>
                  </w:pPr>
                  <w:r>
                    <w:rPr>
                      <w:sz w:val="18"/>
                      <w:szCs w:val="18"/>
                    </w:rPr>
                    <w:t>MgO</w:t>
                  </w:r>
                </w:p>
              </w:tc>
              <w:tc>
                <w:tcPr>
                  <w:tcW w:w="430" w:type="pct"/>
                  <w:shd w:val="clear" w:color="auto" w:fill="auto"/>
                  <w:noWrap/>
                  <w:vAlign w:val="center"/>
                </w:tcPr>
                <w:p w14:paraId="2914AC23">
                  <w:pPr>
                    <w:spacing w:line="360" w:lineRule="auto"/>
                    <w:jc w:val="center"/>
                    <w:rPr>
                      <w:sz w:val="18"/>
                      <w:szCs w:val="18"/>
                    </w:rPr>
                  </w:pPr>
                  <w:r>
                    <w:rPr>
                      <w:sz w:val="18"/>
                      <w:szCs w:val="18"/>
                    </w:rPr>
                    <w:t>CaO</w:t>
                  </w:r>
                </w:p>
              </w:tc>
              <w:tc>
                <w:tcPr>
                  <w:tcW w:w="409" w:type="pct"/>
                  <w:shd w:val="clear" w:color="auto" w:fill="auto"/>
                  <w:noWrap/>
                  <w:vAlign w:val="center"/>
                </w:tcPr>
                <w:p w14:paraId="68D21261">
                  <w:pPr>
                    <w:spacing w:line="360" w:lineRule="auto"/>
                    <w:jc w:val="center"/>
                    <w:rPr>
                      <w:sz w:val="18"/>
                      <w:szCs w:val="18"/>
                    </w:rPr>
                  </w:pPr>
                  <w:r>
                    <w:rPr>
                      <w:sz w:val="18"/>
                      <w:szCs w:val="18"/>
                    </w:rPr>
                    <w:t>K</w:t>
                  </w:r>
                  <w:r>
                    <w:rPr>
                      <w:sz w:val="18"/>
                      <w:szCs w:val="18"/>
                      <w:vertAlign w:val="subscript"/>
                    </w:rPr>
                    <w:t>2</w:t>
                  </w:r>
                  <w:r>
                    <w:rPr>
                      <w:sz w:val="18"/>
                      <w:szCs w:val="18"/>
                    </w:rPr>
                    <w:t>O</w:t>
                  </w:r>
                </w:p>
              </w:tc>
              <w:tc>
                <w:tcPr>
                  <w:tcW w:w="409" w:type="pct"/>
                  <w:shd w:val="clear" w:color="auto" w:fill="auto"/>
                  <w:noWrap/>
                  <w:vAlign w:val="center"/>
                </w:tcPr>
                <w:p w14:paraId="26F38142">
                  <w:pPr>
                    <w:spacing w:line="360" w:lineRule="auto"/>
                    <w:jc w:val="center"/>
                    <w:rPr>
                      <w:sz w:val="18"/>
                      <w:szCs w:val="18"/>
                    </w:rPr>
                  </w:pPr>
                  <w:r>
                    <w:rPr>
                      <w:sz w:val="18"/>
                      <w:szCs w:val="18"/>
                    </w:rPr>
                    <w:t>Na</w:t>
                  </w:r>
                  <w:r>
                    <w:rPr>
                      <w:sz w:val="18"/>
                      <w:szCs w:val="18"/>
                      <w:vertAlign w:val="subscript"/>
                    </w:rPr>
                    <w:t>2</w:t>
                  </w:r>
                  <w:r>
                    <w:rPr>
                      <w:sz w:val="18"/>
                      <w:szCs w:val="18"/>
                    </w:rPr>
                    <w:t>O</w:t>
                  </w:r>
                </w:p>
              </w:tc>
              <w:tc>
                <w:tcPr>
                  <w:tcW w:w="420" w:type="pct"/>
                  <w:shd w:val="clear" w:color="auto" w:fill="auto"/>
                  <w:noWrap/>
                  <w:vAlign w:val="center"/>
                </w:tcPr>
                <w:p w14:paraId="5401EE77">
                  <w:pPr>
                    <w:spacing w:line="360" w:lineRule="auto"/>
                    <w:jc w:val="center"/>
                    <w:rPr>
                      <w:sz w:val="18"/>
                      <w:szCs w:val="18"/>
                    </w:rPr>
                  </w:pPr>
                  <w:r>
                    <w:rPr>
                      <w:sz w:val="18"/>
                      <w:szCs w:val="18"/>
                    </w:rPr>
                    <w:t>SiO</w:t>
                  </w:r>
                  <w:r>
                    <w:rPr>
                      <w:sz w:val="18"/>
                      <w:szCs w:val="18"/>
                      <w:vertAlign w:val="subscript"/>
                    </w:rPr>
                    <w:t>2</w:t>
                  </w:r>
                </w:p>
              </w:tc>
              <w:tc>
                <w:tcPr>
                  <w:tcW w:w="451" w:type="pct"/>
                  <w:shd w:val="clear" w:color="auto" w:fill="auto"/>
                  <w:noWrap/>
                  <w:vAlign w:val="center"/>
                </w:tcPr>
                <w:p w14:paraId="206460D1">
                  <w:pPr>
                    <w:spacing w:line="360" w:lineRule="auto"/>
                    <w:jc w:val="center"/>
                    <w:rPr>
                      <w:sz w:val="18"/>
                      <w:szCs w:val="18"/>
                    </w:rPr>
                  </w:pPr>
                  <w:r>
                    <w:rPr>
                      <w:sz w:val="18"/>
                      <w:szCs w:val="18"/>
                    </w:rPr>
                    <w:t>Fe</w:t>
                  </w:r>
                  <w:r>
                    <w:rPr>
                      <w:sz w:val="18"/>
                      <w:szCs w:val="18"/>
                      <w:vertAlign w:val="subscript"/>
                    </w:rPr>
                    <w:t>2</w:t>
                  </w:r>
                  <w:r>
                    <w:rPr>
                      <w:sz w:val="18"/>
                      <w:szCs w:val="18"/>
                    </w:rPr>
                    <w:t>O</w:t>
                  </w:r>
                  <w:r>
                    <w:rPr>
                      <w:sz w:val="18"/>
                      <w:szCs w:val="18"/>
                      <w:vertAlign w:val="subscript"/>
                    </w:rPr>
                    <w:t>3</w:t>
                  </w:r>
                </w:p>
              </w:tc>
              <w:tc>
                <w:tcPr>
                  <w:tcW w:w="441" w:type="pct"/>
                  <w:shd w:val="clear" w:color="auto" w:fill="auto"/>
                  <w:noWrap/>
                  <w:vAlign w:val="center"/>
                </w:tcPr>
                <w:p w14:paraId="07B2B212">
                  <w:pPr>
                    <w:spacing w:line="360" w:lineRule="auto"/>
                    <w:jc w:val="center"/>
                    <w:rPr>
                      <w:sz w:val="18"/>
                      <w:szCs w:val="18"/>
                    </w:rPr>
                  </w:pPr>
                  <w:r>
                    <w:rPr>
                      <w:sz w:val="18"/>
                      <w:szCs w:val="18"/>
                    </w:rPr>
                    <w:t>Al</w:t>
                  </w:r>
                  <w:r>
                    <w:rPr>
                      <w:sz w:val="18"/>
                      <w:szCs w:val="18"/>
                      <w:vertAlign w:val="subscript"/>
                    </w:rPr>
                    <w:t>2</w:t>
                  </w:r>
                  <w:r>
                    <w:rPr>
                      <w:sz w:val="18"/>
                      <w:szCs w:val="18"/>
                    </w:rPr>
                    <w:t>O</w:t>
                  </w:r>
                  <w:r>
                    <w:rPr>
                      <w:sz w:val="18"/>
                      <w:szCs w:val="18"/>
                      <w:vertAlign w:val="subscript"/>
                    </w:rPr>
                    <w:t>3</w:t>
                  </w:r>
                </w:p>
              </w:tc>
              <w:tc>
                <w:tcPr>
                  <w:tcW w:w="431" w:type="pct"/>
                  <w:shd w:val="clear" w:color="auto" w:fill="auto"/>
                  <w:noWrap/>
                  <w:vAlign w:val="center"/>
                </w:tcPr>
                <w:p w14:paraId="2B213260">
                  <w:pPr>
                    <w:spacing w:line="360" w:lineRule="auto"/>
                    <w:jc w:val="center"/>
                    <w:rPr>
                      <w:sz w:val="18"/>
                      <w:szCs w:val="18"/>
                    </w:rPr>
                  </w:pPr>
                  <w:r>
                    <w:rPr>
                      <w:sz w:val="18"/>
                      <w:szCs w:val="18"/>
                    </w:rPr>
                    <w:t>S</w:t>
                  </w:r>
                </w:p>
              </w:tc>
              <w:tc>
                <w:tcPr>
                  <w:tcW w:w="486" w:type="pct"/>
                  <w:shd w:val="clear" w:color="auto" w:fill="auto"/>
                  <w:noWrap/>
                  <w:vAlign w:val="center"/>
                </w:tcPr>
                <w:p w14:paraId="4425E91C">
                  <w:pPr>
                    <w:spacing w:line="360" w:lineRule="auto"/>
                    <w:jc w:val="center"/>
                    <w:rPr>
                      <w:sz w:val="18"/>
                      <w:szCs w:val="18"/>
                    </w:rPr>
                  </w:pPr>
                  <w:r>
                    <w:rPr>
                      <w:sz w:val="18"/>
                      <w:szCs w:val="18"/>
                    </w:rPr>
                    <w:t>氟化物</w:t>
                  </w:r>
                </w:p>
              </w:tc>
            </w:tr>
            <w:tr w14:paraId="28293C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shd w:val="clear" w:color="auto" w:fill="auto"/>
                  <w:vAlign w:val="center"/>
                </w:tcPr>
                <w:p w14:paraId="0E6C7BA8">
                  <w:pPr>
                    <w:spacing w:line="360" w:lineRule="auto"/>
                    <w:jc w:val="center"/>
                    <w:rPr>
                      <w:sz w:val="18"/>
                      <w:szCs w:val="18"/>
                    </w:rPr>
                  </w:pPr>
                  <w:r>
                    <w:rPr>
                      <w:sz w:val="18"/>
                      <w:szCs w:val="18"/>
                    </w:rPr>
                    <w:t>尾</w:t>
                  </w:r>
                  <w:r>
                    <w:rPr>
                      <w:rFonts w:hint="eastAsia"/>
                      <w:sz w:val="18"/>
                      <w:szCs w:val="18"/>
                    </w:rPr>
                    <w:t>矿（%）</w:t>
                  </w:r>
                  <w:r>
                    <w:rPr>
                      <w:rFonts w:hint="eastAsia"/>
                      <w:sz w:val="18"/>
                      <w:szCs w:val="18"/>
                      <w:vertAlign w:val="superscript"/>
                    </w:rPr>
                    <w:t>a</w:t>
                  </w:r>
                </w:p>
              </w:tc>
              <w:tc>
                <w:tcPr>
                  <w:tcW w:w="389" w:type="pct"/>
                  <w:shd w:val="clear" w:color="auto" w:fill="auto"/>
                  <w:vAlign w:val="center"/>
                </w:tcPr>
                <w:p w14:paraId="5928BA44">
                  <w:pPr>
                    <w:spacing w:line="360" w:lineRule="auto"/>
                    <w:jc w:val="center"/>
                    <w:rPr>
                      <w:sz w:val="18"/>
                      <w:szCs w:val="18"/>
                    </w:rPr>
                  </w:pPr>
                  <w:r>
                    <w:rPr>
                      <w:sz w:val="18"/>
                      <w:szCs w:val="18"/>
                    </w:rPr>
                    <w:t>8.56</w:t>
                  </w:r>
                </w:p>
              </w:tc>
              <w:tc>
                <w:tcPr>
                  <w:tcW w:w="420" w:type="pct"/>
                  <w:shd w:val="clear" w:color="auto" w:fill="auto"/>
                  <w:vAlign w:val="center"/>
                </w:tcPr>
                <w:p w14:paraId="32A078C6">
                  <w:pPr>
                    <w:spacing w:line="360" w:lineRule="auto"/>
                    <w:jc w:val="center"/>
                    <w:rPr>
                      <w:sz w:val="18"/>
                      <w:szCs w:val="18"/>
                    </w:rPr>
                  </w:pPr>
                  <w:r>
                    <w:rPr>
                      <w:sz w:val="18"/>
                      <w:szCs w:val="18"/>
                    </w:rPr>
                    <w:t>13.3</w:t>
                  </w:r>
                </w:p>
              </w:tc>
              <w:tc>
                <w:tcPr>
                  <w:tcW w:w="430" w:type="pct"/>
                  <w:shd w:val="clear" w:color="auto" w:fill="auto"/>
                  <w:vAlign w:val="center"/>
                </w:tcPr>
                <w:p w14:paraId="0120AAD3">
                  <w:pPr>
                    <w:spacing w:line="360" w:lineRule="auto"/>
                    <w:jc w:val="center"/>
                    <w:rPr>
                      <w:sz w:val="18"/>
                      <w:szCs w:val="18"/>
                    </w:rPr>
                  </w:pPr>
                  <w:r>
                    <w:rPr>
                      <w:sz w:val="18"/>
                      <w:szCs w:val="18"/>
                    </w:rPr>
                    <w:t>31.9</w:t>
                  </w:r>
                </w:p>
              </w:tc>
              <w:tc>
                <w:tcPr>
                  <w:tcW w:w="409" w:type="pct"/>
                  <w:shd w:val="clear" w:color="auto" w:fill="auto"/>
                  <w:vAlign w:val="center"/>
                </w:tcPr>
                <w:p w14:paraId="360C52DF">
                  <w:pPr>
                    <w:spacing w:line="360" w:lineRule="auto"/>
                    <w:jc w:val="center"/>
                    <w:rPr>
                      <w:sz w:val="18"/>
                      <w:szCs w:val="18"/>
                    </w:rPr>
                  </w:pPr>
                  <w:r>
                    <w:rPr>
                      <w:sz w:val="18"/>
                      <w:szCs w:val="18"/>
                    </w:rPr>
                    <w:t>0.866</w:t>
                  </w:r>
                </w:p>
              </w:tc>
              <w:tc>
                <w:tcPr>
                  <w:tcW w:w="409" w:type="pct"/>
                  <w:shd w:val="clear" w:color="auto" w:fill="auto"/>
                  <w:vAlign w:val="center"/>
                </w:tcPr>
                <w:p w14:paraId="1C430F6B">
                  <w:pPr>
                    <w:spacing w:line="360" w:lineRule="auto"/>
                    <w:jc w:val="center"/>
                    <w:rPr>
                      <w:sz w:val="18"/>
                      <w:szCs w:val="18"/>
                    </w:rPr>
                  </w:pPr>
                  <w:r>
                    <w:rPr>
                      <w:sz w:val="18"/>
                      <w:szCs w:val="18"/>
                    </w:rPr>
                    <w:t>4.97</w:t>
                  </w:r>
                </w:p>
              </w:tc>
              <w:tc>
                <w:tcPr>
                  <w:tcW w:w="420" w:type="pct"/>
                  <w:shd w:val="clear" w:color="auto" w:fill="auto"/>
                  <w:vAlign w:val="center"/>
                </w:tcPr>
                <w:p w14:paraId="39DCC619">
                  <w:pPr>
                    <w:spacing w:line="360" w:lineRule="auto"/>
                    <w:jc w:val="center"/>
                    <w:rPr>
                      <w:sz w:val="18"/>
                      <w:szCs w:val="18"/>
                    </w:rPr>
                  </w:pPr>
                  <w:r>
                    <w:rPr>
                      <w:sz w:val="18"/>
                      <w:szCs w:val="18"/>
                    </w:rPr>
                    <w:t>5.13</w:t>
                  </w:r>
                </w:p>
              </w:tc>
              <w:tc>
                <w:tcPr>
                  <w:tcW w:w="451" w:type="pct"/>
                  <w:shd w:val="clear" w:color="auto" w:fill="auto"/>
                  <w:vAlign w:val="center"/>
                </w:tcPr>
                <w:p w14:paraId="78790DD6">
                  <w:pPr>
                    <w:spacing w:line="360" w:lineRule="auto"/>
                    <w:jc w:val="center"/>
                    <w:rPr>
                      <w:sz w:val="18"/>
                      <w:szCs w:val="18"/>
                    </w:rPr>
                  </w:pPr>
                  <w:r>
                    <w:rPr>
                      <w:sz w:val="18"/>
                      <w:szCs w:val="18"/>
                    </w:rPr>
                    <w:t>0.679</w:t>
                  </w:r>
                </w:p>
              </w:tc>
              <w:tc>
                <w:tcPr>
                  <w:tcW w:w="441" w:type="pct"/>
                  <w:shd w:val="clear" w:color="auto" w:fill="auto"/>
                  <w:vAlign w:val="center"/>
                </w:tcPr>
                <w:p w14:paraId="47FE76C5">
                  <w:pPr>
                    <w:spacing w:line="360" w:lineRule="auto"/>
                    <w:jc w:val="center"/>
                    <w:rPr>
                      <w:sz w:val="18"/>
                      <w:szCs w:val="18"/>
                    </w:rPr>
                  </w:pPr>
                  <w:r>
                    <w:rPr>
                      <w:sz w:val="18"/>
                      <w:szCs w:val="18"/>
                    </w:rPr>
                    <w:t>0.566</w:t>
                  </w:r>
                </w:p>
              </w:tc>
              <w:tc>
                <w:tcPr>
                  <w:tcW w:w="431" w:type="pct"/>
                  <w:shd w:val="clear" w:color="auto" w:fill="auto"/>
                  <w:vAlign w:val="center"/>
                </w:tcPr>
                <w:p w14:paraId="0947A585">
                  <w:pPr>
                    <w:spacing w:line="360" w:lineRule="auto"/>
                    <w:jc w:val="center"/>
                    <w:rPr>
                      <w:sz w:val="18"/>
                      <w:szCs w:val="18"/>
                    </w:rPr>
                  </w:pPr>
                  <w:r>
                    <w:rPr>
                      <w:sz w:val="18"/>
                      <w:szCs w:val="18"/>
                    </w:rPr>
                    <w:t>0.686</w:t>
                  </w:r>
                </w:p>
              </w:tc>
              <w:tc>
                <w:tcPr>
                  <w:tcW w:w="486" w:type="pct"/>
                  <w:shd w:val="clear" w:color="auto" w:fill="auto"/>
                  <w:vAlign w:val="center"/>
                </w:tcPr>
                <w:p w14:paraId="0209D1DF">
                  <w:pPr>
                    <w:spacing w:line="360" w:lineRule="auto"/>
                    <w:jc w:val="center"/>
                    <w:rPr>
                      <w:sz w:val="18"/>
                      <w:szCs w:val="18"/>
                    </w:rPr>
                  </w:pPr>
                  <w:r>
                    <w:rPr>
                      <w:sz w:val="18"/>
                      <w:szCs w:val="18"/>
                    </w:rPr>
                    <w:t>0.080</w:t>
                  </w:r>
                </w:p>
              </w:tc>
            </w:tr>
            <w:tr w14:paraId="0AABE0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vMerge w:val="restart"/>
                  <w:shd w:val="clear" w:color="auto" w:fill="auto"/>
                  <w:vAlign w:val="center"/>
                </w:tcPr>
                <w:p w14:paraId="7A92A298">
                  <w:pPr>
                    <w:spacing w:line="360" w:lineRule="auto"/>
                    <w:jc w:val="center"/>
                    <w:rPr>
                      <w:sz w:val="18"/>
                      <w:szCs w:val="18"/>
                    </w:rPr>
                  </w:pPr>
                  <w:r>
                    <w:rPr>
                      <w:sz w:val="18"/>
                      <w:szCs w:val="18"/>
                    </w:rPr>
                    <w:t>检测参数</w:t>
                  </w:r>
                </w:p>
              </w:tc>
              <w:tc>
                <w:tcPr>
                  <w:tcW w:w="1650" w:type="pct"/>
                  <w:gridSpan w:val="4"/>
                  <w:shd w:val="clear" w:color="auto" w:fill="auto"/>
                  <w:vAlign w:val="center"/>
                </w:tcPr>
                <w:p w14:paraId="5A87117F">
                  <w:pPr>
                    <w:spacing w:line="360" w:lineRule="auto"/>
                    <w:jc w:val="center"/>
                    <w:rPr>
                      <w:sz w:val="18"/>
                      <w:szCs w:val="18"/>
                    </w:rPr>
                  </w:pPr>
                  <w:r>
                    <w:rPr>
                      <w:rFonts w:hint="eastAsia"/>
                      <w:sz w:val="18"/>
                      <w:szCs w:val="18"/>
                    </w:rPr>
                    <w:t>分析项目（%）</w:t>
                  </w:r>
                </w:p>
              </w:tc>
              <w:tc>
                <w:tcPr>
                  <w:tcW w:w="2641" w:type="pct"/>
                  <w:gridSpan w:val="6"/>
                  <w:shd w:val="clear" w:color="auto" w:fill="auto"/>
                  <w:vAlign w:val="center"/>
                </w:tcPr>
                <w:p w14:paraId="5762F49D">
                  <w:pPr>
                    <w:spacing w:line="360" w:lineRule="auto"/>
                    <w:jc w:val="center"/>
                    <w:rPr>
                      <w:sz w:val="18"/>
                      <w:szCs w:val="18"/>
                    </w:rPr>
                  </w:pPr>
                  <w:r>
                    <w:rPr>
                      <w:rFonts w:hint="eastAsia"/>
                      <w:sz w:val="18"/>
                      <w:szCs w:val="18"/>
                    </w:rPr>
                    <w:t>分析项目（μg/g）</w:t>
                  </w:r>
                </w:p>
              </w:tc>
            </w:tr>
            <w:tr w14:paraId="5F048A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vMerge w:val="continue"/>
                  <w:shd w:val="clear" w:color="auto" w:fill="auto"/>
                  <w:vAlign w:val="center"/>
                </w:tcPr>
                <w:p w14:paraId="33B20D98">
                  <w:pPr>
                    <w:spacing w:line="360" w:lineRule="auto"/>
                    <w:jc w:val="center"/>
                    <w:rPr>
                      <w:sz w:val="18"/>
                      <w:szCs w:val="18"/>
                    </w:rPr>
                  </w:pPr>
                </w:p>
              </w:tc>
              <w:tc>
                <w:tcPr>
                  <w:tcW w:w="389" w:type="pct"/>
                  <w:shd w:val="clear" w:color="auto" w:fill="auto"/>
                  <w:vAlign w:val="center"/>
                </w:tcPr>
                <w:p w14:paraId="4EE60D4D">
                  <w:pPr>
                    <w:spacing w:line="360" w:lineRule="auto"/>
                    <w:jc w:val="center"/>
                    <w:rPr>
                      <w:sz w:val="18"/>
                      <w:szCs w:val="18"/>
                    </w:rPr>
                  </w:pPr>
                  <w:r>
                    <w:rPr>
                      <w:sz w:val="18"/>
                      <w:szCs w:val="18"/>
                    </w:rPr>
                    <w:t>P</w:t>
                  </w:r>
                  <w:r>
                    <w:rPr>
                      <w:sz w:val="18"/>
                      <w:szCs w:val="18"/>
                      <w:vertAlign w:val="subscript"/>
                    </w:rPr>
                    <w:t>2</w:t>
                  </w:r>
                  <w:r>
                    <w:rPr>
                      <w:sz w:val="18"/>
                      <w:szCs w:val="18"/>
                    </w:rPr>
                    <w:t>O</w:t>
                  </w:r>
                  <w:r>
                    <w:rPr>
                      <w:sz w:val="18"/>
                      <w:szCs w:val="18"/>
                      <w:vertAlign w:val="subscript"/>
                    </w:rPr>
                    <w:t>5</w:t>
                  </w:r>
                </w:p>
              </w:tc>
              <w:tc>
                <w:tcPr>
                  <w:tcW w:w="420" w:type="pct"/>
                  <w:shd w:val="clear" w:color="auto" w:fill="auto"/>
                  <w:vAlign w:val="center"/>
                </w:tcPr>
                <w:p w14:paraId="6D4784BA">
                  <w:pPr>
                    <w:spacing w:line="360" w:lineRule="auto"/>
                    <w:jc w:val="center"/>
                    <w:rPr>
                      <w:sz w:val="18"/>
                      <w:szCs w:val="18"/>
                    </w:rPr>
                  </w:pPr>
                  <w:r>
                    <w:rPr>
                      <w:sz w:val="18"/>
                      <w:szCs w:val="18"/>
                    </w:rPr>
                    <w:t>MgO</w:t>
                  </w:r>
                </w:p>
              </w:tc>
              <w:tc>
                <w:tcPr>
                  <w:tcW w:w="430" w:type="pct"/>
                  <w:shd w:val="clear" w:color="auto" w:fill="auto"/>
                  <w:vAlign w:val="center"/>
                </w:tcPr>
                <w:p w14:paraId="46584C7C">
                  <w:pPr>
                    <w:spacing w:line="360" w:lineRule="auto"/>
                    <w:jc w:val="center"/>
                    <w:rPr>
                      <w:sz w:val="18"/>
                      <w:szCs w:val="18"/>
                    </w:rPr>
                  </w:pPr>
                  <w:r>
                    <w:rPr>
                      <w:sz w:val="18"/>
                      <w:szCs w:val="18"/>
                    </w:rPr>
                    <w:t>CaO</w:t>
                  </w:r>
                </w:p>
              </w:tc>
              <w:tc>
                <w:tcPr>
                  <w:tcW w:w="409" w:type="pct"/>
                  <w:shd w:val="clear" w:color="auto" w:fill="auto"/>
                  <w:vAlign w:val="center"/>
                </w:tcPr>
                <w:p w14:paraId="37D98EB9">
                  <w:pPr>
                    <w:spacing w:line="360" w:lineRule="auto"/>
                    <w:jc w:val="center"/>
                    <w:rPr>
                      <w:sz w:val="18"/>
                      <w:szCs w:val="18"/>
                    </w:rPr>
                  </w:pPr>
                  <w:r>
                    <w:rPr>
                      <w:sz w:val="18"/>
                      <w:szCs w:val="18"/>
                    </w:rPr>
                    <w:t>SiO</w:t>
                  </w:r>
                  <w:r>
                    <w:rPr>
                      <w:sz w:val="18"/>
                      <w:szCs w:val="18"/>
                      <w:vertAlign w:val="subscript"/>
                    </w:rPr>
                    <w:t>2</w:t>
                  </w:r>
                </w:p>
              </w:tc>
              <w:tc>
                <w:tcPr>
                  <w:tcW w:w="409" w:type="pct"/>
                  <w:shd w:val="clear" w:color="auto" w:fill="auto"/>
                  <w:vAlign w:val="center"/>
                </w:tcPr>
                <w:p w14:paraId="67B4496C">
                  <w:pPr>
                    <w:spacing w:line="360" w:lineRule="auto"/>
                    <w:jc w:val="center"/>
                    <w:rPr>
                      <w:sz w:val="18"/>
                      <w:szCs w:val="18"/>
                    </w:rPr>
                  </w:pPr>
                  <w:r>
                    <w:rPr>
                      <w:rFonts w:hint="eastAsia"/>
                      <w:sz w:val="18"/>
                      <w:szCs w:val="18"/>
                    </w:rPr>
                    <w:t>Cd</w:t>
                  </w:r>
                </w:p>
              </w:tc>
              <w:tc>
                <w:tcPr>
                  <w:tcW w:w="420" w:type="pct"/>
                  <w:shd w:val="clear" w:color="auto" w:fill="auto"/>
                  <w:vAlign w:val="center"/>
                </w:tcPr>
                <w:p w14:paraId="5B9B6912">
                  <w:pPr>
                    <w:spacing w:line="360" w:lineRule="auto"/>
                    <w:jc w:val="center"/>
                    <w:rPr>
                      <w:sz w:val="18"/>
                      <w:szCs w:val="18"/>
                    </w:rPr>
                  </w:pPr>
                  <w:r>
                    <w:rPr>
                      <w:rFonts w:hint="eastAsia"/>
                      <w:sz w:val="18"/>
                      <w:szCs w:val="18"/>
                    </w:rPr>
                    <w:t>Hg</w:t>
                  </w:r>
                </w:p>
              </w:tc>
              <w:tc>
                <w:tcPr>
                  <w:tcW w:w="451" w:type="pct"/>
                  <w:shd w:val="clear" w:color="auto" w:fill="auto"/>
                  <w:vAlign w:val="center"/>
                </w:tcPr>
                <w:p w14:paraId="3168CBE2">
                  <w:pPr>
                    <w:spacing w:line="360" w:lineRule="auto"/>
                    <w:jc w:val="center"/>
                    <w:rPr>
                      <w:sz w:val="18"/>
                      <w:szCs w:val="18"/>
                    </w:rPr>
                  </w:pPr>
                  <w:r>
                    <w:rPr>
                      <w:rFonts w:hint="eastAsia"/>
                      <w:sz w:val="18"/>
                      <w:szCs w:val="18"/>
                    </w:rPr>
                    <w:t>As</w:t>
                  </w:r>
                </w:p>
              </w:tc>
              <w:tc>
                <w:tcPr>
                  <w:tcW w:w="441" w:type="pct"/>
                  <w:shd w:val="clear" w:color="auto" w:fill="auto"/>
                  <w:vAlign w:val="center"/>
                </w:tcPr>
                <w:p w14:paraId="14FBDE97">
                  <w:pPr>
                    <w:spacing w:line="360" w:lineRule="auto"/>
                    <w:jc w:val="center"/>
                    <w:rPr>
                      <w:sz w:val="18"/>
                      <w:szCs w:val="18"/>
                    </w:rPr>
                  </w:pPr>
                  <w:r>
                    <w:rPr>
                      <w:rFonts w:hint="eastAsia"/>
                      <w:sz w:val="18"/>
                      <w:szCs w:val="18"/>
                    </w:rPr>
                    <w:t>Pb</w:t>
                  </w:r>
                </w:p>
              </w:tc>
              <w:tc>
                <w:tcPr>
                  <w:tcW w:w="431" w:type="pct"/>
                  <w:shd w:val="clear" w:color="auto" w:fill="auto"/>
                  <w:vAlign w:val="center"/>
                </w:tcPr>
                <w:p w14:paraId="13FF154E">
                  <w:pPr>
                    <w:spacing w:line="360" w:lineRule="auto"/>
                    <w:jc w:val="center"/>
                    <w:rPr>
                      <w:sz w:val="18"/>
                      <w:szCs w:val="18"/>
                    </w:rPr>
                  </w:pPr>
                  <w:r>
                    <w:rPr>
                      <w:rFonts w:hint="eastAsia"/>
                      <w:sz w:val="18"/>
                      <w:szCs w:val="18"/>
                    </w:rPr>
                    <w:t>Cr</w:t>
                  </w:r>
                </w:p>
              </w:tc>
              <w:tc>
                <w:tcPr>
                  <w:tcW w:w="486" w:type="pct"/>
                  <w:shd w:val="clear" w:color="auto" w:fill="auto"/>
                  <w:vAlign w:val="center"/>
                </w:tcPr>
                <w:p w14:paraId="38DDE39D">
                  <w:pPr>
                    <w:spacing w:line="360" w:lineRule="auto"/>
                    <w:jc w:val="center"/>
                    <w:rPr>
                      <w:sz w:val="18"/>
                      <w:szCs w:val="18"/>
                    </w:rPr>
                  </w:pPr>
                  <w:r>
                    <w:rPr>
                      <w:rFonts w:hint="eastAsia"/>
                      <w:sz w:val="18"/>
                      <w:szCs w:val="18"/>
                    </w:rPr>
                    <w:t>Tl</w:t>
                  </w:r>
                </w:p>
              </w:tc>
            </w:tr>
            <w:tr w14:paraId="6768F5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tcBorders>
                    <w:bottom w:val="single" w:color="auto" w:sz="4" w:space="0"/>
                  </w:tcBorders>
                  <w:shd w:val="clear" w:color="auto" w:fill="auto"/>
                  <w:vAlign w:val="center"/>
                </w:tcPr>
                <w:p w14:paraId="5F776F35">
                  <w:pPr>
                    <w:spacing w:line="360" w:lineRule="auto"/>
                    <w:jc w:val="center"/>
                    <w:rPr>
                      <w:sz w:val="18"/>
                      <w:szCs w:val="18"/>
                    </w:rPr>
                  </w:pPr>
                  <w:r>
                    <w:rPr>
                      <w:rFonts w:hint="eastAsia"/>
                      <w:sz w:val="18"/>
                      <w:szCs w:val="18"/>
                    </w:rPr>
                    <w:t>尾矿</w:t>
                  </w:r>
                  <w:r>
                    <w:rPr>
                      <w:rFonts w:hint="eastAsia"/>
                      <w:sz w:val="18"/>
                      <w:szCs w:val="18"/>
                      <w:vertAlign w:val="superscript"/>
                    </w:rPr>
                    <w:t>b</w:t>
                  </w:r>
                </w:p>
              </w:tc>
              <w:tc>
                <w:tcPr>
                  <w:tcW w:w="389" w:type="pct"/>
                  <w:tcBorders>
                    <w:bottom w:val="single" w:color="auto" w:sz="4" w:space="0"/>
                  </w:tcBorders>
                  <w:shd w:val="clear" w:color="auto" w:fill="auto"/>
                  <w:vAlign w:val="center"/>
                </w:tcPr>
                <w:p w14:paraId="65525212">
                  <w:pPr>
                    <w:spacing w:line="360" w:lineRule="auto"/>
                    <w:jc w:val="center"/>
                    <w:rPr>
                      <w:sz w:val="18"/>
                      <w:szCs w:val="18"/>
                    </w:rPr>
                  </w:pPr>
                  <w:r>
                    <w:rPr>
                      <w:rFonts w:hint="eastAsia"/>
                      <w:sz w:val="18"/>
                      <w:szCs w:val="18"/>
                    </w:rPr>
                    <w:t>5.87</w:t>
                  </w:r>
                </w:p>
              </w:tc>
              <w:tc>
                <w:tcPr>
                  <w:tcW w:w="420" w:type="pct"/>
                  <w:shd w:val="clear" w:color="auto" w:fill="auto"/>
                  <w:vAlign w:val="center"/>
                </w:tcPr>
                <w:p w14:paraId="1A54E2BB">
                  <w:pPr>
                    <w:spacing w:line="360" w:lineRule="auto"/>
                    <w:jc w:val="center"/>
                    <w:rPr>
                      <w:sz w:val="18"/>
                      <w:szCs w:val="18"/>
                    </w:rPr>
                  </w:pPr>
                  <w:r>
                    <w:rPr>
                      <w:rFonts w:hint="eastAsia"/>
                      <w:sz w:val="18"/>
                      <w:szCs w:val="18"/>
                    </w:rPr>
                    <w:t>16.28</w:t>
                  </w:r>
                </w:p>
              </w:tc>
              <w:tc>
                <w:tcPr>
                  <w:tcW w:w="430" w:type="pct"/>
                  <w:shd w:val="clear" w:color="auto" w:fill="auto"/>
                  <w:vAlign w:val="center"/>
                </w:tcPr>
                <w:p w14:paraId="0BA62080">
                  <w:pPr>
                    <w:spacing w:line="360" w:lineRule="auto"/>
                    <w:jc w:val="center"/>
                    <w:rPr>
                      <w:sz w:val="18"/>
                      <w:szCs w:val="18"/>
                    </w:rPr>
                  </w:pPr>
                  <w:r>
                    <w:rPr>
                      <w:rFonts w:hint="eastAsia"/>
                      <w:sz w:val="18"/>
                      <w:szCs w:val="18"/>
                    </w:rPr>
                    <w:t>31.96</w:t>
                  </w:r>
                </w:p>
              </w:tc>
              <w:tc>
                <w:tcPr>
                  <w:tcW w:w="409" w:type="pct"/>
                  <w:shd w:val="clear" w:color="auto" w:fill="auto"/>
                  <w:vAlign w:val="center"/>
                </w:tcPr>
                <w:p w14:paraId="356A4582">
                  <w:pPr>
                    <w:spacing w:line="360" w:lineRule="auto"/>
                    <w:jc w:val="center"/>
                    <w:rPr>
                      <w:sz w:val="18"/>
                      <w:szCs w:val="18"/>
                    </w:rPr>
                  </w:pPr>
                  <w:r>
                    <w:rPr>
                      <w:rFonts w:hint="eastAsia"/>
                      <w:sz w:val="18"/>
                      <w:szCs w:val="18"/>
                    </w:rPr>
                    <w:t>5.5</w:t>
                  </w:r>
                </w:p>
              </w:tc>
              <w:tc>
                <w:tcPr>
                  <w:tcW w:w="409" w:type="pct"/>
                  <w:shd w:val="clear" w:color="auto" w:fill="auto"/>
                  <w:vAlign w:val="center"/>
                </w:tcPr>
                <w:p w14:paraId="17797D3F">
                  <w:pPr>
                    <w:spacing w:line="360" w:lineRule="auto"/>
                    <w:jc w:val="center"/>
                    <w:rPr>
                      <w:sz w:val="18"/>
                      <w:szCs w:val="18"/>
                    </w:rPr>
                  </w:pPr>
                  <w:r>
                    <w:rPr>
                      <w:rFonts w:hint="eastAsia"/>
                      <w:sz w:val="18"/>
                      <w:szCs w:val="18"/>
                    </w:rPr>
                    <w:t>0.62</w:t>
                  </w:r>
                </w:p>
              </w:tc>
              <w:tc>
                <w:tcPr>
                  <w:tcW w:w="420" w:type="pct"/>
                  <w:shd w:val="clear" w:color="auto" w:fill="auto"/>
                  <w:vAlign w:val="center"/>
                </w:tcPr>
                <w:p w14:paraId="1B5C7E4C">
                  <w:pPr>
                    <w:spacing w:line="360" w:lineRule="auto"/>
                    <w:jc w:val="center"/>
                    <w:rPr>
                      <w:sz w:val="18"/>
                      <w:szCs w:val="18"/>
                    </w:rPr>
                  </w:pPr>
                  <w:r>
                    <w:rPr>
                      <w:rFonts w:hint="eastAsia"/>
                      <w:sz w:val="18"/>
                      <w:szCs w:val="18"/>
                    </w:rPr>
                    <w:t>0.147</w:t>
                  </w:r>
                </w:p>
              </w:tc>
              <w:tc>
                <w:tcPr>
                  <w:tcW w:w="451" w:type="pct"/>
                  <w:shd w:val="clear" w:color="auto" w:fill="auto"/>
                  <w:vAlign w:val="center"/>
                </w:tcPr>
                <w:p w14:paraId="65213EA9">
                  <w:pPr>
                    <w:spacing w:line="360" w:lineRule="auto"/>
                    <w:jc w:val="center"/>
                    <w:rPr>
                      <w:sz w:val="18"/>
                      <w:szCs w:val="18"/>
                    </w:rPr>
                  </w:pPr>
                  <w:r>
                    <w:rPr>
                      <w:rFonts w:hint="eastAsia"/>
                      <w:sz w:val="18"/>
                      <w:szCs w:val="18"/>
                    </w:rPr>
                    <w:t>12</w:t>
                  </w:r>
                </w:p>
              </w:tc>
              <w:tc>
                <w:tcPr>
                  <w:tcW w:w="441" w:type="pct"/>
                  <w:shd w:val="clear" w:color="auto" w:fill="auto"/>
                  <w:vAlign w:val="center"/>
                </w:tcPr>
                <w:p w14:paraId="69A4961E">
                  <w:pPr>
                    <w:spacing w:line="360" w:lineRule="auto"/>
                    <w:jc w:val="center"/>
                    <w:rPr>
                      <w:sz w:val="18"/>
                      <w:szCs w:val="18"/>
                    </w:rPr>
                  </w:pPr>
                  <w:r>
                    <w:rPr>
                      <w:rFonts w:hint="eastAsia"/>
                      <w:sz w:val="18"/>
                      <w:szCs w:val="18"/>
                    </w:rPr>
                    <w:t>41.4</w:t>
                  </w:r>
                </w:p>
              </w:tc>
              <w:tc>
                <w:tcPr>
                  <w:tcW w:w="431" w:type="pct"/>
                  <w:shd w:val="clear" w:color="auto" w:fill="auto"/>
                  <w:vAlign w:val="center"/>
                </w:tcPr>
                <w:p w14:paraId="049D6300">
                  <w:pPr>
                    <w:spacing w:line="360" w:lineRule="auto"/>
                    <w:jc w:val="center"/>
                    <w:rPr>
                      <w:sz w:val="18"/>
                      <w:szCs w:val="18"/>
                    </w:rPr>
                  </w:pPr>
                  <w:r>
                    <w:rPr>
                      <w:rFonts w:hint="eastAsia"/>
                      <w:sz w:val="18"/>
                      <w:szCs w:val="18"/>
                    </w:rPr>
                    <w:t>27.8</w:t>
                  </w:r>
                </w:p>
              </w:tc>
              <w:tc>
                <w:tcPr>
                  <w:tcW w:w="486" w:type="pct"/>
                  <w:shd w:val="clear" w:color="auto" w:fill="auto"/>
                  <w:vAlign w:val="center"/>
                </w:tcPr>
                <w:p w14:paraId="296BAE51">
                  <w:pPr>
                    <w:spacing w:line="360" w:lineRule="auto"/>
                    <w:jc w:val="center"/>
                    <w:rPr>
                      <w:sz w:val="18"/>
                      <w:szCs w:val="18"/>
                    </w:rPr>
                  </w:pPr>
                  <w:r>
                    <w:rPr>
                      <w:rFonts w:hint="eastAsia"/>
                      <w:sz w:val="18"/>
                      <w:szCs w:val="18"/>
                    </w:rPr>
                    <w:t>0.24</w:t>
                  </w:r>
                </w:p>
              </w:tc>
            </w:tr>
            <w:tr w14:paraId="44F7D3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tcBorders>
                    <w:top w:val="single" w:color="auto" w:sz="4" w:space="0"/>
                    <w:bottom w:val="single" w:color="auto" w:sz="4" w:space="0"/>
                  </w:tcBorders>
                  <w:shd w:val="clear" w:color="auto" w:fill="auto"/>
                  <w:vAlign w:val="center"/>
                </w:tcPr>
                <w:p w14:paraId="2E0CB2F6">
                  <w:pPr>
                    <w:spacing w:line="360" w:lineRule="auto"/>
                    <w:jc w:val="center"/>
                    <w:rPr>
                      <w:sz w:val="18"/>
                      <w:szCs w:val="18"/>
                    </w:rPr>
                  </w:pPr>
                  <w:r>
                    <w:rPr>
                      <w:rFonts w:hint="eastAsia"/>
                      <w:sz w:val="18"/>
                      <w:szCs w:val="18"/>
                    </w:rPr>
                    <w:t>尾矿</w:t>
                  </w:r>
                  <w:r>
                    <w:rPr>
                      <w:rFonts w:hint="eastAsia"/>
                      <w:sz w:val="18"/>
                      <w:szCs w:val="18"/>
                      <w:vertAlign w:val="superscript"/>
                    </w:rPr>
                    <w:t>c</w:t>
                  </w:r>
                </w:p>
              </w:tc>
              <w:tc>
                <w:tcPr>
                  <w:tcW w:w="389" w:type="pct"/>
                  <w:tcBorders>
                    <w:top w:val="single" w:color="auto" w:sz="4" w:space="0"/>
                    <w:bottom w:val="single" w:color="auto" w:sz="4" w:space="0"/>
                  </w:tcBorders>
                  <w:shd w:val="clear" w:color="auto" w:fill="auto"/>
                  <w:vAlign w:val="center"/>
                </w:tcPr>
                <w:p w14:paraId="6281D682">
                  <w:pPr>
                    <w:spacing w:line="360" w:lineRule="auto"/>
                    <w:jc w:val="center"/>
                    <w:rPr>
                      <w:sz w:val="18"/>
                      <w:szCs w:val="18"/>
                    </w:rPr>
                  </w:pPr>
                  <w:r>
                    <w:rPr>
                      <w:rFonts w:hint="eastAsia"/>
                      <w:sz w:val="18"/>
                      <w:szCs w:val="18"/>
                    </w:rPr>
                    <w:t>5.54</w:t>
                  </w:r>
                </w:p>
              </w:tc>
              <w:tc>
                <w:tcPr>
                  <w:tcW w:w="420" w:type="pct"/>
                  <w:shd w:val="clear" w:color="auto" w:fill="auto"/>
                  <w:vAlign w:val="center"/>
                </w:tcPr>
                <w:p w14:paraId="76CA44F2">
                  <w:pPr>
                    <w:spacing w:line="360" w:lineRule="auto"/>
                    <w:jc w:val="center"/>
                    <w:rPr>
                      <w:sz w:val="18"/>
                      <w:szCs w:val="18"/>
                    </w:rPr>
                  </w:pPr>
                  <w:r>
                    <w:rPr>
                      <w:rFonts w:hint="eastAsia"/>
                      <w:sz w:val="18"/>
                      <w:szCs w:val="18"/>
                    </w:rPr>
                    <w:t>16.45</w:t>
                  </w:r>
                </w:p>
              </w:tc>
              <w:tc>
                <w:tcPr>
                  <w:tcW w:w="430" w:type="pct"/>
                  <w:shd w:val="clear" w:color="auto" w:fill="auto"/>
                  <w:vAlign w:val="center"/>
                </w:tcPr>
                <w:p w14:paraId="3CDCC1BF">
                  <w:pPr>
                    <w:spacing w:line="360" w:lineRule="auto"/>
                    <w:jc w:val="center"/>
                    <w:rPr>
                      <w:sz w:val="18"/>
                      <w:szCs w:val="18"/>
                    </w:rPr>
                  </w:pPr>
                  <w:r>
                    <w:rPr>
                      <w:rFonts w:hint="eastAsia"/>
                      <w:sz w:val="18"/>
                      <w:szCs w:val="18"/>
                    </w:rPr>
                    <w:t>31.82</w:t>
                  </w:r>
                </w:p>
              </w:tc>
              <w:tc>
                <w:tcPr>
                  <w:tcW w:w="409" w:type="pct"/>
                  <w:shd w:val="clear" w:color="auto" w:fill="auto"/>
                  <w:vAlign w:val="center"/>
                </w:tcPr>
                <w:p w14:paraId="1BA10FAB">
                  <w:pPr>
                    <w:spacing w:line="360" w:lineRule="auto"/>
                    <w:jc w:val="center"/>
                    <w:rPr>
                      <w:sz w:val="18"/>
                      <w:szCs w:val="18"/>
                    </w:rPr>
                  </w:pPr>
                  <w:r>
                    <w:rPr>
                      <w:rFonts w:hint="eastAsia"/>
                      <w:sz w:val="18"/>
                      <w:szCs w:val="18"/>
                    </w:rPr>
                    <w:t>5.48</w:t>
                  </w:r>
                </w:p>
              </w:tc>
              <w:tc>
                <w:tcPr>
                  <w:tcW w:w="409" w:type="pct"/>
                  <w:shd w:val="clear" w:color="auto" w:fill="auto"/>
                  <w:vAlign w:val="center"/>
                </w:tcPr>
                <w:p w14:paraId="4137FE36">
                  <w:pPr>
                    <w:spacing w:line="360" w:lineRule="auto"/>
                    <w:jc w:val="center"/>
                    <w:rPr>
                      <w:sz w:val="18"/>
                      <w:szCs w:val="18"/>
                    </w:rPr>
                  </w:pPr>
                  <w:r>
                    <w:rPr>
                      <w:rFonts w:hint="eastAsia"/>
                      <w:sz w:val="18"/>
                      <w:szCs w:val="18"/>
                    </w:rPr>
                    <w:t>0.69</w:t>
                  </w:r>
                </w:p>
              </w:tc>
              <w:tc>
                <w:tcPr>
                  <w:tcW w:w="420" w:type="pct"/>
                  <w:shd w:val="clear" w:color="auto" w:fill="auto"/>
                  <w:vAlign w:val="center"/>
                </w:tcPr>
                <w:p w14:paraId="552A3D70">
                  <w:pPr>
                    <w:spacing w:line="360" w:lineRule="auto"/>
                    <w:jc w:val="center"/>
                    <w:rPr>
                      <w:sz w:val="18"/>
                      <w:szCs w:val="18"/>
                    </w:rPr>
                  </w:pPr>
                  <w:r>
                    <w:rPr>
                      <w:rFonts w:hint="eastAsia"/>
                      <w:sz w:val="18"/>
                      <w:szCs w:val="18"/>
                    </w:rPr>
                    <w:t>0.172</w:t>
                  </w:r>
                </w:p>
              </w:tc>
              <w:tc>
                <w:tcPr>
                  <w:tcW w:w="451" w:type="pct"/>
                  <w:shd w:val="clear" w:color="auto" w:fill="auto"/>
                  <w:vAlign w:val="center"/>
                </w:tcPr>
                <w:p w14:paraId="7424DD35">
                  <w:pPr>
                    <w:spacing w:line="360" w:lineRule="auto"/>
                    <w:jc w:val="center"/>
                    <w:rPr>
                      <w:sz w:val="18"/>
                      <w:szCs w:val="18"/>
                    </w:rPr>
                  </w:pPr>
                  <w:r>
                    <w:rPr>
                      <w:rFonts w:hint="eastAsia"/>
                      <w:sz w:val="18"/>
                      <w:szCs w:val="18"/>
                    </w:rPr>
                    <w:t>12</w:t>
                  </w:r>
                </w:p>
              </w:tc>
              <w:tc>
                <w:tcPr>
                  <w:tcW w:w="441" w:type="pct"/>
                  <w:shd w:val="clear" w:color="auto" w:fill="auto"/>
                  <w:vAlign w:val="center"/>
                </w:tcPr>
                <w:p w14:paraId="4AAED765">
                  <w:pPr>
                    <w:spacing w:line="360" w:lineRule="auto"/>
                    <w:jc w:val="center"/>
                    <w:rPr>
                      <w:sz w:val="18"/>
                      <w:szCs w:val="18"/>
                    </w:rPr>
                  </w:pPr>
                  <w:r>
                    <w:rPr>
                      <w:rFonts w:hint="eastAsia"/>
                      <w:sz w:val="18"/>
                      <w:szCs w:val="18"/>
                    </w:rPr>
                    <w:t>44.8</w:t>
                  </w:r>
                </w:p>
              </w:tc>
              <w:tc>
                <w:tcPr>
                  <w:tcW w:w="431" w:type="pct"/>
                  <w:shd w:val="clear" w:color="auto" w:fill="auto"/>
                  <w:vAlign w:val="center"/>
                </w:tcPr>
                <w:p w14:paraId="2D33B9F0">
                  <w:pPr>
                    <w:spacing w:line="360" w:lineRule="auto"/>
                    <w:jc w:val="center"/>
                    <w:rPr>
                      <w:sz w:val="18"/>
                      <w:szCs w:val="18"/>
                    </w:rPr>
                  </w:pPr>
                  <w:r>
                    <w:rPr>
                      <w:rFonts w:hint="eastAsia"/>
                      <w:sz w:val="18"/>
                      <w:szCs w:val="18"/>
                    </w:rPr>
                    <w:t>27.9</w:t>
                  </w:r>
                </w:p>
              </w:tc>
              <w:tc>
                <w:tcPr>
                  <w:tcW w:w="486" w:type="pct"/>
                  <w:shd w:val="clear" w:color="auto" w:fill="auto"/>
                  <w:vAlign w:val="center"/>
                </w:tcPr>
                <w:p w14:paraId="323A4957">
                  <w:pPr>
                    <w:spacing w:line="360" w:lineRule="auto"/>
                    <w:jc w:val="center"/>
                    <w:rPr>
                      <w:sz w:val="18"/>
                      <w:szCs w:val="18"/>
                    </w:rPr>
                  </w:pPr>
                  <w:r>
                    <w:rPr>
                      <w:rFonts w:hint="eastAsia"/>
                      <w:sz w:val="18"/>
                      <w:szCs w:val="18"/>
                    </w:rPr>
                    <w:t>0.23</w:t>
                  </w:r>
                </w:p>
              </w:tc>
            </w:tr>
            <w:tr w14:paraId="29BC0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358" w:type="pct"/>
                  <w:gridSpan w:val="5"/>
                  <w:tcBorders>
                    <w:top w:val="single" w:color="auto" w:sz="4" w:space="0"/>
                    <w:bottom w:val="single" w:color="auto" w:sz="4" w:space="0"/>
                  </w:tcBorders>
                  <w:shd w:val="clear" w:color="auto" w:fill="auto"/>
                  <w:vAlign w:val="center"/>
                </w:tcPr>
                <w:p w14:paraId="602635CA">
                  <w:pPr>
                    <w:spacing w:line="360" w:lineRule="auto"/>
                    <w:jc w:val="center"/>
                    <w:rPr>
                      <w:sz w:val="18"/>
                      <w:szCs w:val="18"/>
                    </w:rPr>
                  </w:pPr>
                  <w:r>
                    <w:rPr>
                      <w:rFonts w:hint="eastAsia"/>
                      <w:sz w:val="18"/>
                      <w:szCs w:val="18"/>
                    </w:rPr>
                    <w:t>《有机无机复混肥料》GB/T18877-2020标准</w:t>
                  </w:r>
                </w:p>
              </w:tc>
              <w:tc>
                <w:tcPr>
                  <w:tcW w:w="409" w:type="pct"/>
                  <w:shd w:val="clear" w:color="auto" w:fill="auto"/>
                  <w:vAlign w:val="center"/>
                </w:tcPr>
                <w:p w14:paraId="16FED4CB">
                  <w:pPr>
                    <w:spacing w:line="360" w:lineRule="auto"/>
                    <w:jc w:val="center"/>
                    <w:rPr>
                      <w:sz w:val="18"/>
                      <w:szCs w:val="18"/>
                    </w:rPr>
                  </w:pPr>
                  <w:r>
                    <w:rPr>
                      <w:rFonts w:hint="eastAsia"/>
                      <w:sz w:val="18"/>
                      <w:szCs w:val="18"/>
                    </w:rPr>
                    <w:t>10</w:t>
                  </w:r>
                </w:p>
              </w:tc>
              <w:tc>
                <w:tcPr>
                  <w:tcW w:w="420" w:type="pct"/>
                  <w:shd w:val="clear" w:color="auto" w:fill="auto"/>
                  <w:vAlign w:val="center"/>
                </w:tcPr>
                <w:p w14:paraId="50B98D61">
                  <w:pPr>
                    <w:spacing w:line="360" w:lineRule="auto"/>
                    <w:jc w:val="center"/>
                    <w:rPr>
                      <w:sz w:val="18"/>
                      <w:szCs w:val="18"/>
                    </w:rPr>
                  </w:pPr>
                  <w:r>
                    <w:rPr>
                      <w:rFonts w:hint="eastAsia"/>
                      <w:sz w:val="18"/>
                      <w:szCs w:val="18"/>
                    </w:rPr>
                    <w:t>5</w:t>
                  </w:r>
                </w:p>
              </w:tc>
              <w:tc>
                <w:tcPr>
                  <w:tcW w:w="451" w:type="pct"/>
                  <w:shd w:val="clear" w:color="auto" w:fill="auto"/>
                  <w:vAlign w:val="center"/>
                </w:tcPr>
                <w:p w14:paraId="253F9EC9">
                  <w:pPr>
                    <w:spacing w:line="360" w:lineRule="auto"/>
                    <w:jc w:val="center"/>
                    <w:rPr>
                      <w:sz w:val="18"/>
                      <w:szCs w:val="18"/>
                    </w:rPr>
                  </w:pPr>
                  <w:r>
                    <w:rPr>
                      <w:rFonts w:hint="eastAsia"/>
                      <w:sz w:val="18"/>
                      <w:szCs w:val="18"/>
                    </w:rPr>
                    <w:t>50</w:t>
                  </w:r>
                </w:p>
              </w:tc>
              <w:tc>
                <w:tcPr>
                  <w:tcW w:w="441" w:type="pct"/>
                  <w:shd w:val="clear" w:color="auto" w:fill="auto"/>
                  <w:vAlign w:val="center"/>
                </w:tcPr>
                <w:p w14:paraId="7114F549">
                  <w:pPr>
                    <w:spacing w:line="360" w:lineRule="auto"/>
                    <w:jc w:val="center"/>
                    <w:rPr>
                      <w:sz w:val="18"/>
                      <w:szCs w:val="18"/>
                    </w:rPr>
                  </w:pPr>
                  <w:r>
                    <w:rPr>
                      <w:rFonts w:hint="eastAsia"/>
                      <w:sz w:val="18"/>
                      <w:szCs w:val="18"/>
                    </w:rPr>
                    <w:t>150</w:t>
                  </w:r>
                </w:p>
              </w:tc>
              <w:tc>
                <w:tcPr>
                  <w:tcW w:w="431" w:type="pct"/>
                  <w:shd w:val="clear" w:color="auto" w:fill="auto"/>
                  <w:vAlign w:val="center"/>
                </w:tcPr>
                <w:p w14:paraId="6F395AD3">
                  <w:pPr>
                    <w:spacing w:line="360" w:lineRule="auto"/>
                    <w:jc w:val="center"/>
                    <w:rPr>
                      <w:sz w:val="18"/>
                      <w:szCs w:val="18"/>
                    </w:rPr>
                  </w:pPr>
                  <w:r>
                    <w:rPr>
                      <w:rFonts w:hint="eastAsia"/>
                      <w:sz w:val="18"/>
                      <w:szCs w:val="18"/>
                    </w:rPr>
                    <w:t>500</w:t>
                  </w:r>
                </w:p>
              </w:tc>
              <w:tc>
                <w:tcPr>
                  <w:tcW w:w="486" w:type="pct"/>
                  <w:shd w:val="clear" w:color="auto" w:fill="auto"/>
                  <w:vAlign w:val="center"/>
                </w:tcPr>
                <w:p w14:paraId="5B82F6D0">
                  <w:pPr>
                    <w:spacing w:line="360" w:lineRule="auto"/>
                    <w:jc w:val="center"/>
                    <w:rPr>
                      <w:sz w:val="18"/>
                      <w:szCs w:val="18"/>
                    </w:rPr>
                  </w:pPr>
                  <w:r>
                    <w:rPr>
                      <w:rFonts w:hint="eastAsia"/>
                      <w:sz w:val="18"/>
                      <w:szCs w:val="18"/>
                    </w:rPr>
                    <w:t>/</w:t>
                  </w:r>
                </w:p>
              </w:tc>
            </w:tr>
            <w:tr w14:paraId="0CB756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000" w:type="pct"/>
                  <w:gridSpan w:val="11"/>
                  <w:tcBorders>
                    <w:top w:val="single" w:color="auto" w:sz="4" w:space="0"/>
                  </w:tcBorders>
                  <w:shd w:val="clear" w:color="auto" w:fill="auto"/>
                  <w:vAlign w:val="center"/>
                </w:tcPr>
                <w:p w14:paraId="4D6AFEB0">
                  <w:pPr>
                    <w:spacing w:line="360" w:lineRule="auto"/>
                    <w:rPr>
                      <w:sz w:val="18"/>
                      <w:szCs w:val="18"/>
                    </w:rPr>
                  </w:pPr>
                  <w:r>
                    <w:rPr>
                      <w:rFonts w:hint="eastAsia"/>
                      <w:sz w:val="18"/>
                      <w:szCs w:val="18"/>
                    </w:rPr>
                    <w:t>注：a为图2-1中监测数据，b为附件4-1中监测数据，c为附件4-2中监测数据。</w:t>
                  </w:r>
                </w:p>
              </w:tc>
            </w:tr>
          </w:tbl>
          <w:p w14:paraId="79E32AED">
            <w:pPr>
              <w:spacing w:line="360" w:lineRule="auto"/>
              <w:ind w:firstLine="480" w:firstLineChars="200"/>
              <w:jc w:val="left"/>
            </w:pPr>
            <w:r>
              <w:rPr>
                <w:rFonts w:hint="eastAsia"/>
                <w:sz w:val="24"/>
              </w:rPr>
              <w:t>由尾矿的成分监测结果可看出，主要的元素构成为</w:t>
            </w:r>
            <w:r>
              <w:rPr>
                <w:rFonts w:hint="eastAsia"/>
                <w:bCs/>
                <w:sz w:val="24"/>
              </w:rPr>
              <w:t>P、Mg、Ca、K、Na等元素，其中Ca最多，其次为Mg、P、Na，可为有机肥料中补充植物生产所需的其他养分元素。</w:t>
            </w:r>
            <w:r>
              <w:rPr>
                <w:rFonts w:hint="eastAsia"/>
                <w:sz w:val="24"/>
              </w:rPr>
              <w:t>尾矿</w:t>
            </w:r>
            <w:r>
              <w:rPr>
                <w:rFonts w:hint="eastAsia"/>
                <w:bCs/>
                <w:sz w:val="24"/>
              </w:rPr>
              <w:t>成分中的重金属含量较低，最高的为Pb，其含量为44.8mg/kg，其次为Cr、As、Cd、Tl、Hg，尾矿中各重金属的含量均低于《有机无机复混肥料》（GB/T18877-2020）中的技术指标要求。</w:t>
            </w:r>
          </w:p>
          <w:p w14:paraId="0D7A4D5D">
            <w:pPr>
              <w:spacing w:line="360" w:lineRule="auto"/>
              <w:ind w:firstLine="480" w:firstLineChars="200"/>
              <w:jc w:val="left"/>
              <w:rPr>
                <w:sz w:val="24"/>
              </w:rPr>
            </w:pPr>
            <w:r>
              <w:rPr>
                <w:rFonts w:hint="eastAsia"/>
                <w:sz w:val="24"/>
              </w:rPr>
              <w:t>③</w:t>
            </w:r>
            <w:r>
              <w:rPr>
                <w:sz w:val="24"/>
              </w:rPr>
              <w:t>尾矿</w:t>
            </w:r>
            <w:r>
              <w:rPr>
                <w:rFonts w:hint="eastAsia"/>
                <w:sz w:val="24"/>
              </w:rPr>
              <w:t>的属性鉴别</w:t>
            </w:r>
          </w:p>
          <w:p w14:paraId="4FE70B6F">
            <w:pPr>
              <w:spacing w:line="360" w:lineRule="auto"/>
              <w:ind w:firstLine="480" w:firstLineChars="200"/>
              <w:jc w:val="left"/>
              <w:rPr>
                <w:sz w:val="24"/>
              </w:rPr>
            </w:pPr>
            <w:r>
              <w:rPr>
                <w:rFonts w:hint="eastAsia"/>
                <w:sz w:val="24"/>
              </w:rPr>
              <w:t>根据云南厚望环保科技有限公司</w:t>
            </w:r>
            <w:r>
              <w:rPr>
                <w:sz w:val="24"/>
              </w:rPr>
              <w:t>按照《危险废物鉴别标准浸出毒性鉴别》（GB5085.3-2007）的方法对尾矿进行了固废属性鉴定</w:t>
            </w:r>
            <w:r>
              <w:rPr>
                <w:rFonts w:hint="eastAsia"/>
                <w:sz w:val="24"/>
              </w:rPr>
              <w:t>（见附件5）</w:t>
            </w:r>
            <w:r>
              <w:rPr>
                <w:sz w:val="24"/>
              </w:rPr>
              <w:t>，见下表。</w:t>
            </w:r>
          </w:p>
          <w:p w14:paraId="6B273399">
            <w:pPr>
              <w:spacing w:line="360" w:lineRule="auto"/>
              <w:ind w:firstLine="405" w:firstLineChars="192"/>
              <w:jc w:val="center"/>
              <w:rPr>
                <w:b/>
                <w:bCs/>
              </w:rPr>
            </w:pPr>
            <w:r>
              <w:rPr>
                <w:b/>
                <w:bCs/>
              </w:rPr>
              <w:t>表</w:t>
            </w:r>
            <w:r>
              <w:rPr>
                <w:rFonts w:hint="eastAsia"/>
                <w:b/>
                <w:bCs/>
              </w:rPr>
              <w:t>2-13 尾矿</w:t>
            </w:r>
            <w:r>
              <w:rPr>
                <w:b/>
                <w:bCs/>
              </w:rPr>
              <w:t>浸出毒性检测结果</w:t>
            </w:r>
            <w:r>
              <w:rPr>
                <w:rFonts w:hint="eastAsia"/>
                <w:b/>
                <w:bCs/>
              </w:rPr>
              <w:t xml:space="preserve">  （单位mg/L）</w:t>
            </w:r>
          </w:p>
          <w:tbl>
            <w:tblPr>
              <w:tblStyle w:val="23"/>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65"/>
              <w:gridCol w:w="867"/>
              <w:gridCol w:w="916"/>
              <w:gridCol w:w="816"/>
              <w:gridCol w:w="866"/>
              <w:gridCol w:w="936"/>
              <w:gridCol w:w="949"/>
              <w:gridCol w:w="670"/>
            </w:tblGrid>
            <w:tr w14:paraId="5418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restart"/>
                  <w:vAlign w:val="center"/>
                </w:tcPr>
                <w:p w14:paraId="1F2D5629">
                  <w:pPr>
                    <w:adjustRightInd w:val="0"/>
                    <w:jc w:val="center"/>
                    <w:rPr>
                      <w:bCs/>
                      <w:szCs w:val="21"/>
                    </w:rPr>
                  </w:pPr>
                  <w:r>
                    <w:rPr>
                      <w:bCs/>
                      <w:szCs w:val="21"/>
                    </w:rPr>
                    <w:t>样品名称</w:t>
                  </w:r>
                </w:p>
              </w:tc>
              <w:tc>
                <w:tcPr>
                  <w:tcW w:w="742" w:type="pct"/>
                  <w:vMerge w:val="restart"/>
                  <w:vAlign w:val="center"/>
                </w:tcPr>
                <w:p w14:paraId="1C28E9D0">
                  <w:pPr>
                    <w:adjustRightInd w:val="0"/>
                    <w:jc w:val="center"/>
                    <w:rPr>
                      <w:bCs/>
                      <w:szCs w:val="21"/>
                    </w:rPr>
                  </w:pPr>
                  <w:r>
                    <w:rPr>
                      <w:bCs/>
                      <w:szCs w:val="21"/>
                    </w:rPr>
                    <w:t>检测项目</w:t>
                  </w:r>
                </w:p>
              </w:tc>
              <w:tc>
                <w:tcPr>
                  <w:tcW w:w="2805" w:type="pct"/>
                  <w:gridSpan w:val="5"/>
                  <w:vAlign w:val="center"/>
                </w:tcPr>
                <w:p w14:paraId="5157263D">
                  <w:pPr>
                    <w:adjustRightInd w:val="0"/>
                    <w:jc w:val="center"/>
                    <w:rPr>
                      <w:bCs/>
                      <w:szCs w:val="21"/>
                    </w:rPr>
                  </w:pPr>
                  <w:r>
                    <w:rPr>
                      <w:bCs/>
                      <w:szCs w:val="21"/>
                    </w:rPr>
                    <w:t>检测结果</w:t>
                  </w:r>
                </w:p>
              </w:tc>
              <w:tc>
                <w:tcPr>
                  <w:tcW w:w="605" w:type="pct"/>
                  <w:vAlign w:val="center"/>
                </w:tcPr>
                <w:p w14:paraId="0620BEF6">
                  <w:pPr>
                    <w:adjustRightInd w:val="0"/>
                    <w:jc w:val="center"/>
                    <w:rPr>
                      <w:bCs/>
                      <w:szCs w:val="21"/>
                    </w:rPr>
                  </w:pPr>
                  <w:r>
                    <w:rPr>
                      <w:bCs/>
                      <w:szCs w:val="21"/>
                    </w:rPr>
                    <w:t>GB5085.3-2007</w:t>
                  </w:r>
                </w:p>
              </w:tc>
              <w:tc>
                <w:tcPr>
                  <w:tcW w:w="427" w:type="pct"/>
                  <w:vAlign w:val="center"/>
                </w:tcPr>
                <w:p w14:paraId="286F6347">
                  <w:pPr>
                    <w:adjustRightInd w:val="0"/>
                    <w:jc w:val="center"/>
                    <w:rPr>
                      <w:bCs/>
                      <w:szCs w:val="21"/>
                    </w:rPr>
                  </w:pPr>
                  <w:r>
                    <w:rPr>
                      <w:rFonts w:hint="eastAsia"/>
                      <w:bCs/>
                      <w:szCs w:val="21"/>
                    </w:rPr>
                    <w:t>判定</w:t>
                  </w:r>
                </w:p>
              </w:tc>
            </w:tr>
            <w:tr w14:paraId="6E0D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52E26ED9">
                  <w:pPr>
                    <w:adjustRightInd w:val="0"/>
                    <w:jc w:val="center"/>
                    <w:rPr>
                      <w:bCs/>
                      <w:szCs w:val="21"/>
                    </w:rPr>
                  </w:pPr>
                </w:p>
              </w:tc>
              <w:tc>
                <w:tcPr>
                  <w:tcW w:w="742" w:type="pct"/>
                  <w:vMerge w:val="continue"/>
                  <w:vAlign w:val="center"/>
                </w:tcPr>
                <w:p w14:paraId="2840DDFC">
                  <w:pPr>
                    <w:adjustRightInd w:val="0"/>
                    <w:jc w:val="center"/>
                    <w:rPr>
                      <w:bCs/>
                      <w:szCs w:val="21"/>
                    </w:rPr>
                  </w:pPr>
                </w:p>
              </w:tc>
              <w:tc>
                <w:tcPr>
                  <w:tcW w:w="552" w:type="pct"/>
                  <w:vAlign w:val="center"/>
                </w:tcPr>
                <w:p w14:paraId="20C00FCC">
                  <w:pPr>
                    <w:adjustRightInd w:val="0"/>
                    <w:jc w:val="center"/>
                    <w:rPr>
                      <w:bCs/>
                      <w:szCs w:val="21"/>
                    </w:rPr>
                  </w:pPr>
                  <w:r>
                    <w:rPr>
                      <w:rFonts w:hint="eastAsia"/>
                      <w:bCs/>
                      <w:szCs w:val="21"/>
                    </w:rPr>
                    <w:t>1#</w:t>
                  </w:r>
                </w:p>
              </w:tc>
              <w:tc>
                <w:tcPr>
                  <w:tcW w:w="584" w:type="pct"/>
                  <w:vAlign w:val="center"/>
                </w:tcPr>
                <w:p w14:paraId="75AD92AA">
                  <w:pPr>
                    <w:adjustRightInd w:val="0"/>
                    <w:jc w:val="center"/>
                    <w:rPr>
                      <w:bCs/>
                      <w:szCs w:val="21"/>
                    </w:rPr>
                  </w:pPr>
                  <w:r>
                    <w:rPr>
                      <w:rFonts w:hint="eastAsia"/>
                      <w:bCs/>
                      <w:szCs w:val="21"/>
                    </w:rPr>
                    <w:t>2#</w:t>
                  </w:r>
                </w:p>
              </w:tc>
              <w:tc>
                <w:tcPr>
                  <w:tcW w:w="520" w:type="pct"/>
                  <w:vAlign w:val="center"/>
                </w:tcPr>
                <w:p w14:paraId="2C82B804">
                  <w:pPr>
                    <w:adjustRightInd w:val="0"/>
                    <w:jc w:val="center"/>
                    <w:rPr>
                      <w:bCs/>
                      <w:szCs w:val="21"/>
                    </w:rPr>
                  </w:pPr>
                  <w:r>
                    <w:rPr>
                      <w:rFonts w:hint="eastAsia"/>
                      <w:bCs/>
                      <w:szCs w:val="21"/>
                    </w:rPr>
                    <w:t>3#</w:t>
                  </w:r>
                </w:p>
              </w:tc>
              <w:tc>
                <w:tcPr>
                  <w:tcW w:w="552" w:type="pct"/>
                  <w:vAlign w:val="center"/>
                </w:tcPr>
                <w:p w14:paraId="3A80337F">
                  <w:pPr>
                    <w:adjustRightInd w:val="0"/>
                    <w:jc w:val="center"/>
                    <w:rPr>
                      <w:bCs/>
                      <w:szCs w:val="21"/>
                    </w:rPr>
                  </w:pPr>
                  <w:r>
                    <w:rPr>
                      <w:rFonts w:hint="eastAsia"/>
                      <w:bCs/>
                      <w:szCs w:val="21"/>
                    </w:rPr>
                    <w:t>4#</w:t>
                  </w:r>
                </w:p>
              </w:tc>
              <w:tc>
                <w:tcPr>
                  <w:tcW w:w="594" w:type="pct"/>
                  <w:vAlign w:val="center"/>
                </w:tcPr>
                <w:p w14:paraId="110DA7A9">
                  <w:pPr>
                    <w:adjustRightInd w:val="0"/>
                    <w:jc w:val="center"/>
                    <w:rPr>
                      <w:bCs/>
                      <w:szCs w:val="21"/>
                    </w:rPr>
                  </w:pPr>
                  <w:r>
                    <w:rPr>
                      <w:rFonts w:hint="eastAsia"/>
                      <w:bCs/>
                      <w:szCs w:val="21"/>
                    </w:rPr>
                    <w:t>5#</w:t>
                  </w:r>
                </w:p>
              </w:tc>
              <w:tc>
                <w:tcPr>
                  <w:tcW w:w="605" w:type="pct"/>
                  <w:vAlign w:val="center"/>
                </w:tcPr>
                <w:p w14:paraId="04F6E1EB">
                  <w:pPr>
                    <w:adjustRightInd w:val="0"/>
                    <w:jc w:val="center"/>
                    <w:rPr>
                      <w:bCs/>
                      <w:szCs w:val="21"/>
                    </w:rPr>
                  </w:pPr>
                </w:p>
              </w:tc>
              <w:tc>
                <w:tcPr>
                  <w:tcW w:w="427" w:type="pct"/>
                  <w:vAlign w:val="center"/>
                </w:tcPr>
                <w:p w14:paraId="2ED62E78">
                  <w:pPr>
                    <w:adjustRightInd w:val="0"/>
                    <w:jc w:val="center"/>
                    <w:rPr>
                      <w:bCs/>
                      <w:szCs w:val="21"/>
                    </w:rPr>
                  </w:pPr>
                </w:p>
              </w:tc>
            </w:tr>
            <w:tr w14:paraId="695A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restart"/>
                  <w:vAlign w:val="center"/>
                </w:tcPr>
                <w:p w14:paraId="4BB3E1FE">
                  <w:pPr>
                    <w:adjustRightInd w:val="0"/>
                    <w:jc w:val="center"/>
                    <w:rPr>
                      <w:bCs/>
                      <w:szCs w:val="21"/>
                    </w:rPr>
                  </w:pPr>
                  <w:r>
                    <w:rPr>
                      <w:rFonts w:hint="eastAsia"/>
                      <w:bCs/>
                      <w:szCs w:val="21"/>
                    </w:rPr>
                    <w:t>尾矿</w:t>
                  </w:r>
                </w:p>
              </w:tc>
              <w:tc>
                <w:tcPr>
                  <w:tcW w:w="742" w:type="pct"/>
                  <w:vAlign w:val="center"/>
                </w:tcPr>
                <w:p w14:paraId="44CFB1DE">
                  <w:pPr>
                    <w:adjustRightInd w:val="0"/>
                    <w:jc w:val="center"/>
                    <w:rPr>
                      <w:bCs/>
                      <w:szCs w:val="21"/>
                    </w:rPr>
                  </w:pPr>
                  <w:r>
                    <w:rPr>
                      <w:bCs/>
                      <w:szCs w:val="21"/>
                    </w:rPr>
                    <w:t>铜</w:t>
                  </w:r>
                </w:p>
              </w:tc>
              <w:tc>
                <w:tcPr>
                  <w:tcW w:w="552" w:type="pct"/>
                  <w:vAlign w:val="center"/>
                </w:tcPr>
                <w:p w14:paraId="4A2DC2E7">
                  <w:pPr>
                    <w:adjustRightInd w:val="0"/>
                    <w:jc w:val="center"/>
                    <w:rPr>
                      <w:bCs/>
                      <w:szCs w:val="21"/>
                    </w:rPr>
                  </w:pPr>
                  <w:r>
                    <w:rPr>
                      <w:rFonts w:hint="eastAsia"/>
                      <w:bCs/>
                      <w:szCs w:val="21"/>
                    </w:rPr>
                    <w:t>0.02L</w:t>
                  </w:r>
                </w:p>
              </w:tc>
              <w:tc>
                <w:tcPr>
                  <w:tcW w:w="584" w:type="pct"/>
                  <w:vAlign w:val="center"/>
                </w:tcPr>
                <w:p w14:paraId="4E256FB7">
                  <w:pPr>
                    <w:adjustRightInd w:val="0"/>
                    <w:jc w:val="center"/>
                    <w:rPr>
                      <w:bCs/>
                      <w:szCs w:val="21"/>
                    </w:rPr>
                  </w:pPr>
                  <w:r>
                    <w:rPr>
                      <w:rFonts w:hint="eastAsia"/>
                      <w:bCs/>
                      <w:szCs w:val="21"/>
                    </w:rPr>
                    <w:t>0.02L</w:t>
                  </w:r>
                </w:p>
              </w:tc>
              <w:tc>
                <w:tcPr>
                  <w:tcW w:w="520" w:type="pct"/>
                  <w:vAlign w:val="center"/>
                </w:tcPr>
                <w:p w14:paraId="5CB067F8">
                  <w:pPr>
                    <w:adjustRightInd w:val="0"/>
                    <w:jc w:val="center"/>
                    <w:rPr>
                      <w:bCs/>
                      <w:szCs w:val="21"/>
                    </w:rPr>
                  </w:pPr>
                  <w:r>
                    <w:rPr>
                      <w:rFonts w:hint="eastAsia"/>
                      <w:bCs/>
                      <w:szCs w:val="21"/>
                    </w:rPr>
                    <w:t>0.02L</w:t>
                  </w:r>
                </w:p>
              </w:tc>
              <w:tc>
                <w:tcPr>
                  <w:tcW w:w="552" w:type="pct"/>
                  <w:vAlign w:val="center"/>
                </w:tcPr>
                <w:p w14:paraId="2F8136D4">
                  <w:pPr>
                    <w:adjustRightInd w:val="0"/>
                    <w:jc w:val="center"/>
                    <w:rPr>
                      <w:bCs/>
                      <w:szCs w:val="21"/>
                    </w:rPr>
                  </w:pPr>
                  <w:r>
                    <w:rPr>
                      <w:rFonts w:hint="eastAsia"/>
                      <w:bCs/>
                      <w:szCs w:val="21"/>
                    </w:rPr>
                    <w:t>0.02L</w:t>
                  </w:r>
                </w:p>
              </w:tc>
              <w:tc>
                <w:tcPr>
                  <w:tcW w:w="594" w:type="pct"/>
                  <w:vAlign w:val="center"/>
                </w:tcPr>
                <w:p w14:paraId="06CF2E9E">
                  <w:pPr>
                    <w:adjustRightInd w:val="0"/>
                    <w:jc w:val="center"/>
                    <w:rPr>
                      <w:bCs/>
                      <w:szCs w:val="21"/>
                    </w:rPr>
                  </w:pPr>
                  <w:r>
                    <w:rPr>
                      <w:rFonts w:hint="eastAsia"/>
                      <w:bCs/>
                      <w:szCs w:val="21"/>
                    </w:rPr>
                    <w:t>0.02L</w:t>
                  </w:r>
                </w:p>
              </w:tc>
              <w:tc>
                <w:tcPr>
                  <w:tcW w:w="605" w:type="pct"/>
                  <w:vAlign w:val="center"/>
                </w:tcPr>
                <w:p w14:paraId="4C4DFD72">
                  <w:pPr>
                    <w:adjustRightInd w:val="0"/>
                    <w:jc w:val="center"/>
                    <w:rPr>
                      <w:bCs/>
                      <w:szCs w:val="21"/>
                    </w:rPr>
                  </w:pPr>
                  <w:r>
                    <w:rPr>
                      <w:bCs/>
                      <w:szCs w:val="21"/>
                    </w:rPr>
                    <w:t>100</w:t>
                  </w:r>
                </w:p>
              </w:tc>
              <w:tc>
                <w:tcPr>
                  <w:tcW w:w="427" w:type="pct"/>
                  <w:vAlign w:val="center"/>
                </w:tcPr>
                <w:p w14:paraId="6FEF1C61">
                  <w:pPr>
                    <w:adjustRightInd w:val="0"/>
                    <w:jc w:val="center"/>
                    <w:rPr>
                      <w:bCs/>
                      <w:szCs w:val="21"/>
                    </w:rPr>
                  </w:pPr>
                  <w:r>
                    <w:rPr>
                      <w:bCs/>
                      <w:szCs w:val="21"/>
                    </w:rPr>
                    <w:t>合格</w:t>
                  </w:r>
                </w:p>
              </w:tc>
            </w:tr>
            <w:tr w14:paraId="232F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48447A4E">
                  <w:pPr>
                    <w:adjustRightInd w:val="0"/>
                    <w:jc w:val="center"/>
                    <w:rPr>
                      <w:bCs/>
                      <w:szCs w:val="21"/>
                    </w:rPr>
                  </w:pPr>
                </w:p>
              </w:tc>
              <w:tc>
                <w:tcPr>
                  <w:tcW w:w="742" w:type="pct"/>
                  <w:vAlign w:val="center"/>
                </w:tcPr>
                <w:p w14:paraId="58196007">
                  <w:pPr>
                    <w:adjustRightInd w:val="0"/>
                    <w:jc w:val="center"/>
                    <w:rPr>
                      <w:bCs/>
                      <w:szCs w:val="21"/>
                    </w:rPr>
                  </w:pPr>
                  <w:r>
                    <w:rPr>
                      <w:bCs/>
                      <w:szCs w:val="21"/>
                    </w:rPr>
                    <w:t>锌</w:t>
                  </w:r>
                </w:p>
              </w:tc>
              <w:tc>
                <w:tcPr>
                  <w:tcW w:w="552" w:type="pct"/>
                  <w:vAlign w:val="center"/>
                </w:tcPr>
                <w:p w14:paraId="6318EB44">
                  <w:pPr>
                    <w:adjustRightInd w:val="0"/>
                    <w:jc w:val="center"/>
                    <w:rPr>
                      <w:bCs/>
                      <w:szCs w:val="21"/>
                    </w:rPr>
                  </w:pPr>
                  <w:r>
                    <w:rPr>
                      <w:rFonts w:hint="eastAsia"/>
                      <w:bCs/>
                      <w:szCs w:val="21"/>
                    </w:rPr>
                    <w:t>0.06L</w:t>
                  </w:r>
                </w:p>
              </w:tc>
              <w:tc>
                <w:tcPr>
                  <w:tcW w:w="584" w:type="pct"/>
                  <w:vAlign w:val="center"/>
                </w:tcPr>
                <w:p w14:paraId="761FDA6C">
                  <w:pPr>
                    <w:adjustRightInd w:val="0"/>
                    <w:jc w:val="center"/>
                    <w:rPr>
                      <w:bCs/>
                      <w:szCs w:val="21"/>
                    </w:rPr>
                  </w:pPr>
                  <w:r>
                    <w:rPr>
                      <w:rFonts w:hint="eastAsia"/>
                      <w:bCs/>
                      <w:szCs w:val="21"/>
                    </w:rPr>
                    <w:t>0.06L</w:t>
                  </w:r>
                </w:p>
              </w:tc>
              <w:tc>
                <w:tcPr>
                  <w:tcW w:w="520" w:type="pct"/>
                  <w:vAlign w:val="center"/>
                </w:tcPr>
                <w:p w14:paraId="4FF6D7EB">
                  <w:pPr>
                    <w:adjustRightInd w:val="0"/>
                    <w:jc w:val="center"/>
                    <w:rPr>
                      <w:bCs/>
                      <w:szCs w:val="21"/>
                    </w:rPr>
                  </w:pPr>
                  <w:r>
                    <w:rPr>
                      <w:rFonts w:hint="eastAsia"/>
                      <w:bCs/>
                      <w:szCs w:val="21"/>
                    </w:rPr>
                    <w:t>0.06L</w:t>
                  </w:r>
                </w:p>
              </w:tc>
              <w:tc>
                <w:tcPr>
                  <w:tcW w:w="552" w:type="pct"/>
                  <w:vAlign w:val="center"/>
                </w:tcPr>
                <w:p w14:paraId="74BBEBA0">
                  <w:pPr>
                    <w:adjustRightInd w:val="0"/>
                    <w:jc w:val="center"/>
                    <w:rPr>
                      <w:bCs/>
                      <w:szCs w:val="21"/>
                    </w:rPr>
                  </w:pPr>
                  <w:r>
                    <w:rPr>
                      <w:rFonts w:hint="eastAsia"/>
                      <w:bCs/>
                      <w:szCs w:val="21"/>
                    </w:rPr>
                    <w:t>0.06L</w:t>
                  </w:r>
                </w:p>
              </w:tc>
              <w:tc>
                <w:tcPr>
                  <w:tcW w:w="594" w:type="pct"/>
                  <w:vAlign w:val="center"/>
                </w:tcPr>
                <w:p w14:paraId="4E712BDD">
                  <w:pPr>
                    <w:adjustRightInd w:val="0"/>
                    <w:jc w:val="center"/>
                    <w:rPr>
                      <w:bCs/>
                      <w:szCs w:val="21"/>
                    </w:rPr>
                  </w:pPr>
                  <w:r>
                    <w:rPr>
                      <w:rFonts w:hint="eastAsia"/>
                      <w:bCs/>
                      <w:szCs w:val="21"/>
                    </w:rPr>
                    <w:t>0.06L</w:t>
                  </w:r>
                </w:p>
              </w:tc>
              <w:tc>
                <w:tcPr>
                  <w:tcW w:w="605" w:type="pct"/>
                  <w:vAlign w:val="center"/>
                </w:tcPr>
                <w:p w14:paraId="7092ED01">
                  <w:pPr>
                    <w:adjustRightInd w:val="0"/>
                    <w:jc w:val="center"/>
                    <w:rPr>
                      <w:bCs/>
                      <w:szCs w:val="21"/>
                    </w:rPr>
                  </w:pPr>
                  <w:r>
                    <w:rPr>
                      <w:bCs/>
                      <w:szCs w:val="21"/>
                    </w:rPr>
                    <w:t>100</w:t>
                  </w:r>
                </w:p>
              </w:tc>
              <w:tc>
                <w:tcPr>
                  <w:tcW w:w="427" w:type="pct"/>
                  <w:vAlign w:val="center"/>
                </w:tcPr>
                <w:p w14:paraId="7BD38B04">
                  <w:pPr>
                    <w:adjustRightInd w:val="0"/>
                    <w:jc w:val="center"/>
                    <w:rPr>
                      <w:bCs/>
                      <w:szCs w:val="21"/>
                    </w:rPr>
                  </w:pPr>
                  <w:r>
                    <w:rPr>
                      <w:bCs/>
                      <w:szCs w:val="21"/>
                    </w:rPr>
                    <w:t>合格</w:t>
                  </w:r>
                </w:p>
              </w:tc>
            </w:tr>
            <w:tr w14:paraId="5524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4FBA4826">
                  <w:pPr>
                    <w:adjustRightInd w:val="0"/>
                    <w:jc w:val="center"/>
                    <w:rPr>
                      <w:bCs/>
                      <w:szCs w:val="21"/>
                    </w:rPr>
                  </w:pPr>
                </w:p>
              </w:tc>
              <w:tc>
                <w:tcPr>
                  <w:tcW w:w="742" w:type="pct"/>
                  <w:vAlign w:val="center"/>
                </w:tcPr>
                <w:p w14:paraId="6C6241C8">
                  <w:pPr>
                    <w:adjustRightInd w:val="0"/>
                    <w:jc w:val="center"/>
                    <w:rPr>
                      <w:bCs/>
                      <w:szCs w:val="21"/>
                    </w:rPr>
                  </w:pPr>
                  <w:r>
                    <w:rPr>
                      <w:bCs/>
                      <w:szCs w:val="21"/>
                    </w:rPr>
                    <w:t>镉</w:t>
                  </w:r>
                  <w:r>
                    <w:rPr>
                      <w:rFonts w:hint="eastAsia"/>
                      <w:bCs/>
                      <w:szCs w:val="21"/>
                    </w:rPr>
                    <w:t>(μg/L）</w:t>
                  </w:r>
                </w:p>
              </w:tc>
              <w:tc>
                <w:tcPr>
                  <w:tcW w:w="552" w:type="pct"/>
                  <w:vAlign w:val="center"/>
                </w:tcPr>
                <w:p w14:paraId="5AC6A491">
                  <w:pPr>
                    <w:adjustRightInd w:val="0"/>
                    <w:jc w:val="center"/>
                    <w:rPr>
                      <w:bCs/>
                      <w:szCs w:val="21"/>
                    </w:rPr>
                  </w:pPr>
                  <w:r>
                    <w:rPr>
                      <w:rFonts w:hint="eastAsia"/>
                      <w:bCs/>
                      <w:szCs w:val="21"/>
                    </w:rPr>
                    <w:t>0.6L</w:t>
                  </w:r>
                </w:p>
              </w:tc>
              <w:tc>
                <w:tcPr>
                  <w:tcW w:w="584" w:type="pct"/>
                  <w:vAlign w:val="center"/>
                </w:tcPr>
                <w:p w14:paraId="1F0D621B">
                  <w:pPr>
                    <w:adjustRightInd w:val="0"/>
                    <w:jc w:val="center"/>
                    <w:rPr>
                      <w:bCs/>
                      <w:szCs w:val="21"/>
                    </w:rPr>
                  </w:pPr>
                  <w:r>
                    <w:rPr>
                      <w:rFonts w:hint="eastAsia"/>
                      <w:bCs/>
                      <w:szCs w:val="21"/>
                    </w:rPr>
                    <w:t>0.99</w:t>
                  </w:r>
                </w:p>
              </w:tc>
              <w:tc>
                <w:tcPr>
                  <w:tcW w:w="520" w:type="pct"/>
                  <w:vAlign w:val="center"/>
                </w:tcPr>
                <w:p w14:paraId="00E3EE3A">
                  <w:pPr>
                    <w:adjustRightInd w:val="0"/>
                    <w:jc w:val="center"/>
                    <w:rPr>
                      <w:bCs/>
                      <w:szCs w:val="21"/>
                    </w:rPr>
                  </w:pPr>
                  <w:r>
                    <w:rPr>
                      <w:rFonts w:hint="eastAsia"/>
                      <w:bCs/>
                      <w:szCs w:val="21"/>
                    </w:rPr>
                    <w:t>0.6L</w:t>
                  </w:r>
                </w:p>
              </w:tc>
              <w:tc>
                <w:tcPr>
                  <w:tcW w:w="552" w:type="pct"/>
                  <w:vAlign w:val="center"/>
                </w:tcPr>
                <w:p w14:paraId="315AF2D1">
                  <w:pPr>
                    <w:adjustRightInd w:val="0"/>
                    <w:jc w:val="center"/>
                    <w:rPr>
                      <w:bCs/>
                      <w:szCs w:val="21"/>
                    </w:rPr>
                  </w:pPr>
                  <w:r>
                    <w:rPr>
                      <w:rFonts w:hint="eastAsia"/>
                      <w:bCs/>
                      <w:szCs w:val="21"/>
                    </w:rPr>
                    <w:t>2.01</w:t>
                  </w:r>
                </w:p>
              </w:tc>
              <w:tc>
                <w:tcPr>
                  <w:tcW w:w="594" w:type="pct"/>
                  <w:vAlign w:val="center"/>
                </w:tcPr>
                <w:p w14:paraId="4DBCA539">
                  <w:pPr>
                    <w:adjustRightInd w:val="0"/>
                    <w:jc w:val="center"/>
                    <w:rPr>
                      <w:bCs/>
                      <w:szCs w:val="21"/>
                    </w:rPr>
                  </w:pPr>
                  <w:r>
                    <w:rPr>
                      <w:rFonts w:hint="eastAsia"/>
                      <w:bCs/>
                      <w:szCs w:val="21"/>
                    </w:rPr>
                    <w:t>0.6</w:t>
                  </w:r>
                </w:p>
              </w:tc>
              <w:tc>
                <w:tcPr>
                  <w:tcW w:w="605" w:type="pct"/>
                  <w:vAlign w:val="center"/>
                </w:tcPr>
                <w:p w14:paraId="077AC09C">
                  <w:pPr>
                    <w:adjustRightInd w:val="0"/>
                    <w:jc w:val="center"/>
                    <w:rPr>
                      <w:bCs/>
                      <w:szCs w:val="21"/>
                    </w:rPr>
                  </w:pPr>
                  <w:r>
                    <w:rPr>
                      <w:bCs/>
                      <w:szCs w:val="21"/>
                    </w:rPr>
                    <w:t>1</w:t>
                  </w:r>
                </w:p>
              </w:tc>
              <w:tc>
                <w:tcPr>
                  <w:tcW w:w="427" w:type="pct"/>
                  <w:vAlign w:val="center"/>
                </w:tcPr>
                <w:p w14:paraId="5DAD26D1">
                  <w:pPr>
                    <w:adjustRightInd w:val="0"/>
                    <w:jc w:val="center"/>
                    <w:rPr>
                      <w:bCs/>
                      <w:szCs w:val="21"/>
                    </w:rPr>
                  </w:pPr>
                  <w:r>
                    <w:rPr>
                      <w:bCs/>
                      <w:szCs w:val="21"/>
                    </w:rPr>
                    <w:t>合格</w:t>
                  </w:r>
                </w:p>
              </w:tc>
            </w:tr>
            <w:tr w14:paraId="4F8D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35D48F42">
                  <w:pPr>
                    <w:adjustRightInd w:val="0"/>
                    <w:jc w:val="center"/>
                    <w:rPr>
                      <w:bCs/>
                      <w:szCs w:val="21"/>
                    </w:rPr>
                  </w:pPr>
                </w:p>
              </w:tc>
              <w:tc>
                <w:tcPr>
                  <w:tcW w:w="742" w:type="pct"/>
                  <w:vAlign w:val="center"/>
                </w:tcPr>
                <w:p w14:paraId="6807C5C5">
                  <w:pPr>
                    <w:adjustRightInd w:val="0"/>
                    <w:jc w:val="center"/>
                    <w:rPr>
                      <w:bCs/>
                      <w:szCs w:val="21"/>
                    </w:rPr>
                  </w:pPr>
                  <w:r>
                    <w:rPr>
                      <w:bCs/>
                      <w:szCs w:val="21"/>
                    </w:rPr>
                    <w:t>铅</w:t>
                  </w:r>
                  <w:r>
                    <w:rPr>
                      <w:rFonts w:hint="eastAsia"/>
                      <w:bCs/>
                      <w:szCs w:val="21"/>
                    </w:rPr>
                    <w:t>(μg/L）</w:t>
                  </w:r>
                </w:p>
              </w:tc>
              <w:tc>
                <w:tcPr>
                  <w:tcW w:w="552" w:type="pct"/>
                  <w:vAlign w:val="center"/>
                </w:tcPr>
                <w:p w14:paraId="6FD6103D">
                  <w:pPr>
                    <w:adjustRightInd w:val="0"/>
                    <w:jc w:val="center"/>
                    <w:rPr>
                      <w:bCs/>
                      <w:szCs w:val="21"/>
                    </w:rPr>
                  </w:pPr>
                  <w:r>
                    <w:rPr>
                      <w:rFonts w:hint="eastAsia"/>
                      <w:bCs/>
                      <w:szCs w:val="21"/>
                    </w:rPr>
                    <w:t>0.9L</w:t>
                  </w:r>
                </w:p>
              </w:tc>
              <w:tc>
                <w:tcPr>
                  <w:tcW w:w="584" w:type="pct"/>
                  <w:vAlign w:val="center"/>
                </w:tcPr>
                <w:p w14:paraId="17EBE283">
                  <w:pPr>
                    <w:adjustRightInd w:val="0"/>
                    <w:jc w:val="center"/>
                    <w:rPr>
                      <w:bCs/>
                      <w:szCs w:val="21"/>
                    </w:rPr>
                  </w:pPr>
                  <w:r>
                    <w:rPr>
                      <w:rFonts w:hint="eastAsia"/>
                      <w:bCs/>
                      <w:szCs w:val="21"/>
                    </w:rPr>
                    <w:t>0.9L</w:t>
                  </w:r>
                </w:p>
              </w:tc>
              <w:tc>
                <w:tcPr>
                  <w:tcW w:w="520" w:type="pct"/>
                  <w:vAlign w:val="center"/>
                </w:tcPr>
                <w:p w14:paraId="79E35E51">
                  <w:pPr>
                    <w:adjustRightInd w:val="0"/>
                    <w:jc w:val="center"/>
                    <w:rPr>
                      <w:bCs/>
                      <w:szCs w:val="21"/>
                    </w:rPr>
                  </w:pPr>
                  <w:r>
                    <w:rPr>
                      <w:rFonts w:hint="eastAsia"/>
                      <w:bCs/>
                      <w:szCs w:val="21"/>
                    </w:rPr>
                    <w:t>0.9L</w:t>
                  </w:r>
                </w:p>
              </w:tc>
              <w:tc>
                <w:tcPr>
                  <w:tcW w:w="552" w:type="pct"/>
                  <w:vAlign w:val="center"/>
                </w:tcPr>
                <w:p w14:paraId="43A47E4A">
                  <w:pPr>
                    <w:adjustRightInd w:val="0"/>
                    <w:jc w:val="center"/>
                    <w:rPr>
                      <w:bCs/>
                      <w:szCs w:val="21"/>
                    </w:rPr>
                  </w:pPr>
                  <w:r>
                    <w:rPr>
                      <w:rFonts w:hint="eastAsia"/>
                      <w:bCs/>
                      <w:szCs w:val="21"/>
                    </w:rPr>
                    <w:t>0.9L</w:t>
                  </w:r>
                </w:p>
              </w:tc>
              <w:tc>
                <w:tcPr>
                  <w:tcW w:w="594" w:type="pct"/>
                  <w:vAlign w:val="center"/>
                </w:tcPr>
                <w:p w14:paraId="162A9F6A">
                  <w:pPr>
                    <w:adjustRightInd w:val="0"/>
                    <w:jc w:val="center"/>
                    <w:rPr>
                      <w:bCs/>
                      <w:szCs w:val="21"/>
                    </w:rPr>
                  </w:pPr>
                  <w:r>
                    <w:rPr>
                      <w:rFonts w:hint="eastAsia"/>
                      <w:bCs/>
                      <w:szCs w:val="21"/>
                    </w:rPr>
                    <w:t>0.9L</w:t>
                  </w:r>
                </w:p>
              </w:tc>
              <w:tc>
                <w:tcPr>
                  <w:tcW w:w="605" w:type="pct"/>
                  <w:vAlign w:val="center"/>
                </w:tcPr>
                <w:p w14:paraId="108FF1E3">
                  <w:pPr>
                    <w:adjustRightInd w:val="0"/>
                    <w:jc w:val="center"/>
                    <w:rPr>
                      <w:bCs/>
                      <w:szCs w:val="21"/>
                    </w:rPr>
                  </w:pPr>
                  <w:r>
                    <w:rPr>
                      <w:bCs/>
                      <w:szCs w:val="21"/>
                    </w:rPr>
                    <w:t>5</w:t>
                  </w:r>
                </w:p>
              </w:tc>
              <w:tc>
                <w:tcPr>
                  <w:tcW w:w="427" w:type="pct"/>
                  <w:vAlign w:val="center"/>
                </w:tcPr>
                <w:p w14:paraId="6A237B3A">
                  <w:pPr>
                    <w:adjustRightInd w:val="0"/>
                    <w:jc w:val="center"/>
                    <w:rPr>
                      <w:bCs/>
                      <w:szCs w:val="21"/>
                    </w:rPr>
                  </w:pPr>
                  <w:r>
                    <w:rPr>
                      <w:bCs/>
                      <w:szCs w:val="21"/>
                    </w:rPr>
                    <w:t>合格</w:t>
                  </w:r>
                </w:p>
              </w:tc>
            </w:tr>
            <w:tr w14:paraId="5C8E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71F5FC7C">
                  <w:pPr>
                    <w:adjustRightInd w:val="0"/>
                    <w:jc w:val="center"/>
                    <w:rPr>
                      <w:bCs/>
                      <w:szCs w:val="21"/>
                    </w:rPr>
                  </w:pPr>
                </w:p>
              </w:tc>
              <w:tc>
                <w:tcPr>
                  <w:tcW w:w="742" w:type="pct"/>
                  <w:vAlign w:val="center"/>
                </w:tcPr>
                <w:p w14:paraId="358D1D1C">
                  <w:pPr>
                    <w:adjustRightInd w:val="0"/>
                    <w:jc w:val="center"/>
                    <w:rPr>
                      <w:bCs/>
                      <w:szCs w:val="21"/>
                    </w:rPr>
                  </w:pPr>
                  <w:r>
                    <w:rPr>
                      <w:bCs/>
                      <w:szCs w:val="21"/>
                    </w:rPr>
                    <w:t>总铬</w:t>
                  </w:r>
                </w:p>
              </w:tc>
              <w:tc>
                <w:tcPr>
                  <w:tcW w:w="552" w:type="pct"/>
                  <w:vAlign w:val="center"/>
                </w:tcPr>
                <w:p w14:paraId="771AC239">
                  <w:pPr>
                    <w:adjustRightInd w:val="0"/>
                    <w:jc w:val="center"/>
                    <w:rPr>
                      <w:bCs/>
                      <w:szCs w:val="21"/>
                    </w:rPr>
                  </w:pPr>
                  <w:r>
                    <w:rPr>
                      <w:rFonts w:hint="eastAsia"/>
                      <w:bCs/>
                      <w:szCs w:val="21"/>
                    </w:rPr>
                    <w:t>0.03L</w:t>
                  </w:r>
                </w:p>
              </w:tc>
              <w:tc>
                <w:tcPr>
                  <w:tcW w:w="584" w:type="pct"/>
                  <w:vAlign w:val="center"/>
                </w:tcPr>
                <w:p w14:paraId="47D2A03A">
                  <w:pPr>
                    <w:adjustRightInd w:val="0"/>
                    <w:jc w:val="center"/>
                    <w:rPr>
                      <w:bCs/>
                      <w:szCs w:val="21"/>
                    </w:rPr>
                  </w:pPr>
                  <w:r>
                    <w:rPr>
                      <w:rFonts w:hint="eastAsia"/>
                      <w:bCs/>
                      <w:szCs w:val="21"/>
                    </w:rPr>
                    <w:t>0.03L</w:t>
                  </w:r>
                </w:p>
              </w:tc>
              <w:tc>
                <w:tcPr>
                  <w:tcW w:w="520" w:type="pct"/>
                  <w:vAlign w:val="center"/>
                </w:tcPr>
                <w:p w14:paraId="25E1C178">
                  <w:pPr>
                    <w:adjustRightInd w:val="0"/>
                    <w:jc w:val="center"/>
                    <w:rPr>
                      <w:bCs/>
                      <w:szCs w:val="21"/>
                    </w:rPr>
                  </w:pPr>
                  <w:r>
                    <w:rPr>
                      <w:rFonts w:hint="eastAsia"/>
                      <w:bCs/>
                      <w:szCs w:val="21"/>
                    </w:rPr>
                    <w:t>0.03L</w:t>
                  </w:r>
                </w:p>
              </w:tc>
              <w:tc>
                <w:tcPr>
                  <w:tcW w:w="552" w:type="pct"/>
                  <w:vAlign w:val="center"/>
                </w:tcPr>
                <w:p w14:paraId="39F66172">
                  <w:pPr>
                    <w:adjustRightInd w:val="0"/>
                    <w:jc w:val="center"/>
                    <w:rPr>
                      <w:bCs/>
                      <w:szCs w:val="21"/>
                    </w:rPr>
                  </w:pPr>
                  <w:r>
                    <w:rPr>
                      <w:rFonts w:hint="eastAsia"/>
                      <w:bCs/>
                      <w:szCs w:val="21"/>
                    </w:rPr>
                    <w:t>0.03L</w:t>
                  </w:r>
                </w:p>
              </w:tc>
              <w:tc>
                <w:tcPr>
                  <w:tcW w:w="594" w:type="pct"/>
                  <w:vAlign w:val="center"/>
                </w:tcPr>
                <w:p w14:paraId="0A7AAF0E">
                  <w:pPr>
                    <w:adjustRightInd w:val="0"/>
                    <w:jc w:val="center"/>
                    <w:rPr>
                      <w:bCs/>
                      <w:szCs w:val="21"/>
                    </w:rPr>
                  </w:pPr>
                  <w:r>
                    <w:rPr>
                      <w:rFonts w:hint="eastAsia"/>
                      <w:bCs/>
                      <w:szCs w:val="21"/>
                    </w:rPr>
                    <w:t>0.03L</w:t>
                  </w:r>
                </w:p>
              </w:tc>
              <w:tc>
                <w:tcPr>
                  <w:tcW w:w="605" w:type="pct"/>
                  <w:vAlign w:val="center"/>
                </w:tcPr>
                <w:p w14:paraId="422BC691">
                  <w:pPr>
                    <w:adjustRightInd w:val="0"/>
                    <w:jc w:val="center"/>
                    <w:rPr>
                      <w:bCs/>
                      <w:szCs w:val="21"/>
                    </w:rPr>
                  </w:pPr>
                  <w:r>
                    <w:rPr>
                      <w:bCs/>
                      <w:szCs w:val="21"/>
                    </w:rPr>
                    <w:t>15</w:t>
                  </w:r>
                </w:p>
              </w:tc>
              <w:tc>
                <w:tcPr>
                  <w:tcW w:w="427" w:type="pct"/>
                  <w:vAlign w:val="center"/>
                </w:tcPr>
                <w:p w14:paraId="31AFB9A9">
                  <w:pPr>
                    <w:adjustRightInd w:val="0"/>
                    <w:jc w:val="center"/>
                    <w:rPr>
                      <w:bCs/>
                      <w:szCs w:val="21"/>
                    </w:rPr>
                  </w:pPr>
                  <w:r>
                    <w:rPr>
                      <w:bCs/>
                      <w:szCs w:val="21"/>
                    </w:rPr>
                    <w:t>合格</w:t>
                  </w:r>
                </w:p>
              </w:tc>
            </w:tr>
            <w:tr w14:paraId="776C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335B49E9">
                  <w:pPr>
                    <w:adjustRightInd w:val="0"/>
                    <w:jc w:val="center"/>
                    <w:rPr>
                      <w:bCs/>
                      <w:szCs w:val="21"/>
                    </w:rPr>
                  </w:pPr>
                </w:p>
              </w:tc>
              <w:tc>
                <w:tcPr>
                  <w:tcW w:w="742" w:type="pct"/>
                  <w:vAlign w:val="center"/>
                </w:tcPr>
                <w:p w14:paraId="0AAD4A93">
                  <w:pPr>
                    <w:adjustRightInd w:val="0"/>
                    <w:jc w:val="center"/>
                    <w:rPr>
                      <w:bCs/>
                      <w:szCs w:val="21"/>
                    </w:rPr>
                  </w:pPr>
                  <w:r>
                    <w:rPr>
                      <w:bCs/>
                      <w:szCs w:val="21"/>
                    </w:rPr>
                    <w:t>铬（六价）</w:t>
                  </w:r>
                </w:p>
              </w:tc>
              <w:tc>
                <w:tcPr>
                  <w:tcW w:w="552" w:type="pct"/>
                  <w:vAlign w:val="center"/>
                </w:tcPr>
                <w:p w14:paraId="5ACB9C90">
                  <w:pPr>
                    <w:adjustRightInd w:val="0"/>
                    <w:jc w:val="center"/>
                    <w:rPr>
                      <w:bCs/>
                      <w:szCs w:val="21"/>
                    </w:rPr>
                  </w:pPr>
                  <w:r>
                    <w:rPr>
                      <w:rFonts w:hint="eastAsia"/>
                      <w:bCs/>
                      <w:szCs w:val="21"/>
                    </w:rPr>
                    <w:t>0.006</w:t>
                  </w:r>
                </w:p>
              </w:tc>
              <w:tc>
                <w:tcPr>
                  <w:tcW w:w="584" w:type="pct"/>
                  <w:vAlign w:val="center"/>
                </w:tcPr>
                <w:p w14:paraId="4AC715D6">
                  <w:pPr>
                    <w:adjustRightInd w:val="0"/>
                    <w:jc w:val="center"/>
                    <w:rPr>
                      <w:bCs/>
                      <w:szCs w:val="21"/>
                    </w:rPr>
                  </w:pPr>
                  <w:r>
                    <w:rPr>
                      <w:rFonts w:hint="eastAsia"/>
                      <w:bCs/>
                      <w:szCs w:val="21"/>
                    </w:rPr>
                    <w:t>0.004</w:t>
                  </w:r>
                </w:p>
              </w:tc>
              <w:tc>
                <w:tcPr>
                  <w:tcW w:w="520" w:type="pct"/>
                  <w:vAlign w:val="center"/>
                </w:tcPr>
                <w:p w14:paraId="5E198720">
                  <w:pPr>
                    <w:adjustRightInd w:val="0"/>
                    <w:jc w:val="center"/>
                    <w:rPr>
                      <w:bCs/>
                      <w:szCs w:val="21"/>
                    </w:rPr>
                  </w:pPr>
                  <w:r>
                    <w:rPr>
                      <w:rFonts w:hint="eastAsia"/>
                      <w:bCs/>
                      <w:szCs w:val="21"/>
                    </w:rPr>
                    <w:t>0.004</w:t>
                  </w:r>
                </w:p>
              </w:tc>
              <w:tc>
                <w:tcPr>
                  <w:tcW w:w="552" w:type="pct"/>
                  <w:vAlign w:val="center"/>
                </w:tcPr>
                <w:p w14:paraId="43166FE8">
                  <w:pPr>
                    <w:adjustRightInd w:val="0"/>
                    <w:jc w:val="center"/>
                    <w:rPr>
                      <w:bCs/>
                      <w:szCs w:val="21"/>
                    </w:rPr>
                  </w:pPr>
                  <w:r>
                    <w:rPr>
                      <w:rFonts w:hint="eastAsia"/>
                      <w:bCs/>
                      <w:szCs w:val="21"/>
                    </w:rPr>
                    <w:t>0.008</w:t>
                  </w:r>
                </w:p>
              </w:tc>
              <w:tc>
                <w:tcPr>
                  <w:tcW w:w="594" w:type="pct"/>
                  <w:vAlign w:val="center"/>
                </w:tcPr>
                <w:p w14:paraId="605D24CE">
                  <w:pPr>
                    <w:adjustRightInd w:val="0"/>
                    <w:jc w:val="center"/>
                    <w:rPr>
                      <w:bCs/>
                      <w:szCs w:val="21"/>
                    </w:rPr>
                  </w:pPr>
                  <w:r>
                    <w:rPr>
                      <w:rFonts w:hint="eastAsia"/>
                      <w:bCs/>
                      <w:szCs w:val="21"/>
                    </w:rPr>
                    <w:t>0.005</w:t>
                  </w:r>
                </w:p>
              </w:tc>
              <w:tc>
                <w:tcPr>
                  <w:tcW w:w="605" w:type="pct"/>
                  <w:vAlign w:val="center"/>
                </w:tcPr>
                <w:p w14:paraId="30C0F190">
                  <w:pPr>
                    <w:adjustRightInd w:val="0"/>
                    <w:jc w:val="center"/>
                    <w:rPr>
                      <w:bCs/>
                      <w:szCs w:val="21"/>
                    </w:rPr>
                  </w:pPr>
                  <w:r>
                    <w:rPr>
                      <w:bCs/>
                      <w:szCs w:val="21"/>
                    </w:rPr>
                    <w:t>5</w:t>
                  </w:r>
                </w:p>
              </w:tc>
              <w:tc>
                <w:tcPr>
                  <w:tcW w:w="427" w:type="pct"/>
                  <w:vAlign w:val="center"/>
                </w:tcPr>
                <w:p w14:paraId="134A70EC">
                  <w:pPr>
                    <w:adjustRightInd w:val="0"/>
                    <w:jc w:val="center"/>
                    <w:rPr>
                      <w:bCs/>
                      <w:szCs w:val="21"/>
                    </w:rPr>
                  </w:pPr>
                  <w:r>
                    <w:rPr>
                      <w:bCs/>
                      <w:szCs w:val="21"/>
                    </w:rPr>
                    <w:t>合格</w:t>
                  </w:r>
                </w:p>
              </w:tc>
            </w:tr>
            <w:tr w14:paraId="6C24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175FA0B4">
                  <w:pPr>
                    <w:adjustRightInd w:val="0"/>
                    <w:jc w:val="center"/>
                    <w:rPr>
                      <w:bCs/>
                      <w:szCs w:val="21"/>
                    </w:rPr>
                  </w:pPr>
                </w:p>
              </w:tc>
              <w:tc>
                <w:tcPr>
                  <w:tcW w:w="742" w:type="pct"/>
                  <w:vAlign w:val="center"/>
                </w:tcPr>
                <w:p w14:paraId="4EB736F1">
                  <w:pPr>
                    <w:adjustRightInd w:val="0"/>
                    <w:jc w:val="center"/>
                    <w:rPr>
                      <w:bCs/>
                      <w:szCs w:val="21"/>
                    </w:rPr>
                  </w:pPr>
                  <w:r>
                    <w:rPr>
                      <w:bCs/>
                      <w:szCs w:val="21"/>
                    </w:rPr>
                    <w:t>汞</w:t>
                  </w:r>
                  <w:r>
                    <w:rPr>
                      <w:rFonts w:hint="eastAsia"/>
                      <w:bCs/>
                      <w:szCs w:val="21"/>
                    </w:rPr>
                    <w:t>(μg/L）</w:t>
                  </w:r>
                </w:p>
              </w:tc>
              <w:tc>
                <w:tcPr>
                  <w:tcW w:w="552" w:type="pct"/>
                  <w:vAlign w:val="center"/>
                </w:tcPr>
                <w:p w14:paraId="31F06BD7">
                  <w:pPr>
                    <w:adjustRightInd w:val="0"/>
                    <w:jc w:val="center"/>
                    <w:rPr>
                      <w:bCs/>
                      <w:szCs w:val="21"/>
                    </w:rPr>
                  </w:pPr>
                  <w:r>
                    <w:rPr>
                      <w:rFonts w:hint="eastAsia"/>
                      <w:bCs/>
                      <w:szCs w:val="21"/>
                    </w:rPr>
                    <w:t>0.02L</w:t>
                  </w:r>
                </w:p>
              </w:tc>
              <w:tc>
                <w:tcPr>
                  <w:tcW w:w="584" w:type="pct"/>
                  <w:vAlign w:val="center"/>
                </w:tcPr>
                <w:p w14:paraId="62F71694">
                  <w:pPr>
                    <w:adjustRightInd w:val="0"/>
                    <w:jc w:val="center"/>
                    <w:rPr>
                      <w:bCs/>
                      <w:szCs w:val="21"/>
                    </w:rPr>
                  </w:pPr>
                  <w:r>
                    <w:rPr>
                      <w:rFonts w:hint="eastAsia"/>
                      <w:bCs/>
                      <w:szCs w:val="21"/>
                    </w:rPr>
                    <w:t>0.02L</w:t>
                  </w:r>
                </w:p>
              </w:tc>
              <w:tc>
                <w:tcPr>
                  <w:tcW w:w="520" w:type="pct"/>
                  <w:vAlign w:val="center"/>
                </w:tcPr>
                <w:p w14:paraId="397B9848">
                  <w:pPr>
                    <w:adjustRightInd w:val="0"/>
                    <w:jc w:val="center"/>
                    <w:rPr>
                      <w:bCs/>
                      <w:szCs w:val="21"/>
                    </w:rPr>
                  </w:pPr>
                  <w:r>
                    <w:rPr>
                      <w:rFonts w:hint="eastAsia"/>
                      <w:bCs/>
                      <w:szCs w:val="21"/>
                    </w:rPr>
                    <w:t>0.02L</w:t>
                  </w:r>
                </w:p>
              </w:tc>
              <w:tc>
                <w:tcPr>
                  <w:tcW w:w="552" w:type="pct"/>
                  <w:vAlign w:val="center"/>
                </w:tcPr>
                <w:p w14:paraId="28339617">
                  <w:pPr>
                    <w:adjustRightInd w:val="0"/>
                    <w:jc w:val="center"/>
                    <w:rPr>
                      <w:bCs/>
                      <w:szCs w:val="21"/>
                    </w:rPr>
                  </w:pPr>
                  <w:r>
                    <w:rPr>
                      <w:rFonts w:hint="eastAsia"/>
                      <w:bCs/>
                      <w:szCs w:val="21"/>
                    </w:rPr>
                    <w:t>0.06</w:t>
                  </w:r>
                </w:p>
              </w:tc>
              <w:tc>
                <w:tcPr>
                  <w:tcW w:w="594" w:type="pct"/>
                  <w:vAlign w:val="center"/>
                </w:tcPr>
                <w:p w14:paraId="5224FB76">
                  <w:pPr>
                    <w:adjustRightInd w:val="0"/>
                    <w:jc w:val="center"/>
                    <w:rPr>
                      <w:bCs/>
                      <w:szCs w:val="21"/>
                    </w:rPr>
                  </w:pPr>
                  <w:r>
                    <w:rPr>
                      <w:rFonts w:hint="eastAsia"/>
                      <w:bCs/>
                      <w:szCs w:val="21"/>
                    </w:rPr>
                    <w:t>0.02L</w:t>
                  </w:r>
                </w:p>
              </w:tc>
              <w:tc>
                <w:tcPr>
                  <w:tcW w:w="605" w:type="pct"/>
                  <w:vAlign w:val="center"/>
                </w:tcPr>
                <w:p w14:paraId="1585B10A">
                  <w:pPr>
                    <w:adjustRightInd w:val="0"/>
                    <w:jc w:val="center"/>
                    <w:rPr>
                      <w:bCs/>
                      <w:szCs w:val="21"/>
                    </w:rPr>
                  </w:pPr>
                  <w:r>
                    <w:rPr>
                      <w:bCs/>
                      <w:szCs w:val="21"/>
                    </w:rPr>
                    <w:t>0.1</w:t>
                  </w:r>
                </w:p>
              </w:tc>
              <w:tc>
                <w:tcPr>
                  <w:tcW w:w="427" w:type="pct"/>
                  <w:vAlign w:val="center"/>
                </w:tcPr>
                <w:p w14:paraId="0B3E84A2">
                  <w:pPr>
                    <w:adjustRightInd w:val="0"/>
                    <w:jc w:val="center"/>
                    <w:rPr>
                      <w:bCs/>
                      <w:szCs w:val="21"/>
                    </w:rPr>
                  </w:pPr>
                  <w:r>
                    <w:rPr>
                      <w:bCs/>
                      <w:szCs w:val="21"/>
                    </w:rPr>
                    <w:t>合格</w:t>
                  </w:r>
                </w:p>
              </w:tc>
            </w:tr>
            <w:tr w14:paraId="0EBB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6D932FEF">
                  <w:pPr>
                    <w:adjustRightInd w:val="0"/>
                    <w:jc w:val="center"/>
                    <w:rPr>
                      <w:bCs/>
                      <w:szCs w:val="21"/>
                    </w:rPr>
                  </w:pPr>
                </w:p>
              </w:tc>
              <w:tc>
                <w:tcPr>
                  <w:tcW w:w="742" w:type="pct"/>
                  <w:vAlign w:val="center"/>
                </w:tcPr>
                <w:p w14:paraId="25BCD784">
                  <w:pPr>
                    <w:adjustRightInd w:val="0"/>
                    <w:jc w:val="center"/>
                    <w:rPr>
                      <w:bCs/>
                      <w:szCs w:val="21"/>
                    </w:rPr>
                  </w:pPr>
                  <w:r>
                    <w:rPr>
                      <w:bCs/>
                      <w:szCs w:val="21"/>
                    </w:rPr>
                    <w:t>镍</w:t>
                  </w:r>
                </w:p>
              </w:tc>
              <w:tc>
                <w:tcPr>
                  <w:tcW w:w="552" w:type="pct"/>
                  <w:vAlign w:val="center"/>
                </w:tcPr>
                <w:p w14:paraId="4E04C5E1">
                  <w:pPr>
                    <w:adjustRightInd w:val="0"/>
                    <w:jc w:val="center"/>
                    <w:rPr>
                      <w:bCs/>
                      <w:szCs w:val="21"/>
                    </w:rPr>
                  </w:pPr>
                  <w:r>
                    <w:rPr>
                      <w:rFonts w:hint="eastAsia"/>
                      <w:bCs/>
                      <w:szCs w:val="21"/>
                    </w:rPr>
                    <w:t>0.03L</w:t>
                  </w:r>
                </w:p>
              </w:tc>
              <w:tc>
                <w:tcPr>
                  <w:tcW w:w="584" w:type="pct"/>
                  <w:vAlign w:val="center"/>
                </w:tcPr>
                <w:p w14:paraId="70ACCB7A">
                  <w:pPr>
                    <w:adjustRightInd w:val="0"/>
                    <w:jc w:val="center"/>
                    <w:rPr>
                      <w:bCs/>
                      <w:szCs w:val="21"/>
                    </w:rPr>
                  </w:pPr>
                  <w:r>
                    <w:rPr>
                      <w:rFonts w:hint="eastAsia"/>
                      <w:bCs/>
                      <w:szCs w:val="21"/>
                    </w:rPr>
                    <w:t>0.03L</w:t>
                  </w:r>
                </w:p>
              </w:tc>
              <w:tc>
                <w:tcPr>
                  <w:tcW w:w="520" w:type="pct"/>
                  <w:vAlign w:val="center"/>
                </w:tcPr>
                <w:p w14:paraId="431807AD">
                  <w:pPr>
                    <w:adjustRightInd w:val="0"/>
                    <w:jc w:val="center"/>
                    <w:rPr>
                      <w:bCs/>
                      <w:szCs w:val="21"/>
                    </w:rPr>
                  </w:pPr>
                  <w:r>
                    <w:rPr>
                      <w:rFonts w:hint="eastAsia"/>
                      <w:bCs/>
                      <w:szCs w:val="21"/>
                    </w:rPr>
                    <w:t>0.03L</w:t>
                  </w:r>
                </w:p>
              </w:tc>
              <w:tc>
                <w:tcPr>
                  <w:tcW w:w="552" w:type="pct"/>
                  <w:vAlign w:val="center"/>
                </w:tcPr>
                <w:p w14:paraId="5C49E8AC">
                  <w:pPr>
                    <w:adjustRightInd w:val="0"/>
                    <w:jc w:val="center"/>
                    <w:rPr>
                      <w:bCs/>
                      <w:szCs w:val="21"/>
                    </w:rPr>
                  </w:pPr>
                  <w:r>
                    <w:rPr>
                      <w:rFonts w:hint="eastAsia"/>
                      <w:bCs/>
                      <w:szCs w:val="21"/>
                    </w:rPr>
                    <w:t>0.03L</w:t>
                  </w:r>
                </w:p>
              </w:tc>
              <w:tc>
                <w:tcPr>
                  <w:tcW w:w="594" w:type="pct"/>
                  <w:vAlign w:val="center"/>
                </w:tcPr>
                <w:p w14:paraId="605289CF">
                  <w:pPr>
                    <w:adjustRightInd w:val="0"/>
                    <w:jc w:val="center"/>
                    <w:rPr>
                      <w:bCs/>
                      <w:szCs w:val="21"/>
                    </w:rPr>
                  </w:pPr>
                  <w:r>
                    <w:rPr>
                      <w:rFonts w:hint="eastAsia"/>
                      <w:bCs/>
                      <w:szCs w:val="21"/>
                    </w:rPr>
                    <w:t>0.03L</w:t>
                  </w:r>
                </w:p>
              </w:tc>
              <w:tc>
                <w:tcPr>
                  <w:tcW w:w="605" w:type="pct"/>
                  <w:vAlign w:val="center"/>
                </w:tcPr>
                <w:p w14:paraId="472E7619">
                  <w:pPr>
                    <w:adjustRightInd w:val="0"/>
                    <w:jc w:val="center"/>
                    <w:rPr>
                      <w:bCs/>
                      <w:szCs w:val="21"/>
                    </w:rPr>
                  </w:pPr>
                  <w:r>
                    <w:rPr>
                      <w:bCs/>
                      <w:szCs w:val="21"/>
                    </w:rPr>
                    <w:t>5</w:t>
                  </w:r>
                </w:p>
              </w:tc>
              <w:tc>
                <w:tcPr>
                  <w:tcW w:w="427" w:type="pct"/>
                  <w:vAlign w:val="center"/>
                </w:tcPr>
                <w:p w14:paraId="204337CA">
                  <w:pPr>
                    <w:adjustRightInd w:val="0"/>
                    <w:jc w:val="center"/>
                    <w:rPr>
                      <w:bCs/>
                      <w:szCs w:val="21"/>
                    </w:rPr>
                  </w:pPr>
                  <w:r>
                    <w:rPr>
                      <w:bCs/>
                      <w:szCs w:val="21"/>
                    </w:rPr>
                    <w:t>合格</w:t>
                  </w:r>
                </w:p>
              </w:tc>
            </w:tr>
            <w:tr w14:paraId="1B9A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5DE66203">
                  <w:pPr>
                    <w:adjustRightInd w:val="0"/>
                    <w:jc w:val="center"/>
                    <w:rPr>
                      <w:bCs/>
                      <w:szCs w:val="21"/>
                    </w:rPr>
                  </w:pPr>
                </w:p>
              </w:tc>
              <w:tc>
                <w:tcPr>
                  <w:tcW w:w="742" w:type="pct"/>
                  <w:vAlign w:val="center"/>
                </w:tcPr>
                <w:p w14:paraId="6A9CDD8E">
                  <w:pPr>
                    <w:adjustRightInd w:val="0"/>
                    <w:jc w:val="center"/>
                    <w:rPr>
                      <w:bCs/>
                      <w:szCs w:val="21"/>
                    </w:rPr>
                  </w:pPr>
                  <w:r>
                    <w:rPr>
                      <w:bCs/>
                      <w:szCs w:val="21"/>
                    </w:rPr>
                    <w:t>银</w:t>
                  </w:r>
                </w:p>
              </w:tc>
              <w:tc>
                <w:tcPr>
                  <w:tcW w:w="552" w:type="pct"/>
                  <w:vAlign w:val="center"/>
                </w:tcPr>
                <w:p w14:paraId="27936F19">
                  <w:pPr>
                    <w:adjustRightInd w:val="0"/>
                    <w:jc w:val="center"/>
                    <w:rPr>
                      <w:bCs/>
                      <w:szCs w:val="21"/>
                    </w:rPr>
                  </w:pPr>
                  <w:r>
                    <w:rPr>
                      <w:rFonts w:hint="eastAsia"/>
                      <w:bCs/>
                      <w:szCs w:val="21"/>
                    </w:rPr>
                    <w:t>0.01L</w:t>
                  </w:r>
                </w:p>
              </w:tc>
              <w:tc>
                <w:tcPr>
                  <w:tcW w:w="584" w:type="pct"/>
                  <w:vAlign w:val="center"/>
                </w:tcPr>
                <w:p w14:paraId="20179608">
                  <w:pPr>
                    <w:adjustRightInd w:val="0"/>
                    <w:jc w:val="center"/>
                    <w:rPr>
                      <w:bCs/>
                      <w:szCs w:val="21"/>
                    </w:rPr>
                  </w:pPr>
                  <w:r>
                    <w:rPr>
                      <w:rFonts w:hint="eastAsia"/>
                      <w:bCs/>
                      <w:szCs w:val="21"/>
                    </w:rPr>
                    <w:t>0.01L</w:t>
                  </w:r>
                </w:p>
              </w:tc>
              <w:tc>
                <w:tcPr>
                  <w:tcW w:w="520" w:type="pct"/>
                  <w:vAlign w:val="center"/>
                </w:tcPr>
                <w:p w14:paraId="4F99E5DB">
                  <w:pPr>
                    <w:adjustRightInd w:val="0"/>
                    <w:jc w:val="center"/>
                    <w:rPr>
                      <w:bCs/>
                      <w:szCs w:val="21"/>
                    </w:rPr>
                  </w:pPr>
                  <w:r>
                    <w:rPr>
                      <w:rFonts w:hint="eastAsia"/>
                      <w:bCs/>
                      <w:szCs w:val="21"/>
                    </w:rPr>
                    <w:t>0.01L</w:t>
                  </w:r>
                </w:p>
              </w:tc>
              <w:tc>
                <w:tcPr>
                  <w:tcW w:w="552" w:type="pct"/>
                  <w:vAlign w:val="center"/>
                </w:tcPr>
                <w:p w14:paraId="1F28880E">
                  <w:pPr>
                    <w:adjustRightInd w:val="0"/>
                    <w:jc w:val="center"/>
                    <w:rPr>
                      <w:bCs/>
                      <w:szCs w:val="21"/>
                    </w:rPr>
                  </w:pPr>
                  <w:r>
                    <w:rPr>
                      <w:rFonts w:hint="eastAsia"/>
                      <w:bCs/>
                      <w:szCs w:val="21"/>
                    </w:rPr>
                    <w:t>0.01L</w:t>
                  </w:r>
                </w:p>
              </w:tc>
              <w:tc>
                <w:tcPr>
                  <w:tcW w:w="594" w:type="pct"/>
                  <w:vAlign w:val="center"/>
                </w:tcPr>
                <w:p w14:paraId="067166F7">
                  <w:pPr>
                    <w:adjustRightInd w:val="0"/>
                    <w:jc w:val="center"/>
                    <w:rPr>
                      <w:bCs/>
                      <w:szCs w:val="21"/>
                    </w:rPr>
                  </w:pPr>
                  <w:r>
                    <w:rPr>
                      <w:rFonts w:hint="eastAsia"/>
                      <w:bCs/>
                      <w:szCs w:val="21"/>
                    </w:rPr>
                    <w:t>0.01L</w:t>
                  </w:r>
                </w:p>
              </w:tc>
              <w:tc>
                <w:tcPr>
                  <w:tcW w:w="605" w:type="pct"/>
                  <w:vAlign w:val="center"/>
                </w:tcPr>
                <w:p w14:paraId="602BB46A">
                  <w:pPr>
                    <w:adjustRightInd w:val="0"/>
                    <w:jc w:val="center"/>
                    <w:rPr>
                      <w:bCs/>
                      <w:szCs w:val="21"/>
                    </w:rPr>
                  </w:pPr>
                  <w:r>
                    <w:rPr>
                      <w:bCs/>
                      <w:szCs w:val="21"/>
                    </w:rPr>
                    <w:t>5</w:t>
                  </w:r>
                </w:p>
              </w:tc>
              <w:tc>
                <w:tcPr>
                  <w:tcW w:w="427" w:type="pct"/>
                  <w:vAlign w:val="center"/>
                </w:tcPr>
                <w:p w14:paraId="50738F91">
                  <w:pPr>
                    <w:adjustRightInd w:val="0"/>
                    <w:jc w:val="center"/>
                    <w:rPr>
                      <w:bCs/>
                      <w:szCs w:val="21"/>
                    </w:rPr>
                  </w:pPr>
                  <w:r>
                    <w:rPr>
                      <w:bCs/>
                      <w:szCs w:val="21"/>
                    </w:rPr>
                    <w:t>合格</w:t>
                  </w:r>
                </w:p>
              </w:tc>
            </w:tr>
            <w:tr w14:paraId="4774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2BB14858">
                  <w:pPr>
                    <w:adjustRightInd w:val="0"/>
                    <w:jc w:val="center"/>
                    <w:rPr>
                      <w:bCs/>
                      <w:szCs w:val="21"/>
                    </w:rPr>
                  </w:pPr>
                </w:p>
              </w:tc>
              <w:tc>
                <w:tcPr>
                  <w:tcW w:w="742" w:type="pct"/>
                  <w:vAlign w:val="center"/>
                </w:tcPr>
                <w:p w14:paraId="0D173D90">
                  <w:pPr>
                    <w:adjustRightInd w:val="0"/>
                    <w:jc w:val="center"/>
                    <w:rPr>
                      <w:bCs/>
                      <w:szCs w:val="21"/>
                    </w:rPr>
                  </w:pPr>
                  <w:r>
                    <w:rPr>
                      <w:bCs/>
                      <w:szCs w:val="21"/>
                    </w:rPr>
                    <w:t>砷</w:t>
                  </w:r>
                  <w:r>
                    <w:rPr>
                      <w:rFonts w:hint="eastAsia"/>
                      <w:bCs/>
                      <w:szCs w:val="21"/>
                    </w:rPr>
                    <w:t>(μg/L）</w:t>
                  </w:r>
                </w:p>
              </w:tc>
              <w:tc>
                <w:tcPr>
                  <w:tcW w:w="552" w:type="pct"/>
                  <w:vAlign w:val="center"/>
                </w:tcPr>
                <w:p w14:paraId="474F7481">
                  <w:pPr>
                    <w:adjustRightInd w:val="0"/>
                    <w:jc w:val="center"/>
                    <w:rPr>
                      <w:bCs/>
                      <w:szCs w:val="21"/>
                    </w:rPr>
                  </w:pPr>
                  <w:r>
                    <w:rPr>
                      <w:rFonts w:hint="eastAsia"/>
                      <w:bCs/>
                      <w:szCs w:val="21"/>
                    </w:rPr>
                    <w:t>44</w:t>
                  </w:r>
                </w:p>
              </w:tc>
              <w:tc>
                <w:tcPr>
                  <w:tcW w:w="584" w:type="pct"/>
                  <w:vAlign w:val="center"/>
                </w:tcPr>
                <w:p w14:paraId="14F09D8C">
                  <w:pPr>
                    <w:adjustRightInd w:val="0"/>
                    <w:jc w:val="center"/>
                    <w:rPr>
                      <w:bCs/>
                      <w:szCs w:val="21"/>
                    </w:rPr>
                  </w:pPr>
                  <w:r>
                    <w:rPr>
                      <w:rFonts w:hint="eastAsia"/>
                      <w:bCs/>
                      <w:szCs w:val="21"/>
                    </w:rPr>
                    <w:t>44</w:t>
                  </w:r>
                </w:p>
              </w:tc>
              <w:tc>
                <w:tcPr>
                  <w:tcW w:w="520" w:type="pct"/>
                  <w:vAlign w:val="center"/>
                </w:tcPr>
                <w:p w14:paraId="4B5A27A8">
                  <w:pPr>
                    <w:adjustRightInd w:val="0"/>
                    <w:jc w:val="center"/>
                    <w:rPr>
                      <w:bCs/>
                      <w:szCs w:val="21"/>
                    </w:rPr>
                  </w:pPr>
                  <w:r>
                    <w:rPr>
                      <w:rFonts w:hint="eastAsia"/>
                      <w:bCs/>
                      <w:szCs w:val="21"/>
                    </w:rPr>
                    <w:t>42.3</w:t>
                  </w:r>
                </w:p>
              </w:tc>
              <w:tc>
                <w:tcPr>
                  <w:tcW w:w="552" w:type="pct"/>
                  <w:vAlign w:val="center"/>
                </w:tcPr>
                <w:p w14:paraId="6131F5F5">
                  <w:pPr>
                    <w:adjustRightInd w:val="0"/>
                    <w:jc w:val="center"/>
                    <w:rPr>
                      <w:bCs/>
                      <w:szCs w:val="21"/>
                    </w:rPr>
                  </w:pPr>
                  <w:r>
                    <w:rPr>
                      <w:rFonts w:hint="eastAsia"/>
                      <w:bCs/>
                      <w:szCs w:val="21"/>
                    </w:rPr>
                    <w:t>41.1</w:t>
                  </w:r>
                </w:p>
              </w:tc>
              <w:tc>
                <w:tcPr>
                  <w:tcW w:w="594" w:type="pct"/>
                  <w:vAlign w:val="center"/>
                </w:tcPr>
                <w:p w14:paraId="6A8C8C31">
                  <w:pPr>
                    <w:adjustRightInd w:val="0"/>
                    <w:jc w:val="center"/>
                    <w:rPr>
                      <w:bCs/>
                      <w:szCs w:val="21"/>
                    </w:rPr>
                  </w:pPr>
                  <w:r>
                    <w:rPr>
                      <w:rFonts w:hint="eastAsia"/>
                      <w:bCs/>
                      <w:szCs w:val="21"/>
                    </w:rPr>
                    <w:t>41.5</w:t>
                  </w:r>
                </w:p>
              </w:tc>
              <w:tc>
                <w:tcPr>
                  <w:tcW w:w="605" w:type="pct"/>
                  <w:vAlign w:val="center"/>
                </w:tcPr>
                <w:p w14:paraId="13CCCA8F">
                  <w:pPr>
                    <w:adjustRightInd w:val="0"/>
                    <w:jc w:val="center"/>
                    <w:rPr>
                      <w:bCs/>
                      <w:szCs w:val="21"/>
                    </w:rPr>
                  </w:pPr>
                  <w:r>
                    <w:rPr>
                      <w:bCs/>
                      <w:szCs w:val="21"/>
                    </w:rPr>
                    <w:t>5</w:t>
                  </w:r>
                </w:p>
              </w:tc>
              <w:tc>
                <w:tcPr>
                  <w:tcW w:w="427" w:type="pct"/>
                  <w:vAlign w:val="center"/>
                </w:tcPr>
                <w:p w14:paraId="33200000">
                  <w:pPr>
                    <w:adjustRightInd w:val="0"/>
                    <w:jc w:val="center"/>
                    <w:rPr>
                      <w:bCs/>
                      <w:szCs w:val="21"/>
                    </w:rPr>
                  </w:pPr>
                  <w:r>
                    <w:rPr>
                      <w:bCs/>
                      <w:szCs w:val="21"/>
                    </w:rPr>
                    <w:t>合格</w:t>
                  </w:r>
                </w:p>
              </w:tc>
            </w:tr>
            <w:tr w14:paraId="051B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1E630877">
                  <w:pPr>
                    <w:adjustRightInd w:val="0"/>
                    <w:jc w:val="center"/>
                    <w:rPr>
                      <w:bCs/>
                      <w:szCs w:val="21"/>
                    </w:rPr>
                  </w:pPr>
                </w:p>
              </w:tc>
              <w:tc>
                <w:tcPr>
                  <w:tcW w:w="742" w:type="pct"/>
                  <w:vAlign w:val="center"/>
                </w:tcPr>
                <w:p w14:paraId="6A7CA032">
                  <w:pPr>
                    <w:adjustRightInd w:val="0"/>
                    <w:jc w:val="center"/>
                    <w:rPr>
                      <w:bCs/>
                      <w:szCs w:val="21"/>
                    </w:rPr>
                  </w:pPr>
                  <w:r>
                    <w:rPr>
                      <w:bCs/>
                      <w:szCs w:val="21"/>
                    </w:rPr>
                    <w:t>氟化物</w:t>
                  </w:r>
                </w:p>
              </w:tc>
              <w:tc>
                <w:tcPr>
                  <w:tcW w:w="552" w:type="pct"/>
                  <w:vAlign w:val="center"/>
                </w:tcPr>
                <w:p w14:paraId="7F7D8E63">
                  <w:pPr>
                    <w:adjustRightInd w:val="0"/>
                    <w:jc w:val="center"/>
                    <w:rPr>
                      <w:bCs/>
                      <w:szCs w:val="21"/>
                    </w:rPr>
                  </w:pPr>
                  <w:r>
                    <w:rPr>
                      <w:rFonts w:hint="eastAsia"/>
                      <w:bCs/>
                      <w:szCs w:val="21"/>
                    </w:rPr>
                    <w:t>0.1</w:t>
                  </w:r>
                </w:p>
              </w:tc>
              <w:tc>
                <w:tcPr>
                  <w:tcW w:w="584" w:type="pct"/>
                  <w:vAlign w:val="center"/>
                </w:tcPr>
                <w:p w14:paraId="4FA96D4E">
                  <w:pPr>
                    <w:adjustRightInd w:val="0"/>
                    <w:jc w:val="center"/>
                    <w:rPr>
                      <w:bCs/>
                      <w:szCs w:val="21"/>
                    </w:rPr>
                  </w:pPr>
                  <w:r>
                    <w:rPr>
                      <w:rFonts w:hint="eastAsia"/>
                      <w:bCs/>
                      <w:szCs w:val="21"/>
                    </w:rPr>
                    <w:t>0.09</w:t>
                  </w:r>
                </w:p>
              </w:tc>
              <w:tc>
                <w:tcPr>
                  <w:tcW w:w="520" w:type="pct"/>
                  <w:vAlign w:val="center"/>
                </w:tcPr>
                <w:p w14:paraId="432C4BC5">
                  <w:pPr>
                    <w:adjustRightInd w:val="0"/>
                    <w:jc w:val="center"/>
                    <w:rPr>
                      <w:bCs/>
                      <w:szCs w:val="21"/>
                    </w:rPr>
                  </w:pPr>
                  <w:r>
                    <w:rPr>
                      <w:rFonts w:hint="eastAsia"/>
                      <w:bCs/>
                      <w:szCs w:val="21"/>
                    </w:rPr>
                    <w:t>0.12</w:t>
                  </w:r>
                </w:p>
              </w:tc>
              <w:tc>
                <w:tcPr>
                  <w:tcW w:w="552" w:type="pct"/>
                  <w:vAlign w:val="center"/>
                </w:tcPr>
                <w:p w14:paraId="1DFE7E27">
                  <w:pPr>
                    <w:adjustRightInd w:val="0"/>
                    <w:jc w:val="center"/>
                    <w:rPr>
                      <w:bCs/>
                      <w:szCs w:val="21"/>
                    </w:rPr>
                  </w:pPr>
                  <w:r>
                    <w:rPr>
                      <w:rFonts w:hint="eastAsia"/>
                      <w:bCs/>
                      <w:szCs w:val="21"/>
                    </w:rPr>
                    <w:t>0.09</w:t>
                  </w:r>
                </w:p>
              </w:tc>
              <w:tc>
                <w:tcPr>
                  <w:tcW w:w="594" w:type="pct"/>
                  <w:vAlign w:val="center"/>
                </w:tcPr>
                <w:p w14:paraId="4156C96D">
                  <w:pPr>
                    <w:adjustRightInd w:val="0"/>
                    <w:jc w:val="center"/>
                    <w:rPr>
                      <w:bCs/>
                      <w:szCs w:val="21"/>
                    </w:rPr>
                  </w:pPr>
                  <w:r>
                    <w:rPr>
                      <w:rFonts w:hint="eastAsia"/>
                      <w:bCs/>
                      <w:szCs w:val="21"/>
                    </w:rPr>
                    <w:t>0.09</w:t>
                  </w:r>
                </w:p>
              </w:tc>
              <w:tc>
                <w:tcPr>
                  <w:tcW w:w="605" w:type="pct"/>
                  <w:vAlign w:val="center"/>
                </w:tcPr>
                <w:p w14:paraId="7B84A075">
                  <w:pPr>
                    <w:adjustRightInd w:val="0"/>
                    <w:jc w:val="center"/>
                    <w:rPr>
                      <w:bCs/>
                      <w:szCs w:val="21"/>
                    </w:rPr>
                  </w:pPr>
                  <w:r>
                    <w:rPr>
                      <w:bCs/>
                      <w:szCs w:val="21"/>
                    </w:rPr>
                    <w:t>100</w:t>
                  </w:r>
                </w:p>
              </w:tc>
              <w:tc>
                <w:tcPr>
                  <w:tcW w:w="427" w:type="pct"/>
                  <w:vAlign w:val="center"/>
                </w:tcPr>
                <w:p w14:paraId="475EC6D4">
                  <w:pPr>
                    <w:adjustRightInd w:val="0"/>
                    <w:jc w:val="center"/>
                    <w:rPr>
                      <w:bCs/>
                      <w:szCs w:val="21"/>
                    </w:rPr>
                  </w:pPr>
                  <w:r>
                    <w:rPr>
                      <w:bCs/>
                      <w:szCs w:val="21"/>
                    </w:rPr>
                    <w:t>合格</w:t>
                  </w:r>
                </w:p>
              </w:tc>
            </w:tr>
          </w:tbl>
          <w:p w14:paraId="2EEC6CD8">
            <w:pPr>
              <w:spacing w:line="360" w:lineRule="auto"/>
              <w:ind w:firstLine="480" w:firstLineChars="200"/>
              <w:jc w:val="left"/>
              <w:rPr>
                <w:sz w:val="24"/>
              </w:rPr>
            </w:pPr>
            <w:r>
              <w:rPr>
                <w:sz w:val="24"/>
              </w:rPr>
              <w:t>根据上表浸出毒性鉴别结果显示，</w:t>
            </w:r>
            <w:r>
              <w:rPr>
                <w:rFonts w:hint="eastAsia"/>
                <w:sz w:val="24"/>
              </w:rPr>
              <w:t>中化云龙</w:t>
            </w:r>
            <w:r>
              <w:rPr>
                <w:sz w:val="24"/>
              </w:rPr>
              <w:t>浮选产生的尾</w:t>
            </w:r>
            <w:r>
              <w:rPr>
                <w:rFonts w:hint="eastAsia"/>
                <w:sz w:val="24"/>
              </w:rPr>
              <w:t>矿</w:t>
            </w:r>
            <w:r>
              <w:rPr>
                <w:sz w:val="24"/>
              </w:rPr>
              <w:t>不属于危险废物。</w:t>
            </w:r>
          </w:p>
          <w:p w14:paraId="294B8F88">
            <w:pPr>
              <w:spacing w:line="360" w:lineRule="auto"/>
              <w:ind w:firstLine="480" w:firstLineChars="200"/>
              <w:jc w:val="left"/>
              <w:rPr>
                <w:sz w:val="24"/>
              </w:rPr>
            </w:pPr>
            <w:r>
              <w:rPr>
                <w:rFonts w:hint="eastAsia"/>
                <w:sz w:val="24"/>
              </w:rPr>
              <w:t>根据</w:t>
            </w:r>
            <w:r>
              <w:rPr>
                <w:sz w:val="24"/>
              </w:rPr>
              <w:t>202</w:t>
            </w:r>
            <w:r>
              <w:rPr>
                <w:rFonts w:hint="eastAsia"/>
                <w:sz w:val="24"/>
              </w:rPr>
              <w:t>5</w:t>
            </w:r>
            <w:r>
              <w:rPr>
                <w:sz w:val="24"/>
              </w:rPr>
              <w:t>年</w:t>
            </w:r>
            <w:r>
              <w:rPr>
                <w:rFonts w:hint="eastAsia"/>
                <w:sz w:val="24"/>
              </w:rPr>
              <w:t>4</w:t>
            </w:r>
            <w:r>
              <w:rPr>
                <w:sz w:val="24"/>
              </w:rPr>
              <w:t>月</w:t>
            </w:r>
            <w:r>
              <w:rPr>
                <w:rFonts w:hint="eastAsia"/>
                <w:sz w:val="24"/>
              </w:rPr>
              <w:t>1</w:t>
            </w:r>
            <w:r>
              <w:rPr>
                <w:sz w:val="24"/>
              </w:rPr>
              <w:t>日中化云龙有限公司</w:t>
            </w:r>
            <w:r>
              <w:rPr>
                <w:rFonts w:hint="eastAsia"/>
                <w:sz w:val="24"/>
              </w:rPr>
              <w:t>委托云南省有色金属及制品质量监督检验站</w:t>
            </w:r>
            <w:r>
              <w:rPr>
                <w:sz w:val="24"/>
              </w:rPr>
              <w:t>按照《</w:t>
            </w:r>
            <w:r>
              <w:rPr>
                <w:rFonts w:hint="eastAsia"/>
                <w:sz w:val="24"/>
              </w:rPr>
              <w:t>固体废物浸出毒性浸出方法 水平振荡法</w:t>
            </w:r>
            <w:r>
              <w:rPr>
                <w:sz w:val="24"/>
              </w:rPr>
              <w:t>》（</w:t>
            </w:r>
            <w:r>
              <w:rPr>
                <w:rFonts w:hint="eastAsia"/>
                <w:sz w:val="24"/>
              </w:rPr>
              <w:t>HJ557</w:t>
            </w:r>
            <w:r>
              <w:rPr>
                <w:sz w:val="24"/>
              </w:rPr>
              <w:t>-20</w:t>
            </w:r>
            <w:r>
              <w:rPr>
                <w:rFonts w:hint="eastAsia"/>
                <w:sz w:val="24"/>
              </w:rPr>
              <w:t>10</w:t>
            </w:r>
            <w:r>
              <w:rPr>
                <w:sz w:val="24"/>
              </w:rPr>
              <w:t>）的方法对尾矿进行了鉴定，见下表</w:t>
            </w:r>
            <w:r>
              <w:rPr>
                <w:rFonts w:hint="eastAsia"/>
                <w:sz w:val="24"/>
              </w:rPr>
              <w:t>（见附件4）</w:t>
            </w:r>
            <w:r>
              <w:rPr>
                <w:sz w:val="24"/>
              </w:rPr>
              <w:t>。</w:t>
            </w:r>
          </w:p>
          <w:p w14:paraId="5ACFB797">
            <w:pPr>
              <w:spacing w:line="360" w:lineRule="auto"/>
              <w:jc w:val="center"/>
              <w:rPr>
                <w:b/>
                <w:bCs/>
                <w:sz w:val="24"/>
              </w:rPr>
            </w:pPr>
            <w:r>
              <w:rPr>
                <w:b/>
                <w:bCs/>
                <w:sz w:val="24"/>
              </w:rPr>
              <w:t>表</w:t>
            </w:r>
            <w:r>
              <w:rPr>
                <w:rFonts w:hint="eastAsia"/>
                <w:b/>
                <w:bCs/>
                <w:sz w:val="24"/>
              </w:rPr>
              <w:t>2-14</w:t>
            </w:r>
            <w:r>
              <w:rPr>
                <w:b/>
                <w:bCs/>
                <w:sz w:val="24"/>
              </w:rPr>
              <w:t>尾矿水平振荡结果分析单位：mg/L</w:t>
            </w:r>
          </w:p>
          <w:tbl>
            <w:tblPr>
              <w:tblStyle w:val="23"/>
              <w:tblW w:w="46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00"/>
              <w:gridCol w:w="898"/>
              <w:gridCol w:w="925"/>
              <w:gridCol w:w="1147"/>
              <w:gridCol w:w="1499"/>
              <w:gridCol w:w="1140"/>
            </w:tblGrid>
            <w:tr w14:paraId="0122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79" w:type="pct"/>
                  <w:vMerge w:val="restart"/>
                  <w:vAlign w:val="center"/>
                </w:tcPr>
                <w:p w14:paraId="1BF172C4">
                  <w:pPr>
                    <w:adjustRightInd w:val="0"/>
                    <w:jc w:val="center"/>
                    <w:rPr>
                      <w:bCs/>
                      <w:szCs w:val="21"/>
                    </w:rPr>
                  </w:pPr>
                  <w:r>
                    <w:rPr>
                      <w:bCs/>
                      <w:szCs w:val="21"/>
                    </w:rPr>
                    <w:t>样品名称</w:t>
                  </w:r>
                </w:p>
              </w:tc>
              <w:tc>
                <w:tcPr>
                  <w:tcW w:w="1346" w:type="pct"/>
                  <w:gridSpan w:val="2"/>
                  <w:vMerge w:val="restart"/>
                  <w:vAlign w:val="center"/>
                </w:tcPr>
                <w:p w14:paraId="6E869C21">
                  <w:pPr>
                    <w:adjustRightInd w:val="0"/>
                    <w:jc w:val="center"/>
                    <w:rPr>
                      <w:bCs/>
                      <w:szCs w:val="21"/>
                    </w:rPr>
                  </w:pPr>
                  <w:r>
                    <w:rPr>
                      <w:bCs/>
                      <w:szCs w:val="21"/>
                    </w:rPr>
                    <w:t>检测项目</w:t>
                  </w:r>
                </w:p>
              </w:tc>
              <w:tc>
                <w:tcPr>
                  <w:tcW w:w="623" w:type="pct"/>
                  <w:vMerge w:val="restart"/>
                  <w:vAlign w:val="center"/>
                </w:tcPr>
                <w:p w14:paraId="0D6463AF">
                  <w:pPr>
                    <w:adjustRightInd w:val="0"/>
                    <w:jc w:val="center"/>
                    <w:rPr>
                      <w:bCs/>
                      <w:szCs w:val="21"/>
                    </w:rPr>
                  </w:pPr>
                  <w:r>
                    <w:rPr>
                      <w:bCs/>
                      <w:szCs w:val="21"/>
                    </w:rPr>
                    <w:t>单位</w:t>
                  </w:r>
                </w:p>
              </w:tc>
              <w:tc>
                <w:tcPr>
                  <w:tcW w:w="773" w:type="pct"/>
                  <w:vAlign w:val="center"/>
                </w:tcPr>
                <w:p w14:paraId="1D7C4E97">
                  <w:pPr>
                    <w:adjustRightInd w:val="0"/>
                    <w:jc w:val="center"/>
                    <w:rPr>
                      <w:bCs/>
                      <w:szCs w:val="21"/>
                    </w:rPr>
                  </w:pPr>
                  <w:r>
                    <w:rPr>
                      <w:bCs/>
                      <w:szCs w:val="21"/>
                    </w:rPr>
                    <w:t>检测结果</w:t>
                  </w:r>
                </w:p>
              </w:tc>
              <w:tc>
                <w:tcPr>
                  <w:tcW w:w="1010" w:type="pct"/>
                  <w:vMerge w:val="restart"/>
                  <w:vAlign w:val="center"/>
                </w:tcPr>
                <w:p w14:paraId="5193341C">
                  <w:pPr>
                    <w:adjustRightInd w:val="0"/>
                    <w:jc w:val="center"/>
                    <w:rPr>
                      <w:bCs/>
                      <w:szCs w:val="21"/>
                    </w:rPr>
                  </w:pPr>
                  <w:r>
                    <w:rPr>
                      <w:bCs/>
                      <w:szCs w:val="21"/>
                    </w:rPr>
                    <w:t>《污水综合排放标准》GB8978-1996</w:t>
                  </w:r>
                </w:p>
              </w:tc>
              <w:tc>
                <w:tcPr>
                  <w:tcW w:w="766" w:type="pct"/>
                  <w:vMerge w:val="restart"/>
                  <w:vAlign w:val="center"/>
                </w:tcPr>
                <w:p w14:paraId="6A62163F">
                  <w:pPr>
                    <w:adjustRightInd w:val="0"/>
                    <w:jc w:val="center"/>
                    <w:rPr>
                      <w:bCs/>
                      <w:szCs w:val="21"/>
                    </w:rPr>
                  </w:pPr>
                  <w:r>
                    <w:rPr>
                      <w:bCs/>
                      <w:szCs w:val="21"/>
                    </w:rPr>
                    <w:t>单项判定</w:t>
                  </w:r>
                </w:p>
              </w:tc>
            </w:tr>
            <w:tr w14:paraId="2EF1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9" w:type="pct"/>
                  <w:vMerge w:val="continue"/>
                  <w:vAlign w:val="center"/>
                </w:tcPr>
                <w:p w14:paraId="2C7D9C48">
                  <w:pPr>
                    <w:adjustRightInd w:val="0"/>
                    <w:jc w:val="center"/>
                  </w:pPr>
                </w:p>
              </w:tc>
              <w:tc>
                <w:tcPr>
                  <w:tcW w:w="1346" w:type="pct"/>
                  <w:gridSpan w:val="2"/>
                  <w:vMerge w:val="continue"/>
                  <w:vAlign w:val="center"/>
                </w:tcPr>
                <w:p w14:paraId="25388A44">
                  <w:pPr>
                    <w:adjustRightInd w:val="0"/>
                    <w:jc w:val="center"/>
                  </w:pPr>
                </w:p>
              </w:tc>
              <w:tc>
                <w:tcPr>
                  <w:tcW w:w="623" w:type="pct"/>
                  <w:vMerge w:val="continue"/>
                  <w:vAlign w:val="center"/>
                </w:tcPr>
                <w:p w14:paraId="7DE55776">
                  <w:pPr>
                    <w:adjustRightInd w:val="0"/>
                    <w:jc w:val="center"/>
                  </w:pPr>
                </w:p>
              </w:tc>
              <w:tc>
                <w:tcPr>
                  <w:tcW w:w="773" w:type="pct"/>
                  <w:vAlign w:val="center"/>
                </w:tcPr>
                <w:p w14:paraId="41729C39">
                  <w:pPr>
                    <w:adjustRightInd w:val="0"/>
                    <w:jc w:val="center"/>
                    <w:rPr>
                      <w:bCs/>
                      <w:szCs w:val="21"/>
                      <w:lang w:val="en-GB"/>
                    </w:rPr>
                  </w:pPr>
                  <w:r>
                    <w:rPr>
                      <w:rFonts w:hint="eastAsia"/>
                      <w:bCs/>
                      <w:szCs w:val="21"/>
                      <w:lang w:val="en-GB"/>
                    </w:rPr>
                    <w:t>浮选</w:t>
                  </w:r>
                  <w:r>
                    <w:rPr>
                      <w:bCs/>
                      <w:szCs w:val="21"/>
                      <w:lang w:val="en-GB"/>
                    </w:rPr>
                    <w:t>尾</w:t>
                  </w:r>
                  <w:r>
                    <w:rPr>
                      <w:rFonts w:hint="eastAsia"/>
                      <w:bCs/>
                      <w:szCs w:val="21"/>
                      <w:lang w:val="en-GB"/>
                    </w:rPr>
                    <w:t>矿</w:t>
                  </w:r>
                </w:p>
              </w:tc>
              <w:tc>
                <w:tcPr>
                  <w:tcW w:w="1010" w:type="pct"/>
                  <w:vMerge w:val="continue"/>
                  <w:vAlign w:val="center"/>
                </w:tcPr>
                <w:p w14:paraId="33063D6E">
                  <w:pPr>
                    <w:adjustRightInd w:val="0"/>
                    <w:jc w:val="center"/>
                  </w:pPr>
                </w:p>
              </w:tc>
              <w:tc>
                <w:tcPr>
                  <w:tcW w:w="766" w:type="pct"/>
                  <w:vMerge w:val="continue"/>
                  <w:vAlign w:val="center"/>
                </w:tcPr>
                <w:p w14:paraId="7ABA3D78">
                  <w:pPr>
                    <w:adjustRightInd w:val="0"/>
                    <w:jc w:val="center"/>
                  </w:pPr>
                </w:p>
              </w:tc>
            </w:tr>
            <w:tr w14:paraId="3451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restart"/>
                  <w:vAlign w:val="center"/>
                </w:tcPr>
                <w:p w14:paraId="4D9DF008">
                  <w:pPr>
                    <w:adjustRightInd w:val="0"/>
                    <w:jc w:val="center"/>
                    <w:rPr>
                      <w:bCs/>
                      <w:szCs w:val="21"/>
                    </w:rPr>
                  </w:pPr>
                  <w:r>
                    <w:rPr>
                      <w:bCs/>
                      <w:szCs w:val="21"/>
                    </w:rPr>
                    <w:t>尾</w:t>
                  </w:r>
                  <w:r>
                    <w:rPr>
                      <w:rFonts w:hint="eastAsia"/>
                      <w:bCs/>
                      <w:szCs w:val="21"/>
                    </w:rPr>
                    <w:t>矿</w:t>
                  </w:r>
                </w:p>
              </w:tc>
              <w:tc>
                <w:tcPr>
                  <w:tcW w:w="1346" w:type="pct"/>
                  <w:gridSpan w:val="2"/>
                  <w:vAlign w:val="center"/>
                </w:tcPr>
                <w:p w14:paraId="0FF2A6CD">
                  <w:pPr>
                    <w:adjustRightInd w:val="0"/>
                    <w:jc w:val="center"/>
                    <w:rPr>
                      <w:bCs/>
                      <w:szCs w:val="21"/>
                    </w:rPr>
                  </w:pPr>
                  <w:r>
                    <w:rPr>
                      <w:rFonts w:hint="eastAsia"/>
                      <w:bCs/>
                      <w:szCs w:val="21"/>
                    </w:rPr>
                    <w:t>pH</w:t>
                  </w:r>
                </w:p>
              </w:tc>
              <w:tc>
                <w:tcPr>
                  <w:tcW w:w="623" w:type="pct"/>
                  <w:vAlign w:val="center"/>
                </w:tcPr>
                <w:p w14:paraId="271E30D8">
                  <w:pPr>
                    <w:adjustRightInd w:val="0"/>
                    <w:jc w:val="center"/>
                    <w:rPr>
                      <w:bCs/>
                      <w:szCs w:val="21"/>
                    </w:rPr>
                  </w:pPr>
                  <w:r>
                    <w:rPr>
                      <w:rFonts w:hint="eastAsia"/>
                      <w:bCs/>
                      <w:szCs w:val="21"/>
                    </w:rPr>
                    <w:t>无量纲</w:t>
                  </w:r>
                </w:p>
              </w:tc>
              <w:tc>
                <w:tcPr>
                  <w:tcW w:w="773" w:type="pct"/>
                  <w:vAlign w:val="center"/>
                </w:tcPr>
                <w:p w14:paraId="71D28660">
                  <w:pPr>
                    <w:adjustRightInd w:val="0"/>
                    <w:jc w:val="center"/>
                    <w:rPr>
                      <w:bCs/>
                      <w:szCs w:val="21"/>
                    </w:rPr>
                  </w:pPr>
                  <w:r>
                    <w:rPr>
                      <w:rFonts w:hint="eastAsia"/>
                      <w:bCs/>
                      <w:szCs w:val="21"/>
                    </w:rPr>
                    <w:t>7.2</w:t>
                  </w:r>
                </w:p>
              </w:tc>
              <w:tc>
                <w:tcPr>
                  <w:tcW w:w="1010" w:type="pct"/>
                  <w:vAlign w:val="center"/>
                </w:tcPr>
                <w:p w14:paraId="6AD5B0A1">
                  <w:pPr>
                    <w:adjustRightInd w:val="0"/>
                    <w:jc w:val="center"/>
                    <w:rPr>
                      <w:bCs/>
                      <w:szCs w:val="21"/>
                    </w:rPr>
                  </w:pPr>
                  <w:r>
                    <w:rPr>
                      <w:rFonts w:hint="eastAsia"/>
                      <w:bCs/>
                      <w:szCs w:val="21"/>
                    </w:rPr>
                    <w:t>6-9</w:t>
                  </w:r>
                </w:p>
              </w:tc>
              <w:tc>
                <w:tcPr>
                  <w:tcW w:w="766" w:type="pct"/>
                  <w:vAlign w:val="center"/>
                </w:tcPr>
                <w:p w14:paraId="047EC7BE">
                  <w:pPr>
                    <w:adjustRightInd w:val="0"/>
                    <w:jc w:val="center"/>
                    <w:rPr>
                      <w:bCs/>
                      <w:szCs w:val="21"/>
                    </w:rPr>
                  </w:pPr>
                  <w:r>
                    <w:rPr>
                      <w:bCs/>
                      <w:szCs w:val="21"/>
                    </w:rPr>
                    <w:t>合格</w:t>
                  </w:r>
                </w:p>
              </w:tc>
            </w:tr>
            <w:tr w14:paraId="6738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34DF855D">
                  <w:pPr>
                    <w:adjustRightInd w:val="0"/>
                    <w:jc w:val="center"/>
                    <w:rPr>
                      <w:bCs/>
                      <w:szCs w:val="21"/>
                    </w:rPr>
                  </w:pPr>
                </w:p>
              </w:tc>
              <w:tc>
                <w:tcPr>
                  <w:tcW w:w="1346" w:type="pct"/>
                  <w:gridSpan w:val="2"/>
                  <w:shd w:val="clear" w:color="auto" w:fill="auto"/>
                  <w:vAlign w:val="center"/>
                </w:tcPr>
                <w:p w14:paraId="4762DD36">
                  <w:pPr>
                    <w:adjustRightInd w:val="0"/>
                    <w:jc w:val="center"/>
                    <w:rPr>
                      <w:bCs/>
                      <w:szCs w:val="21"/>
                    </w:rPr>
                  </w:pPr>
                  <w:r>
                    <w:rPr>
                      <w:bCs/>
                      <w:szCs w:val="21"/>
                    </w:rPr>
                    <w:t>铜</w:t>
                  </w:r>
                </w:p>
              </w:tc>
              <w:tc>
                <w:tcPr>
                  <w:tcW w:w="623" w:type="pct"/>
                  <w:shd w:val="clear" w:color="auto" w:fill="auto"/>
                  <w:vAlign w:val="center"/>
                </w:tcPr>
                <w:p w14:paraId="0015A60D">
                  <w:pPr>
                    <w:adjustRightInd w:val="0"/>
                    <w:jc w:val="center"/>
                    <w:rPr>
                      <w:bCs/>
                      <w:szCs w:val="21"/>
                    </w:rPr>
                  </w:pPr>
                  <w:r>
                    <w:rPr>
                      <w:bCs/>
                      <w:szCs w:val="21"/>
                    </w:rPr>
                    <w:t>mg/L</w:t>
                  </w:r>
                </w:p>
              </w:tc>
              <w:tc>
                <w:tcPr>
                  <w:tcW w:w="773" w:type="pct"/>
                  <w:shd w:val="clear" w:color="auto" w:fill="auto"/>
                  <w:vAlign w:val="center"/>
                </w:tcPr>
                <w:p w14:paraId="13713FEB">
                  <w:pPr>
                    <w:adjustRightInd w:val="0"/>
                    <w:jc w:val="center"/>
                    <w:rPr>
                      <w:bCs/>
                      <w:szCs w:val="21"/>
                    </w:rPr>
                  </w:pPr>
                  <w:r>
                    <w:rPr>
                      <w:rFonts w:hint="eastAsia"/>
                      <w:bCs/>
                      <w:szCs w:val="21"/>
                    </w:rPr>
                    <w:t>＜0.006</w:t>
                  </w:r>
                </w:p>
              </w:tc>
              <w:tc>
                <w:tcPr>
                  <w:tcW w:w="1010" w:type="pct"/>
                  <w:shd w:val="clear" w:color="auto" w:fill="auto"/>
                  <w:vAlign w:val="center"/>
                </w:tcPr>
                <w:p w14:paraId="2C919613">
                  <w:pPr>
                    <w:adjustRightInd w:val="0"/>
                    <w:jc w:val="center"/>
                    <w:rPr>
                      <w:bCs/>
                      <w:szCs w:val="21"/>
                    </w:rPr>
                  </w:pPr>
                  <w:r>
                    <w:rPr>
                      <w:sz w:val="22"/>
                      <w:szCs w:val="21"/>
                    </w:rPr>
                    <w:t>0.5</w:t>
                  </w:r>
                </w:p>
              </w:tc>
              <w:tc>
                <w:tcPr>
                  <w:tcW w:w="766" w:type="pct"/>
                  <w:shd w:val="clear" w:color="auto" w:fill="auto"/>
                  <w:vAlign w:val="center"/>
                </w:tcPr>
                <w:p w14:paraId="0993A93E">
                  <w:pPr>
                    <w:adjustRightInd w:val="0"/>
                    <w:jc w:val="center"/>
                    <w:rPr>
                      <w:bCs/>
                      <w:szCs w:val="21"/>
                    </w:rPr>
                  </w:pPr>
                  <w:r>
                    <w:rPr>
                      <w:bCs/>
                      <w:szCs w:val="21"/>
                    </w:rPr>
                    <w:t>合格</w:t>
                  </w:r>
                </w:p>
              </w:tc>
            </w:tr>
            <w:tr w14:paraId="5BA6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6A86DACB">
                  <w:pPr>
                    <w:adjustRightInd w:val="0"/>
                    <w:jc w:val="center"/>
                    <w:rPr>
                      <w:bCs/>
                      <w:szCs w:val="21"/>
                    </w:rPr>
                  </w:pPr>
                </w:p>
              </w:tc>
              <w:tc>
                <w:tcPr>
                  <w:tcW w:w="1346" w:type="pct"/>
                  <w:gridSpan w:val="2"/>
                  <w:vAlign w:val="center"/>
                </w:tcPr>
                <w:p w14:paraId="0E172FC6">
                  <w:pPr>
                    <w:adjustRightInd w:val="0"/>
                    <w:jc w:val="center"/>
                    <w:rPr>
                      <w:bCs/>
                      <w:szCs w:val="21"/>
                    </w:rPr>
                  </w:pPr>
                  <w:r>
                    <w:rPr>
                      <w:bCs/>
                      <w:szCs w:val="21"/>
                    </w:rPr>
                    <w:t>锌</w:t>
                  </w:r>
                </w:p>
              </w:tc>
              <w:tc>
                <w:tcPr>
                  <w:tcW w:w="623" w:type="pct"/>
                  <w:vAlign w:val="center"/>
                </w:tcPr>
                <w:p w14:paraId="227E4C04">
                  <w:pPr>
                    <w:adjustRightInd w:val="0"/>
                    <w:jc w:val="center"/>
                    <w:rPr>
                      <w:bCs/>
                      <w:szCs w:val="21"/>
                    </w:rPr>
                  </w:pPr>
                  <w:r>
                    <w:rPr>
                      <w:bCs/>
                      <w:szCs w:val="21"/>
                    </w:rPr>
                    <w:t>mg/L</w:t>
                  </w:r>
                </w:p>
              </w:tc>
              <w:tc>
                <w:tcPr>
                  <w:tcW w:w="773" w:type="pct"/>
                  <w:vAlign w:val="center"/>
                </w:tcPr>
                <w:p w14:paraId="17B8C54C">
                  <w:pPr>
                    <w:adjustRightInd w:val="0"/>
                    <w:jc w:val="center"/>
                    <w:rPr>
                      <w:bCs/>
                      <w:szCs w:val="21"/>
                    </w:rPr>
                  </w:pPr>
                  <w:r>
                    <w:rPr>
                      <w:rFonts w:hint="eastAsia"/>
                      <w:bCs/>
                      <w:szCs w:val="21"/>
                    </w:rPr>
                    <w:t>0.02</w:t>
                  </w:r>
                </w:p>
              </w:tc>
              <w:tc>
                <w:tcPr>
                  <w:tcW w:w="1010" w:type="pct"/>
                  <w:vAlign w:val="center"/>
                </w:tcPr>
                <w:p w14:paraId="08C2A2FA">
                  <w:pPr>
                    <w:adjustRightInd w:val="0"/>
                    <w:jc w:val="center"/>
                    <w:rPr>
                      <w:bCs/>
                      <w:szCs w:val="21"/>
                    </w:rPr>
                  </w:pPr>
                  <w:r>
                    <w:rPr>
                      <w:sz w:val="22"/>
                      <w:szCs w:val="21"/>
                    </w:rPr>
                    <w:t>2.0</w:t>
                  </w:r>
                </w:p>
              </w:tc>
              <w:tc>
                <w:tcPr>
                  <w:tcW w:w="766" w:type="pct"/>
                  <w:vAlign w:val="center"/>
                </w:tcPr>
                <w:p w14:paraId="3D3A6337">
                  <w:pPr>
                    <w:adjustRightInd w:val="0"/>
                    <w:jc w:val="center"/>
                    <w:rPr>
                      <w:bCs/>
                      <w:szCs w:val="21"/>
                    </w:rPr>
                  </w:pPr>
                  <w:r>
                    <w:rPr>
                      <w:bCs/>
                      <w:szCs w:val="21"/>
                    </w:rPr>
                    <w:t>合格</w:t>
                  </w:r>
                </w:p>
              </w:tc>
            </w:tr>
            <w:tr w14:paraId="6EC1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100BDDC5">
                  <w:pPr>
                    <w:adjustRightInd w:val="0"/>
                    <w:jc w:val="center"/>
                    <w:rPr>
                      <w:bCs/>
                      <w:szCs w:val="21"/>
                    </w:rPr>
                  </w:pPr>
                </w:p>
              </w:tc>
              <w:tc>
                <w:tcPr>
                  <w:tcW w:w="1346" w:type="pct"/>
                  <w:gridSpan w:val="2"/>
                  <w:vAlign w:val="center"/>
                </w:tcPr>
                <w:p w14:paraId="57E53CE4">
                  <w:pPr>
                    <w:adjustRightInd w:val="0"/>
                    <w:jc w:val="center"/>
                    <w:rPr>
                      <w:bCs/>
                      <w:szCs w:val="21"/>
                    </w:rPr>
                  </w:pPr>
                  <w:r>
                    <w:rPr>
                      <w:bCs/>
                      <w:szCs w:val="21"/>
                    </w:rPr>
                    <w:t>镉</w:t>
                  </w:r>
                </w:p>
              </w:tc>
              <w:tc>
                <w:tcPr>
                  <w:tcW w:w="623" w:type="pct"/>
                  <w:vAlign w:val="center"/>
                </w:tcPr>
                <w:p w14:paraId="37455B5A">
                  <w:pPr>
                    <w:adjustRightInd w:val="0"/>
                    <w:jc w:val="center"/>
                    <w:rPr>
                      <w:bCs/>
                      <w:szCs w:val="21"/>
                    </w:rPr>
                  </w:pPr>
                  <w:r>
                    <w:rPr>
                      <w:bCs/>
                      <w:szCs w:val="21"/>
                    </w:rPr>
                    <w:t>mg/L</w:t>
                  </w:r>
                </w:p>
              </w:tc>
              <w:tc>
                <w:tcPr>
                  <w:tcW w:w="773" w:type="pct"/>
                  <w:vAlign w:val="center"/>
                </w:tcPr>
                <w:p w14:paraId="28CC544D">
                  <w:pPr>
                    <w:adjustRightInd w:val="0"/>
                    <w:jc w:val="center"/>
                    <w:rPr>
                      <w:bCs/>
                      <w:szCs w:val="21"/>
                    </w:rPr>
                  </w:pPr>
                  <w:r>
                    <w:rPr>
                      <w:rFonts w:hint="eastAsia"/>
                      <w:bCs/>
                      <w:szCs w:val="21"/>
                    </w:rPr>
                    <w:t>＜0.005</w:t>
                  </w:r>
                </w:p>
              </w:tc>
              <w:tc>
                <w:tcPr>
                  <w:tcW w:w="1010" w:type="pct"/>
                  <w:vAlign w:val="center"/>
                </w:tcPr>
                <w:p w14:paraId="328A315A">
                  <w:pPr>
                    <w:adjustRightInd w:val="0"/>
                    <w:jc w:val="center"/>
                    <w:rPr>
                      <w:bCs/>
                      <w:szCs w:val="21"/>
                    </w:rPr>
                  </w:pPr>
                  <w:r>
                    <w:rPr>
                      <w:sz w:val="22"/>
                      <w:szCs w:val="21"/>
                    </w:rPr>
                    <w:t>0.1</w:t>
                  </w:r>
                </w:p>
              </w:tc>
              <w:tc>
                <w:tcPr>
                  <w:tcW w:w="766" w:type="pct"/>
                  <w:vAlign w:val="center"/>
                </w:tcPr>
                <w:p w14:paraId="7E270AA8">
                  <w:pPr>
                    <w:adjustRightInd w:val="0"/>
                    <w:jc w:val="center"/>
                    <w:rPr>
                      <w:bCs/>
                      <w:szCs w:val="21"/>
                    </w:rPr>
                  </w:pPr>
                  <w:r>
                    <w:rPr>
                      <w:bCs/>
                      <w:szCs w:val="21"/>
                    </w:rPr>
                    <w:t>合格</w:t>
                  </w:r>
                </w:p>
              </w:tc>
            </w:tr>
            <w:tr w14:paraId="371C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597064D7">
                  <w:pPr>
                    <w:adjustRightInd w:val="0"/>
                    <w:jc w:val="center"/>
                    <w:rPr>
                      <w:bCs/>
                      <w:szCs w:val="21"/>
                    </w:rPr>
                  </w:pPr>
                </w:p>
              </w:tc>
              <w:tc>
                <w:tcPr>
                  <w:tcW w:w="1346" w:type="pct"/>
                  <w:gridSpan w:val="2"/>
                  <w:vAlign w:val="center"/>
                </w:tcPr>
                <w:p w14:paraId="7B72E506">
                  <w:pPr>
                    <w:adjustRightInd w:val="0"/>
                    <w:jc w:val="center"/>
                    <w:rPr>
                      <w:bCs/>
                      <w:szCs w:val="21"/>
                    </w:rPr>
                  </w:pPr>
                  <w:r>
                    <w:rPr>
                      <w:bCs/>
                      <w:szCs w:val="21"/>
                    </w:rPr>
                    <w:t>铅</w:t>
                  </w:r>
                </w:p>
              </w:tc>
              <w:tc>
                <w:tcPr>
                  <w:tcW w:w="623" w:type="pct"/>
                  <w:vAlign w:val="center"/>
                </w:tcPr>
                <w:p w14:paraId="7F9707BA">
                  <w:pPr>
                    <w:adjustRightInd w:val="0"/>
                    <w:jc w:val="center"/>
                    <w:rPr>
                      <w:bCs/>
                      <w:szCs w:val="21"/>
                    </w:rPr>
                  </w:pPr>
                  <w:r>
                    <w:rPr>
                      <w:bCs/>
                      <w:szCs w:val="21"/>
                    </w:rPr>
                    <w:t>mg/L</w:t>
                  </w:r>
                </w:p>
              </w:tc>
              <w:tc>
                <w:tcPr>
                  <w:tcW w:w="773" w:type="pct"/>
                  <w:vAlign w:val="center"/>
                </w:tcPr>
                <w:p w14:paraId="033F2A20">
                  <w:pPr>
                    <w:adjustRightInd w:val="0"/>
                    <w:jc w:val="center"/>
                    <w:rPr>
                      <w:bCs/>
                      <w:szCs w:val="21"/>
                    </w:rPr>
                  </w:pPr>
                  <w:r>
                    <w:rPr>
                      <w:rFonts w:hint="eastAsia"/>
                      <w:bCs/>
                      <w:szCs w:val="21"/>
                    </w:rPr>
                    <w:t>＜0.07</w:t>
                  </w:r>
                </w:p>
              </w:tc>
              <w:tc>
                <w:tcPr>
                  <w:tcW w:w="1010" w:type="pct"/>
                  <w:vAlign w:val="center"/>
                </w:tcPr>
                <w:p w14:paraId="26F07383">
                  <w:pPr>
                    <w:adjustRightInd w:val="0"/>
                    <w:jc w:val="center"/>
                    <w:rPr>
                      <w:bCs/>
                      <w:szCs w:val="21"/>
                    </w:rPr>
                  </w:pPr>
                  <w:r>
                    <w:rPr>
                      <w:sz w:val="22"/>
                      <w:szCs w:val="21"/>
                    </w:rPr>
                    <w:t>1.0</w:t>
                  </w:r>
                </w:p>
              </w:tc>
              <w:tc>
                <w:tcPr>
                  <w:tcW w:w="766" w:type="pct"/>
                  <w:vAlign w:val="center"/>
                </w:tcPr>
                <w:p w14:paraId="30E2830C">
                  <w:pPr>
                    <w:adjustRightInd w:val="0"/>
                    <w:jc w:val="center"/>
                    <w:rPr>
                      <w:bCs/>
                      <w:szCs w:val="21"/>
                    </w:rPr>
                  </w:pPr>
                  <w:r>
                    <w:rPr>
                      <w:bCs/>
                      <w:szCs w:val="21"/>
                    </w:rPr>
                    <w:t>合格</w:t>
                  </w:r>
                </w:p>
              </w:tc>
            </w:tr>
            <w:tr w14:paraId="1235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20A6BA43">
                  <w:pPr>
                    <w:adjustRightInd w:val="0"/>
                    <w:jc w:val="center"/>
                    <w:rPr>
                      <w:bCs/>
                      <w:szCs w:val="21"/>
                    </w:rPr>
                  </w:pPr>
                </w:p>
              </w:tc>
              <w:tc>
                <w:tcPr>
                  <w:tcW w:w="1346" w:type="pct"/>
                  <w:gridSpan w:val="2"/>
                  <w:vAlign w:val="center"/>
                </w:tcPr>
                <w:p w14:paraId="07B6C9B3">
                  <w:pPr>
                    <w:adjustRightInd w:val="0"/>
                    <w:jc w:val="center"/>
                    <w:rPr>
                      <w:bCs/>
                      <w:szCs w:val="21"/>
                    </w:rPr>
                  </w:pPr>
                  <w:r>
                    <w:rPr>
                      <w:bCs/>
                      <w:szCs w:val="21"/>
                    </w:rPr>
                    <w:t>总铬</w:t>
                  </w:r>
                </w:p>
              </w:tc>
              <w:tc>
                <w:tcPr>
                  <w:tcW w:w="623" w:type="pct"/>
                  <w:vAlign w:val="center"/>
                </w:tcPr>
                <w:p w14:paraId="2764F3D4">
                  <w:pPr>
                    <w:adjustRightInd w:val="0"/>
                    <w:jc w:val="center"/>
                    <w:rPr>
                      <w:bCs/>
                      <w:szCs w:val="21"/>
                    </w:rPr>
                  </w:pPr>
                  <w:r>
                    <w:rPr>
                      <w:bCs/>
                      <w:szCs w:val="21"/>
                    </w:rPr>
                    <w:t>mg/L</w:t>
                  </w:r>
                </w:p>
              </w:tc>
              <w:tc>
                <w:tcPr>
                  <w:tcW w:w="773" w:type="pct"/>
                  <w:vAlign w:val="center"/>
                </w:tcPr>
                <w:p w14:paraId="65FF79A5">
                  <w:pPr>
                    <w:adjustRightInd w:val="0"/>
                    <w:jc w:val="center"/>
                    <w:rPr>
                      <w:bCs/>
                      <w:szCs w:val="21"/>
                    </w:rPr>
                  </w:pPr>
                  <w:r>
                    <w:rPr>
                      <w:rFonts w:hint="eastAsia"/>
                      <w:bCs/>
                      <w:szCs w:val="21"/>
                    </w:rPr>
                    <w:t>＜0.03</w:t>
                  </w:r>
                </w:p>
              </w:tc>
              <w:tc>
                <w:tcPr>
                  <w:tcW w:w="1010" w:type="pct"/>
                  <w:vAlign w:val="center"/>
                </w:tcPr>
                <w:p w14:paraId="089B3A6A">
                  <w:pPr>
                    <w:adjustRightInd w:val="0"/>
                    <w:jc w:val="center"/>
                    <w:rPr>
                      <w:bCs/>
                      <w:szCs w:val="21"/>
                    </w:rPr>
                  </w:pPr>
                  <w:r>
                    <w:rPr>
                      <w:sz w:val="22"/>
                      <w:szCs w:val="21"/>
                    </w:rPr>
                    <w:t>1.5</w:t>
                  </w:r>
                </w:p>
              </w:tc>
              <w:tc>
                <w:tcPr>
                  <w:tcW w:w="766" w:type="pct"/>
                  <w:vAlign w:val="center"/>
                </w:tcPr>
                <w:p w14:paraId="12F66130">
                  <w:pPr>
                    <w:adjustRightInd w:val="0"/>
                    <w:jc w:val="center"/>
                    <w:rPr>
                      <w:bCs/>
                      <w:szCs w:val="21"/>
                    </w:rPr>
                  </w:pPr>
                  <w:r>
                    <w:rPr>
                      <w:bCs/>
                      <w:szCs w:val="21"/>
                    </w:rPr>
                    <w:t>合格</w:t>
                  </w:r>
                </w:p>
              </w:tc>
            </w:tr>
            <w:tr w14:paraId="724E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1BDD2EB4">
                  <w:pPr>
                    <w:adjustRightInd w:val="0"/>
                    <w:jc w:val="center"/>
                    <w:rPr>
                      <w:bCs/>
                      <w:szCs w:val="21"/>
                    </w:rPr>
                  </w:pPr>
                </w:p>
              </w:tc>
              <w:tc>
                <w:tcPr>
                  <w:tcW w:w="1346" w:type="pct"/>
                  <w:gridSpan w:val="2"/>
                  <w:vAlign w:val="center"/>
                </w:tcPr>
                <w:p w14:paraId="6FD90EAA">
                  <w:pPr>
                    <w:adjustRightInd w:val="0"/>
                    <w:jc w:val="center"/>
                    <w:rPr>
                      <w:bCs/>
                      <w:szCs w:val="21"/>
                    </w:rPr>
                  </w:pPr>
                  <w:r>
                    <w:rPr>
                      <w:bCs/>
                      <w:szCs w:val="21"/>
                    </w:rPr>
                    <w:t>铬（六价）</w:t>
                  </w:r>
                </w:p>
              </w:tc>
              <w:tc>
                <w:tcPr>
                  <w:tcW w:w="623" w:type="pct"/>
                  <w:vAlign w:val="center"/>
                </w:tcPr>
                <w:p w14:paraId="7E8958CC">
                  <w:pPr>
                    <w:adjustRightInd w:val="0"/>
                    <w:jc w:val="center"/>
                    <w:rPr>
                      <w:bCs/>
                      <w:szCs w:val="21"/>
                    </w:rPr>
                  </w:pPr>
                  <w:r>
                    <w:rPr>
                      <w:bCs/>
                      <w:szCs w:val="21"/>
                    </w:rPr>
                    <w:t>mg/L</w:t>
                  </w:r>
                </w:p>
              </w:tc>
              <w:tc>
                <w:tcPr>
                  <w:tcW w:w="773" w:type="pct"/>
                  <w:vAlign w:val="center"/>
                </w:tcPr>
                <w:p w14:paraId="607095C7">
                  <w:pPr>
                    <w:adjustRightInd w:val="0"/>
                    <w:jc w:val="center"/>
                    <w:rPr>
                      <w:bCs/>
                      <w:szCs w:val="21"/>
                    </w:rPr>
                  </w:pPr>
                  <w:r>
                    <w:rPr>
                      <w:rFonts w:hint="eastAsia"/>
                      <w:bCs/>
                      <w:szCs w:val="21"/>
                    </w:rPr>
                    <w:t>＜0.004</w:t>
                  </w:r>
                </w:p>
              </w:tc>
              <w:tc>
                <w:tcPr>
                  <w:tcW w:w="1010" w:type="pct"/>
                  <w:vAlign w:val="center"/>
                </w:tcPr>
                <w:p w14:paraId="4C0FC233">
                  <w:pPr>
                    <w:adjustRightInd w:val="0"/>
                    <w:jc w:val="center"/>
                    <w:rPr>
                      <w:bCs/>
                      <w:szCs w:val="21"/>
                    </w:rPr>
                  </w:pPr>
                  <w:r>
                    <w:rPr>
                      <w:rFonts w:hint="eastAsia"/>
                      <w:sz w:val="22"/>
                      <w:szCs w:val="21"/>
                    </w:rPr>
                    <w:t>0.5</w:t>
                  </w:r>
                </w:p>
              </w:tc>
              <w:tc>
                <w:tcPr>
                  <w:tcW w:w="766" w:type="pct"/>
                  <w:vAlign w:val="center"/>
                </w:tcPr>
                <w:p w14:paraId="0DB11753">
                  <w:pPr>
                    <w:adjustRightInd w:val="0"/>
                    <w:jc w:val="center"/>
                    <w:rPr>
                      <w:bCs/>
                      <w:szCs w:val="21"/>
                    </w:rPr>
                  </w:pPr>
                  <w:r>
                    <w:rPr>
                      <w:bCs/>
                      <w:szCs w:val="21"/>
                    </w:rPr>
                    <w:t>合格</w:t>
                  </w:r>
                </w:p>
              </w:tc>
            </w:tr>
            <w:tr w14:paraId="6D7E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017699DF">
                  <w:pPr>
                    <w:adjustRightInd w:val="0"/>
                    <w:jc w:val="center"/>
                    <w:rPr>
                      <w:bCs/>
                      <w:szCs w:val="21"/>
                    </w:rPr>
                  </w:pPr>
                </w:p>
              </w:tc>
              <w:tc>
                <w:tcPr>
                  <w:tcW w:w="741" w:type="pct"/>
                  <w:vMerge w:val="restart"/>
                  <w:vAlign w:val="center"/>
                </w:tcPr>
                <w:p w14:paraId="32583756">
                  <w:pPr>
                    <w:adjustRightInd w:val="0"/>
                    <w:jc w:val="center"/>
                    <w:rPr>
                      <w:bCs/>
                      <w:szCs w:val="21"/>
                    </w:rPr>
                  </w:pPr>
                  <w:r>
                    <w:rPr>
                      <w:bCs/>
                      <w:szCs w:val="21"/>
                    </w:rPr>
                    <w:t>烷基汞</w:t>
                  </w:r>
                </w:p>
              </w:tc>
              <w:tc>
                <w:tcPr>
                  <w:tcW w:w="605" w:type="pct"/>
                  <w:vAlign w:val="center"/>
                </w:tcPr>
                <w:p w14:paraId="6EB191F8">
                  <w:pPr>
                    <w:adjustRightInd w:val="0"/>
                    <w:jc w:val="center"/>
                    <w:rPr>
                      <w:bCs/>
                      <w:szCs w:val="21"/>
                    </w:rPr>
                  </w:pPr>
                  <w:r>
                    <w:rPr>
                      <w:rFonts w:hint="eastAsia"/>
                      <w:bCs/>
                      <w:szCs w:val="21"/>
                    </w:rPr>
                    <w:t>甲基汞</w:t>
                  </w:r>
                </w:p>
              </w:tc>
              <w:tc>
                <w:tcPr>
                  <w:tcW w:w="623" w:type="pct"/>
                  <w:vAlign w:val="center"/>
                </w:tcPr>
                <w:p w14:paraId="06FAB1F9">
                  <w:pPr>
                    <w:adjustRightInd w:val="0"/>
                    <w:jc w:val="center"/>
                    <w:rPr>
                      <w:bCs/>
                      <w:szCs w:val="21"/>
                    </w:rPr>
                  </w:pPr>
                  <w:r>
                    <w:rPr>
                      <w:bCs/>
                      <w:szCs w:val="21"/>
                    </w:rPr>
                    <w:t>mg/L</w:t>
                  </w:r>
                </w:p>
              </w:tc>
              <w:tc>
                <w:tcPr>
                  <w:tcW w:w="773" w:type="pct"/>
                  <w:vAlign w:val="center"/>
                </w:tcPr>
                <w:p w14:paraId="64316E35">
                  <w:pPr>
                    <w:adjustRightInd w:val="0"/>
                    <w:jc w:val="center"/>
                    <w:rPr>
                      <w:bCs/>
                      <w:szCs w:val="21"/>
                    </w:rPr>
                  </w:pPr>
                  <w:r>
                    <w:rPr>
                      <w:rFonts w:hint="eastAsia"/>
                      <w:bCs/>
                      <w:szCs w:val="21"/>
                    </w:rPr>
                    <w:t>＜10</w:t>
                  </w:r>
                </w:p>
              </w:tc>
              <w:tc>
                <w:tcPr>
                  <w:tcW w:w="1010" w:type="pct"/>
                  <w:vAlign w:val="center"/>
                </w:tcPr>
                <w:p w14:paraId="28D7A5AE">
                  <w:pPr>
                    <w:adjustRightInd w:val="0"/>
                    <w:jc w:val="center"/>
                    <w:rPr>
                      <w:bCs/>
                      <w:szCs w:val="21"/>
                    </w:rPr>
                  </w:pPr>
                  <w:r>
                    <w:rPr>
                      <w:bCs/>
                      <w:szCs w:val="21"/>
                    </w:rPr>
                    <w:t>不得检出</w:t>
                  </w:r>
                </w:p>
              </w:tc>
              <w:tc>
                <w:tcPr>
                  <w:tcW w:w="766" w:type="pct"/>
                  <w:vAlign w:val="center"/>
                </w:tcPr>
                <w:p w14:paraId="30693893">
                  <w:pPr>
                    <w:adjustRightInd w:val="0"/>
                    <w:jc w:val="center"/>
                    <w:rPr>
                      <w:bCs/>
                      <w:szCs w:val="21"/>
                    </w:rPr>
                  </w:pPr>
                  <w:r>
                    <w:rPr>
                      <w:bCs/>
                      <w:szCs w:val="21"/>
                    </w:rPr>
                    <w:t>合格</w:t>
                  </w:r>
                </w:p>
              </w:tc>
            </w:tr>
            <w:tr w14:paraId="1F63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6A4C0434">
                  <w:pPr>
                    <w:adjustRightInd w:val="0"/>
                    <w:jc w:val="center"/>
                    <w:rPr>
                      <w:bCs/>
                      <w:szCs w:val="21"/>
                    </w:rPr>
                  </w:pPr>
                </w:p>
              </w:tc>
              <w:tc>
                <w:tcPr>
                  <w:tcW w:w="741" w:type="pct"/>
                  <w:vMerge w:val="continue"/>
                  <w:vAlign w:val="center"/>
                </w:tcPr>
                <w:p w14:paraId="2627DA45">
                  <w:pPr>
                    <w:adjustRightInd w:val="0"/>
                    <w:jc w:val="center"/>
                    <w:rPr>
                      <w:bCs/>
                      <w:szCs w:val="21"/>
                    </w:rPr>
                  </w:pPr>
                </w:p>
              </w:tc>
              <w:tc>
                <w:tcPr>
                  <w:tcW w:w="605" w:type="pct"/>
                  <w:vAlign w:val="center"/>
                </w:tcPr>
                <w:p w14:paraId="3318F7E7">
                  <w:pPr>
                    <w:adjustRightInd w:val="0"/>
                    <w:jc w:val="center"/>
                    <w:rPr>
                      <w:bCs/>
                      <w:szCs w:val="21"/>
                    </w:rPr>
                  </w:pPr>
                  <w:r>
                    <w:rPr>
                      <w:rFonts w:hint="eastAsia"/>
                      <w:bCs/>
                      <w:szCs w:val="21"/>
                    </w:rPr>
                    <w:t>乙基汞</w:t>
                  </w:r>
                </w:p>
              </w:tc>
              <w:tc>
                <w:tcPr>
                  <w:tcW w:w="623" w:type="pct"/>
                  <w:vAlign w:val="center"/>
                </w:tcPr>
                <w:p w14:paraId="4BF224C2">
                  <w:pPr>
                    <w:adjustRightInd w:val="0"/>
                    <w:jc w:val="center"/>
                    <w:rPr>
                      <w:bCs/>
                      <w:szCs w:val="21"/>
                    </w:rPr>
                  </w:pPr>
                  <w:r>
                    <w:rPr>
                      <w:bCs/>
                      <w:szCs w:val="21"/>
                    </w:rPr>
                    <w:t>mg/L</w:t>
                  </w:r>
                </w:p>
              </w:tc>
              <w:tc>
                <w:tcPr>
                  <w:tcW w:w="773" w:type="pct"/>
                  <w:vAlign w:val="center"/>
                </w:tcPr>
                <w:p w14:paraId="3430ECF9">
                  <w:pPr>
                    <w:adjustRightInd w:val="0"/>
                    <w:jc w:val="center"/>
                    <w:rPr>
                      <w:bCs/>
                      <w:szCs w:val="21"/>
                    </w:rPr>
                  </w:pPr>
                  <w:r>
                    <w:rPr>
                      <w:rFonts w:hint="eastAsia"/>
                      <w:bCs/>
                      <w:szCs w:val="21"/>
                    </w:rPr>
                    <w:t>＜20</w:t>
                  </w:r>
                </w:p>
              </w:tc>
              <w:tc>
                <w:tcPr>
                  <w:tcW w:w="1010" w:type="pct"/>
                  <w:vAlign w:val="center"/>
                </w:tcPr>
                <w:p w14:paraId="4805CC3A">
                  <w:pPr>
                    <w:adjustRightInd w:val="0"/>
                    <w:jc w:val="center"/>
                    <w:rPr>
                      <w:bCs/>
                      <w:szCs w:val="21"/>
                    </w:rPr>
                  </w:pPr>
                  <w:r>
                    <w:rPr>
                      <w:bCs/>
                      <w:szCs w:val="21"/>
                    </w:rPr>
                    <w:t>不得检出</w:t>
                  </w:r>
                </w:p>
              </w:tc>
              <w:tc>
                <w:tcPr>
                  <w:tcW w:w="766" w:type="pct"/>
                  <w:vAlign w:val="center"/>
                </w:tcPr>
                <w:p w14:paraId="4D5E3B8C">
                  <w:pPr>
                    <w:adjustRightInd w:val="0"/>
                    <w:jc w:val="center"/>
                    <w:rPr>
                      <w:bCs/>
                      <w:szCs w:val="21"/>
                    </w:rPr>
                  </w:pPr>
                  <w:r>
                    <w:rPr>
                      <w:bCs/>
                      <w:szCs w:val="21"/>
                    </w:rPr>
                    <w:t>合格</w:t>
                  </w:r>
                </w:p>
              </w:tc>
            </w:tr>
            <w:tr w14:paraId="26B4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171A444F">
                  <w:pPr>
                    <w:adjustRightInd w:val="0"/>
                    <w:jc w:val="center"/>
                    <w:rPr>
                      <w:bCs/>
                      <w:szCs w:val="21"/>
                    </w:rPr>
                  </w:pPr>
                </w:p>
              </w:tc>
              <w:tc>
                <w:tcPr>
                  <w:tcW w:w="1346" w:type="pct"/>
                  <w:gridSpan w:val="2"/>
                  <w:vAlign w:val="center"/>
                </w:tcPr>
                <w:p w14:paraId="7C1A04E7">
                  <w:pPr>
                    <w:adjustRightInd w:val="0"/>
                    <w:jc w:val="center"/>
                    <w:rPr>
                      <w:bCs/>
                      <w:szCs w:val="21"/>
                    </w:rPr>
                  </w:pPr>
                  <w:r>
                    <w:rPr>
                      <w:bCs/>
                      <w:szCs w:val="21"/>
                    </w:rPr>
                    <w:t>汞</w:t>
                  </w:r>
                </w:p>
              </w:tc>
              <w:tc>
                <w:tcPr>
                  <w:tcW w:w="623" w:type="pct"/>
                  <w:vAlign w:val="center"/>
                </w:tcPr>
                <w:p w14:paraId="746DA212">
                  <w:pPr>
                    <w:adjustRightInd w:val="0"/>
                    <w:jc w:val="center"/>
                    <w:rPr>
                      <w:bCs/>
                      <w:szCs w:val="21"/>
                    </w:rPr>
                  </w:pPr>
                  <w:r>
                    <w:rPr>
                      <w:bCs/>
                      <w:szCs w:val="21"/>
                    </w:rPr>
                    <w:t>mg/L</w:t>
                  </w:r>
                </w:p>
              </w:tc>
              <w:tc>
                <w:tcPr>
                  <w:tcW w:w="773" w:type="pct"/>
                  <w:vAlign w:val="center"/>
                </w:tcPr>
                <w:p w14:paraId="6DDE246F">
                  <w:pPr>
                    <w:adjustRightInd w:val="0"/>
                    <w:jc w:val="center"/>
                    <w:rPr>
                      <w:bCs/>
                      <w:szCs w:val="21"/>
                    </w:rPr>
                  </w:pPr>
                  <w:r>
                    <w:rPr>
                      <w:rFonts w:hint="eastAsia"/>
                      <w:bCs/>
                      <w:szCs w:val="21"/>
                    </w:rPr>
                    <w:t>＜0.00004</w:t>
                  </w:r>
                </w:p>
              </w:tc>
              <w:tc>
                <w:tcPr>
                  <w:tcW w:w="1010" w:type="pct"/>
                  <w:vAlign w:val="center"/>
                </w:tcPr>
                <w:p w14:paraId="4E3142DB">
                  <w:pPr>
                    <w:adjustRightInd w:val="0"/>
                    <w:jc w:val="center"/>
                    <w:rPr>
                      <w:bCs/>
                      <w:szCs w:val="21"/>
                    </w:rPr>
                  </w:pPr>
                  <w:r>
                    <w:rPr>
                      <w:sz w:val="22"/>
                      <w:szCs w:val="21"/>
                    </w:rPr>
                    <w:t>0.05</w:t>
                  </w:r>
                </w:p>
              </w:tc>
              <w:tc>
                <w:tcPr>
                  <w:tcW w:w="766" w:type="pct"/>
                  <w:vAlign w:val="center"/>
                </w:tcPr>
                <w:p w14:paraId="6DE1F533">
                  <w:pPr>
                    <w:adjustRightInd w:val="0"/>
                    <w:jc w:val="center"/>
                    <w:rPr>
                      <w:bCs/>
                      <w:szCs w:val="21"/>
                    </w:rPr>
                  </w:pPr>
                  <w:r>
                    <w:rPr>
                      <w:bCs/>
                      <w:szCs w:val="21"/>
                    </w:rPr>
                    <w:t>合格</w:t>
                  </w:r>
                </w:p>
              </w:tc>
            </w:tr>
            <w:tr w14:paraId="6C1D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79" w:type="pct"/>
                  <w:vMerge w:val="continue"/>
                  <w:vAlign w:val="center"/>
                </w:tcPr>
                <w:p w14:paraId="27B4B7E6">
                  <w:pPr>
                    <w:adjustRightInd w:val="0"/>
                    <w:jc w:val="center"/>
                    <w:rPr>
                      <w:bCs/>
                      <w:szCs w:val="21"/>
                    </w:rPr>
                  </w:pPr>
                </w:p>
              </w:tc>
              <w:tc>
                <w:tcPr>
                  <w:tcW w:w="1346" w:type="pct"/>
                  <w:gridSpan w:val="2"/>
                  <w:vAlign w:val="center"/>
                </w:tcPr>
                <w:p w14:paraId="28FB7A89">
                  <w:pPr>
                    <w:adjustRightInd w:val="0"/>
                    <w:jc w:val="center"/>
                    <w:rPr>
                      <w:bCs/>
                      <w:szCs w:val="21"/>
                    </w:rPr>
                  </w:pPr>
                  <w:r>
                    <w:rPr>
                      <w:bCs/>
                      <w:szCs w:val="21"/>
                    </w:rPr>
                    <w:t>铍</w:t>
                  </w:r>
                </w:p>
              </w:tc>
              <w:tc>
                <w:tcPr>
                  <w:tcW w:w="623" w:type="pct"/>
                  <w:vAlign w:val="center"/>
                </w:tcPr>
                <w:p w14:paraId="0C3A7FFE">
                  <w:pPr>
                    <w:adjustRightInd w:val="0"/>
                    <w:jc w:val="center"/>
                    <w:rPr>
                      <w:bCs/>
                      <w:szCs w:val="21"/>
                    </w:rPr>
                  </w:pPr>
                  <w:r>
                    <w:rPr>
                      <w:bCs/>
                      <w:szCs w:val="21"/>
                    </w:rPr>
                    <w:t>mg/L</w:t>
                  </w:r>
                </w:p>
              </w:tc>
              <w:tc>
                <w:tcPr>
                  <w:tcW w:w="773" w:type="pct"/>
                  <w:vAlign w:val="center"/>
                </w:tcPr>
                <w:p w14:paraId="200E72CB">
                  <w:pPr>
                    <w:adjustRightInd w:val="0"/>
                    <w:jc w:val="center"/>
                    <w:rPr>
                      <w:bCs/>
                      <w:szCs w:val="21"/>
                    </w:rPr>
                  </w:pPr>
                  <w:r>
                    <w:rPr>
                      <w:rFonts w:hint="eastAsia"/>
                      <w:bCs/>
                      <w:szCs w:val="21"/>
                    </w:rPr>
                    <w:t>＜0.00004</w:t>
                  </w:r>
                </w:p>
              </w:tc>
              <w:tc>
                <w:tcPr>
                  <w:tcW w:w="1010" w:type="pct"/>
                  <w:vAlign w:val="center"/>
                </w:tcPr>
                <w:p w14:paraId="08873AAB">
                  <w:pPr>
                    <w:adjustRightInd w:val="0"/>
                    <w:jc w:val="center"/>
                    <w:rPr>
                      <w:bCs/>
                      <w:szCs w:val="21"/>
                    </w:rPr>
                  </w:pPr>
                  <w:r>
                    <w:rPr>
                      <w:rFonts w:hint="eastAsia"/>
                      <w:bCs/>
                      <w:szCs w:val="21"/>
                    </w:rPr>
                    <w:t>0.005</w:t>
                  </w:r>
                </w:p>
              </w:tc>
              <w:tc>
                <w:tcPr>
                  <w:tcW w:w="766" w:type="pct"/>
                  <w:vAlign w:val="center"/>
                </w:tcPr>
                <w:p w14:paraId="6F71B6A4">
                  <w:pPr>
                    <w:adjustRightInd w:val="0"/>
                    <w:jc w:val="center"/>
                    <w:rPr>
                      <w:bCs/>
                      <w:szCs w:val="21"/>
                    </w:rPr>
                  </w:pPr>
                  <w:r>
                    <w:rPr>
                      <w:bCs/>
                      <w:szCs w:val="21"/>
                    </w:rPr>
                    <w:t>合格</w:t>
                  </w:r>
                </w:p>
              </w:tc>
            </w:tr>
            <w:tr w14:paraId="5C11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69BE97DF">
                  <w:pPr>
                    <w:adjustRightInd w:val="0"/>
                    <w:jc w:val="center"/>
                    <w:rPr>
                      <w:bCs/>
                      <w:szCs w:val="21"/>
                    </w:rPr>
                  </w:pPr>
                </w:p>
              </w:tc>
              <w:tc>
                <w:tcPr>
                  <w:tcW w:w="1346" w:type="pct"/>
                  <w:gridSpan w:val="2"/>
                  <w:vAlign w:val="center"/>
                </w:tcPr>
                <w:p w14:paraId="35FB69E0">
                  <w:pPr>
                    <w:adjustRightInd w:val="0"/>
                    <w:jc w:val="center"/>
                    <w:rPr>
                      <w:bCs/>
                      <w:szCs w:val="21"/>
                    </w:rPr>
                  </w:pPr>
                  <w:r>
                    <w:rPr>
                      <w:bCs/>
                      <w:szCs w:val="21"/>
                    </w:rPr>
                    <w:t>镍</w:t>
                  </w:r>
                </w:p>
              </w:tc>
              <w:tc>
                <w:tcPr>
                  <w:tcW w:w="623" w:type="pct"/>
                  <w:vAlign w:val="center"/>
                </w:tcPr>
                <w:p w14:paraId="1327C395">
                  <w:pPr>
                    <w:adjustRightInd w:val="0"/>
                    <w:jc w:val="center"/>
                    <w:rPr>
                      <w:bCs/>
                      <w:szCs w:val="21"/>
                    </w:rPr>
                  </w:pPr>
                  <w:r>
                    <w:rPr>
                      <w:bCs/>
                      <w:szCs w:val="21"/>
                    </w:rPr>
                    <w:t>mg/L</w:t>
                  </w:r>
                </w:p>
              </w:tc>
              <w:tc>
                <w:tcPr>
                  <w:tcW w:w="773" w:type="pct"/>
                  <w:vAlign w:val="center"/>
                </w:tcPr>
                <w:p w14:paraId="1832603F">
                  <w:pPr>
                    <w:adjustRightInd w:val="0"/>
                    <w:jc w:val="center"/>
                    <w:rPr>
                      <w:bCs/>
                      <w:szCs w:val="21"/>
                    </w:rPr>
                  </w:pPr>
                  <w:r>
                    <w:rPr>
                      <w:rFonts w:hint="eastAsia"/>
                      <w:bCs/>
                      <w:szCs w:val="21"/>
                    </w:rPr>
                    <w:t>0.03</w:t>
                  </w:r>
                </w:p>
              </w:tc>
              <w:tc>
                <w:tcPr>
                  <w:tcW w:w="1010" w:type="pct"/>
                  <w:vAlign w:val="center"/>
                </w:tcPr>
                <w:p w14:paraId="4228095F">
                  <w:pPr>
                    <w:adjustRightInd w:val="0"/>
                    <w:jc w:val="center"/>
                    <w:rPr>
                      <w:bCs/>
                      <w:szCs w:val="21"/>
                    </w:rPr>
                  </w:pPr>
                  <w:r>
                    <w:rPr>
                      <w:rFonts w:hint="eastAsia"/>
                      <w:bCs/>
                      <w:szCs w:val="21"/>
                    </w:rPr>
                    <w:t>1</w:t>
                  </w:r>
                </w:p>
              </w:tc>
              <w:tc>
                <w:tcPr>
                  <w:tcW w:w="766" w:type="pct"/>
                  <w:vAlign w:val="center"/>
                </w:tcPr>
                <w:p w14:paraId="7D464A00">
                  <w:pPr>
                    <w:adjustRightInd w:val="0"/>
                    <w:jc w:val="center"/>
                    <w:rPr>
                      <w:bCs/>
                      <w:szCs w:val="21"/>
                    </w:rPr>
                  </w:pPr>
                  <w:r>
                    <w:rPr>
                      <w:bCs/>
                      <w:szCs w:val="21"/>
                    </w:rPr>
                    <w:t>合格</w:t>
                  </w:r>
                </w:p>
              </w:tc>
            </w:tr>
            <w:tr w14:paraId="60EE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pct"/>
                  <w:vMerge w:val="continue"/>
                  <w:vAlign w:val="center"/>
                </w:tcPr>
                <w:p w14:paraId="1025BCFB">
                  <w:pPr>
                    <w:adjustRightInd w:val="0"/>
                    <w:jc w:val="center"/>
                    <w:rPr>
                      <w:bCs/>
                      <w:szCs w:val="21"/>
                    </w:rPr>
                  </w:pPr>
                </w:p>
              </w:tc>
              <w:tc>
                <w:tcPr>
                  <w:tcW w:w="1346" w:type="pct"/>
                  <w:gridSpan w:val="2"/>
                  <w:vAlign w:val="center"/>
                </w:tcPr>
                <w:p w14:paraId="47FDEFE2">
                  <w:pPr>
                    <w:adjustRightInd w:val="0"/>
                    <w:jc w:val="center"/>
                    <w:rPr>
                      <w:bCs/>
                      <w:szCs w:val="21"/>
                    </w:rPr>
                  </w:pPr>
                  <w:r>
                    <w:rPr>
                      <w:bCs/>
                      <w:szCs w:val="21"/>
                    </w:rPr>
                    <w:t>银</w:t>
                  </w:r>
                </w:p>
              </w:tc>
              <w:tc>
                <w:tcPr>
                  <w:tcW w:w="623" w:type="pct"/>
                  <w:vAlign w:val="center"/>
                </w:tcPr>
                <w:p w14:paraId="202AA20D">
                  <w:pPr>
                    <w:adjustRightInd w:val="0"/>
                    <w:jc w:val="center"/>
                    <w:rPr>
                      <w:bCs/>
                      <w:szCs w:val="21"/>
                    </w:rPr>
                  </w:pPr>
                  <w:r>
                    <w:rPr>
                      <w:bCs/>
                      <w:szCs w:val="21"/>
                    </w:rPr>
                    <w:t>mg/L</w:t>
                  </w:r>
                </w:p>
              </w:tc>
              <w:tc>
                <w:tcPr>
                  <w:tcW w:w="773" w:type="pct"/>
                  <w:vAlign w:val="center"/>
                </w:tcPr>
                <w:p w14:paraId="4DDB2230">
                  <w:pPr>
                    <w:adjustRightInd w:val="0"/>
                    <w:jc w:val="center"/>
                    <w:rPr>
                      <w:bCs/>
                      <w:szCs w:val="21"/>
                    </w:rPr>
                  </w:pPr>
                  <w:r>
                    <w:rPr>
                      <w:rFonts w:hint="eastAsia"/>
                      <w:bCs/>
                      <w:szCs w:val="21"/>
                    </w:rPr>
                    <w:t>＜0.02</w:t>
                  </w:r>
                </w:p>
              </w:tc>
              <w:tc>
                <w:tcPr>
                  <w:tcW w:w="1010" w:type="pct"/>
                  <w:vAlign w:val="center"/>
                </w:tcPr>
                <w:p w14:paraId="0ADD2E16">
                  <w:pPr>
                    <w:adjustRightInd w:val="0"/>
                    <w:jc w:val="center"/>
                    <w:rPr>
                      <w:bCs/>
                      <w:szCs w:val="21"/>
                    </w:rPr>
                  </w:pPr>
                  <w:r>
                    <w:rPr>
                      <w:rFonts w:hint="eastAsia"/>
                      <w:bCs/>
                      <w:szCs w:val="21"/>
                    </w:rPr>
                    <w:t>0.5</w:t>
                  </w:r>
                </w:p>
              </w:tc>
              <w:tc>
                <w:tcPr>
                  <w:tcW w:w="766" w:type="pct"/>
                  <w:vAlign w:val="center"/>
                </w:tcPr>
                <w:p w14:paraId="48665921">
                  <w:pPr>
                    <w:adjustRightInd w:val="0"/>
                    <w:jc w:val="center"/>
                    <w:rPr>
                      <w:bCs/>
                      <w:szCs w:val="21"/>
                    </w:rPr>
                  </w:pPr>
                  <w:r>
                    <w:rPr>
                      <w:bCs/>
                      <w:szCs w:val="21"/>
                    </w:rPr>
                    <w:t>合格</w:t>
                  </w:r>
                </w:p>
              </w:tc>
            </w:tr>
            <w:tr w14:paraId="199B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246AA992">
                  <w:pPr>
                    <w:adjustRightInd w:val="0"/>
                    <w:jc w:val="center"/>
                    <w:rPr>
                      <w:bCs/>
                      <w:szCs w:val="21"/>
                    </w:rPr>
                  </w:pPr>
                </w:p>
              </w:tc>
              <w:tc>
                <w:tcPr>
                  <w:tcW w:w="1346" w:type="pct"/>
                  <w:gridSpan w:val="2"/>
                  <w:vAlign w:val="center"/>
                </w:tcPr>
                <w:p w14:paraId="2A0C62DB">
                  <w:pPr>
                    <w:adjustRightInd w:val="0"/>
                    <w:jc w:val="center"/>
                    <w:rPr>
                      <w:bCs/>
                      <w:szCs w:val="21"/>
                    </w:rPr>
                  </w:pPr>
                  <w:r>
                    <w:rPr>
                      <w:bCs/>
                      <w:szCs w:val="21"/>
                    </w:rPr>
                    <w:t>砷</w:t>
                  </w:r>
                </w:p>
              </w:tc>
              <w:tc>
                <w:tcPr>
                  <w:tcW w:w="623" w:type="pct"/>
                  <w:vAlign w:val="center"/>
                </w:tcPr>
                <w:p w14:paraId="58A91106">
                  <w:pPr>
                    <w:adjustRightInd w:val="0"/>
                    <w:jc w:val="center"/>
                    <w:rPr>
                      <w:bCs/>
                      <w:szCs w:val="21"/>
                    </w:rPr>
                  </w:pPr>
                  <w:r>
                    <w:rPr>
                      <w:bCs/>
                      <w:szCs w:val="21"/>
                    </w:rPr>
                    <w:t>mg/L</w:t>
                  </w:r>
                </w:p>
              </w:tc>
              <w:tc>
                <w:tcPr>
                  <w:tcW w:w="773" w:type="pct"/>
                  <w:vAlign w:val="center"/>
                </w:tcPr>
                <w:p w14:paraId="74F106A2">
                  <w:pPr>
                    <w:adjustRightInd w:val="0"/>
                    <w:jc w:val="center"/>
                    <w:rPr>
                      <w:bCs/>
                      <w:szCs w:val="21"/>
                    </w:rPr>
                  </w:pPr>
                  <w:r>
                    <w:rPr>
                      <w:rFonts w:hint="eastAsia"/>
                      <w:bCs/>
                      <w:szCs w:val="21"/>
                    </w:rPr>
                    <w:t>0.0121</w:t>
                  </w:r>
                </w:p>
              </w:tc>
              <w:tc>
                <w:tcPr>
                  <w:tcW w:w="1010" w:type="pct"/>
                  <w:vAlign w:val="center"/>
                </w:tcPr>
                <w:p w14:paraId="13B8CBD0">
                  <w:pPr>
                    <w:adjustRightInd w:val="0"/>
                    <w:jc w:val="center"/>
                    <w:rPr>
                      <w:bCs/>
                      <w:szCs w:val="21"/>
                    </w:rPr>
                  </w:pPr>
                  <w:r>
                    <w:rPr>
                      <w:sz w:val="22"/>
                      <w:szCs w:val="21"/>
                    </w:rPr>
                    <w:t>0.5</w:t>
                  </w:r>
                </w:p>
              </w:tc>
              <w:tc>
                <w:tcPr>
                  <w:tcW w:w="766" w:type="pct"/>
                  <w:vAlign w:val="center"/>
                </w:tcPr>
                <w:p w14:paraId="1FBF3C10">
                  <w:pPr>
                    <w:adjustRightInd w:val="0"/>
                    <w:jc w:val="center"/>
                    <w:rPr>
                      <w:bCs/>
                      <w:szCs w:val="21"/>
                    </w:rPr>
                  </w:pPr>
                  <w:r>
                    <w:rPr>
                      <w:bCs/>
                      <w:szCs w:val="21"/>
                    </w:rPr>
                    <w:t>合格</w:t>
                  </w:r>
                </w:p>
              </w:tc>
            </w:tr>
            <w:tr w14:paraId="76BD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2B1A88DA">
                  <w:pPr>
                    <w:adjustRightInd w:val="0"/>
                    <w:jc w:val="center"/>
                    <w:rPr>
                      <w:bCs/>
                      <w:szCs w:val="21"/>
                    </w:rPr>
                  </w:pPr>
                </w:p>
              </w:tc>
              <w:tc>
                <w:tcPr>
                  <w:tcW w:w="1346" w:type="pct"/>
                  <w:gridSpan w:val="2"/>
                  <w:vAlign w:val="center"/>
                </w:tcPr>
                <w:p w14:paraId="4FF0AE2C">
                  <w:pPr>
                    <w:adjustRightInd w:val="0"/>
                    <w:jc w:val="center"/>
                    <w:rPr>
                      <w:bCs/>
                      <w:szCs w:val="21"/>
                    </w:rPr>
                  </w:pPr>
                  <w:r>
                    <w:rPr>
                      <w:bCs/>
                      <w:szCs w:val="21"/>
                    </w:rPr>
                    <w:t>氟化物</w:t>
                  </w:r>
                </w:p>
              </w:tc>
              <w:tc>
                <w:tcPr>
                  <w:tcW w:w="623" w:type="pct"/>
                  <w:vAlign w:val="center"/>
                </w:tcPr>
                <w:p w14:paraId="52710C3A">
                  <w:pPr>
                    <w:adjustRightInd w:val="0"/>
                    <w:jc w:val="center"/>
                    <w:rPr>
                      <w:bCs/>
                      <w:szCs w:val="21"/>
                    </w:rPr>
                  </w:pPr>
                  <w:r>
                    <w:rPr>
                      <w:bCs/>
                      <w:szCs w:val="21"/>
                    </w:rPr>
                    <w:t>mg/L</w:t>
                  </w:r>
                </w:p>
              </w:tc>
              <w:tc>
                <w:tcPr>
                  <w:tcW w:w="773" w:type="pct"/>
                  <w:vAlign w:val="center"/>
                </w:tcPr>
                <w:p w14:paraId="2884E050">
                  <w:pPr>
                    <w:adjustRightInd w:val="0"/>
                    <w:jc w:val="center"/>
                    <w:rPr>
                      <w:bCs/>
                      <w:szCs w:val="21"/>
                    </w:rPr>
                  </w:pPr>
                  <w:r>
                    <w:rPr>
                      <w:rFonts w:hint="eastAsia"/>
                      <w:bCs/>
                      <w:szCs w:val="21"/>
                    </w:rPr>
                    <w:t>8.7</w:t>
                  </w:r>
                </w:p>
              </w:tc>
              <w:tc>
                <w:tcPr>
                  <w:tcW w:w="1010" w:type="pct"/>
                  <w:vAlign w:val="center"/>
                </w:tcPr>
                <w:p w14:paraId="21472E72">
                  <w:pPr>
                    <w:adjustRightInd w:val="0"/>
                    <w:jc w:val="center"/>
                    <w:rPr>
                      <w:bCs/>
                      <w:szCs w:val="21"/>
                    </w:rPr>
                  </w:pPr>
                  <w:r>
                    <w:rPr>
                      <w:sz w:val="22"/>
                      <w:szCs w:val="21"/>
                    </w:rPr>
                    <w:t>10</w:t>
                  </w:r>
                </w:p>
              </w:tc>
              <w:tc>
                <w:tcPr>
                  <w:tcW w:w="766" w:type="pct"/>
                  <w:vAlign w:val="center"/>
                </w:tcPr>
                <w:p w14:paraId="33FB6FA3">
                  <w:pPr>
                    <w:adjustRightInd w:val="0"/>
                    <w:jc w:val="center"/>
                    <w:rPr>
                      <w:bCs/>
                      <w:szCs w:val="21"/>
                    </w:rPr>
                  </w:pPr>
                  <w:r>
                    <w:rPr>
                      <w:bCs/>
                      <w:szCs w:val="21"/>
                    </w:rPr>
                    <w:t>合格</w:t>
                  </w:r>
                </w:p>
              </w:tc>
            </w:tr>
            <w:tr w14:paraId="282B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72AE587D">
                  <w:pPr>
                    <w:adjustRightInd w:val="0"/>
                    <w:jc w:val="center"/>
                    <w:rPr>
                      <w:bCs/>
                      <w:szCs w:val="21"/>
                    </w:rPr>
                  </w:pPr>
                </w:p>
              </w:tc>
              <w:tc>
                <w:tcPr>
                  <w:tcW w:w="1346" w:type="pct"/>
                  <w:gridSpan w:val="2"/>
                  <w:vAlign w:val="center"/>
                </w:tcPr>
                <w:p w14:paraId="6A78E919">
                  <w:pPr>
                    <w:adjustRightInd w:val="0"/>
                    <w:jc w:val="center"/>
                    <w:rPr>
                      <w:bCs/>
                      <w:szCs w:val="21"/>
                    </w:rPr>
                  </w:pPr>
                  <w:r>
                    <w:rPr>
                      <w:rFonts w:hint="eastAsia"/>
                      <w:bCs/>
                      <w:szCs w:val="21"/>
                    </w:rPr>
                    <w:t>苯并芘</w:t>
                  </w:r>
                </w:p>
              </w:tc>
              <w:tc>
                <w:tcPr>
                  <w:tcW w:w="623" w:type="pct"/>
                  <w:vAlign w:val="center"/>
                </w:tcPr>
                <w:p w14:paraId="7047225C">
                  <w:pPr>
                    <w:adjustRightInd w:val="0"/>
                    <w:jc w:val="center"/>
                    <w:rPr>
                      <w:bCs/>
                      <w:szCs w:val="21"/>
                    </w:rPr>
                  </w:pPr>
                  <w:r>
                    <w:rPr>
                      <w:bCs/>
                      <w:szCs w:val="21"/>
                    </w:rPr>
                    <w:t>mg/L</w:t>
                  </w:r>
                </w:p>
              </w:tc>
              <w:tc>
                <w:tcPr>
                  <w:tcW w:w="773" w:type="pct"/>
                  <w:vAlign w:val="center"/>
                </w:tcPr>
                <w:p w14:paraId="03266E0C">
                  <w:pPr>
                    <w:adjustRightInd w:val="0"/>
                    <w:jc w:val="center"/>
                    <w:rPr>
                      <w:bCs/>
                      <w:szCs w:val="21"/>
                    </w:rPr>
                  </w:pPr>
                  <w:r>
                    <w:rPr>
                      <w:rFonts w:hint="eastAsia"/>
                      <w:bCs/>
                      <w:szCs w:val="21"/>
                    </w:rPr>
                    <w:t>＜0.000005</w:t>
                  </w:r>
                </w:p>
              </w:tc>
              <w:tc>
                <w:tcPr>
                  <w:tcW w:w="1010" w:type="pct"/>
                  <w:vAlign w:val="center"/>
                </w:tcPr>
                <w:p w14:paraId="1B48885D">
                  <w:pPr>
                    <w:adjustRightInd w:val="0"/>
                    <w:jc w:val="center"/>
                    <w:rPr>
                      <w:bCs/>
                      <w:szCs w:val="21"/>
                    </w:rPr>
                  </w:pPr>
                  <w:r>
                    <w:rPr>
                      <w:rFonts w:hint="eastAsia"/>
                      <w:bCs/>
                      <w:szCs w:val="21"/>
                    </w:rPr>
                    <w:t>0.00003</w:t>
                  </w:r>
                </w:p>
              </w:tc>
              <w:tc>
                <w:tcPr>
                  <w:tcW w:w="766" w:type="pct"/>
                  <w:vAlign w:val="center"/>
                </w:tcPr>
                <w:p w14:paraId="651594FC">
                  <w:pPr>
                    <w:adjustRightInd w:val="0"/>
                    <w:jc w:val="center"/>
                    <w:rPr>
                      <w:bCs/>
                      <w:szCs w:val="21"/>
                    </w:rPr>
                  </w:pPr>
                  <w:r>
                    <w:rPr>
                      <w:bCs/>
                      <w:szCs w:val="21"/>
                    </w:rPr>
                    <w:t>合格</w:t>
                  </w:r>
                </w:p>
              </w:tc>
            </w:tr>
            <w:tr w14:paraId="7945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2C284BE6">
                  <w:pPr>
                    <w:adjustRightInd w:val="0"/>
                    <w:jc w:val="center"/>
                    <w:rPr>
                      <w:bCs/>
                      <w:szCs w:val="21"/>
                    </w:rPr>
                  </w:pPr>
                </w:p>
              </w:tc>
              <w:tc>
                <w:tcPr>
                  <w:tcW w:w="1346" w:type="pct"/>
                  <w:gridSpan w:val="2"/>
                  <w:vAlign w:val="center"/>
                </w:tcPr>
                <w:p w14:paraId="4FE515A8">
                  <w:pPr>
                    <w:adjustRightInd w:val="0"/>
                    <w:jc w:val="center"/>
                    <w:rPr>
                      <w:bCs/>
                      <w:szCs w:val="21"/>
                    </w:rPr>
                  </w:pPr>
                  <w:r>
                    <w:rPr>
                      <w:bCs/>
                      <w:szCs w:val="21"/>
                    </w:rPr>
                    <w:t>总α放射性</w:t>
                  </w:r>
                </w:p>
              </w:tc>
              <w:tc>
                <w:tcPr>
                  <w:tcW w:w="623" w:type="pct"/>
                  <w:vAlign w:val="center"/>
                </w:tcPr>
                <w:p w14:paraId="4A4ED4BA">
                  <w:pPr>
                    <w:adjustRightInd w:val="0"/>
                    <w:jc w:val="center"/>
                    <w:rPr>
                      <w:bCs/>
                      <w:szCs w:val="21"/>
                    </w:rPr>
                  </w:pPr>
                  <w:r>
                    <w:rPr>
                      <w:rFonts w:hint="eastAsia"/>
                      <w:bCs/>
                      <w:szCs w:val="21"/>
                    </w:rPr>
                    <w:t>Bq/L</w:t>
                  </w:r>
                </w:p>
              </w:tc>
              <w:tc>
                <w:tcPr>
                  <w:tcW w:w="773" w:type="pct"/>
                  <w:vAlign w:val="center"/>
                </w:tcPr>
                <w:p w14:paraId="580A9B8A">
                  <w:pPr>
                    <w:adjustRightInd w:val="0"/>
                    <w:jc w:val="center"/>
                    <w:rPr>
                      <w:bCs/>
                      <w:szCs w:val="21"/>
                    </w:rPr>
                  </w:pPr>
                  <w:r>
                    <w:rPr>
                      <w:rFonts w:hint="eastAsia"/>
                      <w:bCs/>
                      <w:szCs w:val="21"/>
                    </w:rPr>
                    <w:t>0.082</w:t>
                  </w:r>
                </w:p>
              </w:tc>
              <w:tc>
                <w:tcPr>
                  <w:tcW w:w="1010" w:type="pct"/>
                  <w:vAlign w:val="center"/>
                </w:tcPr>
                <w:p w14:paraId="531420DF">
                  <w:pPr>
                    <w:adjustRightInd w:val="0"/>
                    <w:jc w:val="center"/>
                    <w:rPr>
                      <w:bCs/>
                      <w:szCs w:val="21"/>
                    </w:rPr>
                  </w:pPr>
                  <w:r>
                    <w:rPr>
                      <w:rFonts w:hint="eastAsia"/>
                      <w:bCs/>
                      <w:szCs w:val="21"/>
                    </w:rPr>
                    <w:t>1Bq/L</w:t>
                  </w:r>
                </w:p>
              </w:tc>
              <w:tc>
                <w:tcPr>
                  <w:tcW w:w="766" w:type="pct"/>
                  <w:vAlign w:val="center"/>
                </w:tcPr>
                <w:p w14:paraId="39B85477">
                  <w:pPr>
                    <w:adjustRightInd w:val="0"/>
                    <w:jc w:val="center"/>
                    <w:rPr>
                      <w:bCs/>
                      <w:szCs w:val="21"/>
                    </w:rPr>
                  </w:pPr>
                  <w:r>
                    <w:rPr>
                      <w:bCs/>
                      <w:szCs w:val="21"/>
                    </w:rPr>
                    <w:t>合格</w:t>
                  </w:r>
                </w:p>
              </w:tc>
            </w:tr>
            <w:tr w14:paraId="2454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482F4CF4">
                  <w:pPr>
                    <w:adjustRightInd w:val="0"/>
                    <w:jc w:val="center"/>
                    <w:rPr>
                      <w:bCs/>
                      <w:szCs w:val="21"/>
                    </w:rPr>
                  </w:pPr>
                </w:p>
              </w:tc>
              <w:tc>
                <w:tcPr>
                  <w:tcW w:w="1346" w:type="pct"/>
                  <w:gridSpan w:val="2"/>
                  <w:vAlign w:val="center"/>
                </w:tcPr>
                <w:p w14:paraId="1A9A82F7">
                  <w:pPr>
                    <w:adjustRightInd w:val="0"/>
                    <w:jc w:val="center"/>
                    <w:rPr>
                      <w:bCs/>
                      <w:szCs w:val="21"/>
                    </w:rPr>
                  </w:pPr>
                  <w:r>
                    <w:rPr>
                      <w:rFonts w:hint="eastAsia"/>
                      <w:bCs/>
                      <w:szCs w:val="21"/>
                    </w:rPr>
                    <w:t>总β放射性</w:t>
                  </w:r>
                </w:p>
              </w:tc>
              <w:tc>
                <w:tcPr>
                  <w:tcW w:w="623" w:type="pct"/>
                  <w:vAlign w:val="center"/>
                </w:tcPr>
                <w:p w14:paraId="2D9CBBE6">
                  <w:pPr>
                    <w:adjustRightInd w:val="0"/>
                    <w:jc w:val="center"/>
                    <w:rPr>
                      <w:bCs/>
                      <w:szCs w:val="21"/>
                    </w:rPr>
                  </w:pPr>
                  <w:r>
                    <w:rPr>
                      <w:rFonts w:hint="eastAsia"/>
                      <w:bCs/>
                      <w:szCs w:val="21"/>
                    </w:rPr>
                    <w:t>Bq/L</w:t>
                  </w:r>
                </w:p>
              </w:tc>
              <w:tc>
                <w:tcPr>
                  <w:tcW w:w="773" w:type="pct"/>
                  <w:vAlign w:val="center"/>
                </w:tcPr>
                <w:p w14:paraId="1B870B71">
                  <w:pPr>
                    <w:adjustRightInd w:val="0"/>
                    <w:jc w:val="center"/>
                    <w:rPr>
                      <w:bCs/>
                      <w:szCs w:val="21"/>
                    </w:rPr>
                  </w:pPr>
                  <w:r>
                    <w:rPr>
                      <w:rFonts w:hint="eastAsia"/>
                      <w:bCs/>
                      <w:szCs w:val="21"/>
                    </w:rPr>
                    <w:t>0.08</w:t>
                  </w:r>
                </w:p>
              </w:tc>
              <w:tc>
                <w:tcPr>
                  <w:tcW w:w="1010" w:type="pct"/>
                  <w:vAlign w:val="center"/>
                </w:tcPr>
                <w:p w14:paraId="3C17EC74">
                  <w:pPr>
                    <w:adjustRightInd w:val="0"/>
                    <w:jc w:val="center"/>
                    <w:rPr>
                      <w:bCs/>
                      <w:szCs w:val="21"/>
                    </w:rPr>
                  </w:pPr>
                  <w:r>
                    <w:rPr>
                      <w:rFonts w:hint="eastAsia"/>
                      <w:bCs/>
                      <w:szCs w:val="21"/>
                    </w:rPr>
                    <w:t>10Bq/L</w:t>
                  </w:r>
                </w:p>
              </w:tc>
              <w:tc>
                <w:tcPr>
                  <w:tcW w:w="766" w:type="pct"/>
                  <w:vAlign w:val="center"/>
                </w:tcPr>
                <w:p w14:paraId="6B1CE294">
                  <w:pPr>
                    <w:adjustRightInd w:val="0"/>
                    <w:jc w:val="center"/>
                    <w:rPr>
                      <w:bCs/>
                      <w:szCs w:val="21"/>
                    </w:rPr>
                  </w:pPr>
                  <w:r>
                    <w:rPr>
                      <w:bCs/>
                      <w:szCs w:val="21"/>
                    </w:rPr>
                    <w:t>合格</w:t>
                  </w:r>
                </w:p>
              </w:tc>
            </w:tr>
            <w:tr w14:paraId="6346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5" w:type="pct"/>
                  <w:gridSpan w:val="3"/>
                  <w:vAlign w:val="center"/>
                </w:tcPr>
                <w:p w14:paraId="0AB9C0AA">
                  <w:pPr>
                    <w:adjustRightInd w:val="0"/>
                    <w:jc w:val="center"/>
                    <w:rPr>
                      <w:bCs/>
                      <w:szCs w:val="21"/>
                    </w:rPr>
                  </w:pPr>
                  <w:r>
                    <w:rPr>
                      <w:bCs/>
                      <w:szCs w:val="21"/>
                    </w:rPr>
                    <w:t>备注</w:t>
                  </w:r>
                </w:p>
              </w:tc>
              <w:tc>
                <w:tcPr>
                  <w:tcW w:w="3174" w:type="pct"/>
                  <w:gridSpan w:val="4"/>
                  <w:vAlign w:val="center"/>
                </w:tcPr>
                <w:p w14:paraId="35E2A8E4">
                  <w:pPr>
                    <w:adjustRightInd w:val="0"/>
                    <w:jc w:val="center"/>
                    <w:rPr>
                      <w:bCs/>
                      <w:szCs w:val="21"/>
                    </w:rPr>
                  </w:pPr>
                  <w:r>
                    <w:rPr>
                      <w:bCs/>
                      <w:szCs w:val="21"/>
                    </w:rPr>
                    <w:t>“</w:t>
                  </w:r>
                  <w:r>
                    <w:rPr>
                      <w:rFonts w:hint="eastAsia"/>
                      <w:bCs/>
                      <w:szCs w:val="21"/>
                    </w:rPr>
                    <w:t>＜+检出限</w:t>
                  </w:r>
                  <w:r>
                    <w:rPr>
                      <w:bCs/>
                      <w:szCs w:val="21"/>
                    </w:rPr>
                    <w:t>”表示检测结果低于分析方法检出限</w:t>
                  </w:r>
                </w:p>
              </w:tc>
            </w:tr>
          </w:tbl>
          <w:p w14:paraId="5540E0A2">
            <w:pPr>
              <w:spacing w:line="360" w:lineRule="auto"/>
              <w:ind w:firstLine="480" w:firstLineChars="200"/>
              <w:jc w:val="left"/>
              <w:rPr>
                <w:sz w:val="24"/>
              </w:rPr>
            </w:pPr>
            <w:r>
              <w:rPr>
                <w:sz w:val="24"/>
              </w:rPr>
              <w:t>根据</w:t>
            </w:r>
            <w:r>
              <w:rPr>
                <w:rFonts w:hint="eastAsia"/>
                <w:sz w:val="24"/>
              </w:rPr>
              <w:t>上</w:t>
            </w:r>
            <w:r>
              <w:rPr>
                <w:sz w:val="24"/>
              </w:rPr>
              <w:t>表监测结果，本项目尾矿浸出液中危害成分均未超过GB8978-1996《污水综合排放标准》最高允许排放浓度。</w:t>
            </w:r>
          </w:p>
          <w:p w14:paraId="0CA05C19">
            <w:pPr>
              <w:spacing w:line="360" w:lineRule="auto"/>
              <w:ind w:firstLine="480" w:firstLineChars="200"/>
              <w:jc w:val="left"/>
              <w:rPr>
                <w:sz w:val="24"/>
              </w:rPr>
            </w:pPr>
            <w:r>
              <w:rPr>
                <w:sz w:val="24"/>
              </w:rPr>
              <w:t>因此，本项目所用尾矿，来自</w:t>
            </w:r>
            <w:r>
              <w:rPr>
                <w:rFonts w:hint="eastAsia"/>
                <w:sz w:val="24"/>
              </w:rPr>
              <w:t>中化云龙有限公司</w:t>
            </w:r>
            <w:r>
              <w:rPr>
                <w:sz w:val="24"/>
              </w:rPr>
              <w:t>30万吨/年磷酸盐生产线浮选工段，不属于危险废物，属于Ⅰ类一般工业固体废物。</w:t>
            </w:r>
          </w:p>
          <w:p w14:paraId="5001E438">
            <w:pPr>
              <w:spacing w:line="360" w:lineRule="auto"/>
              <w:ind w:firstLine="480" w:firstLineChars="200"/>
              <w:jc w:val="left"/>
              <w:rPr>
                <w:sz w:val="24"/>
              </w:rPr>
            </w:pPr>
            <w:r>
              <w:rPr>
                <w:rFonts w:hint="eastAsia"/>
                <w:sz w:val="24"/>
              </w:rPr>
              <w:t>（3）尿素</w:t>
            </w:r>
          </w:p>
          <w:p w14:paraId="0392D29E">
            <w:pPr>
              <w:spacing w:line="360" w:lineRule="auto"/>
              <w:ind w:firstLine="480" w:firstLineChars="200"/>
              <w:jc w:val="left"/>
              <w:rPr>
                <w:sz w:val="24"/>
              </w:rPr>
            </w:pPr>
            <w:r>
              <w:rPr>
                <w:rFonts w:hint="eastAsia"/>
                <w:sz w:val="24"/>
              </w:rPr>
              <w:t>尿素化学式为 CO(NH</w:t>
            </w:r>
            <w:r>
              <w:rPr>
                <w:rFonts w:hint="eastAsia"/>
                <w:sz w:val="24"/>
                <w:vertAlign w:val="subscript"/>
              </w:rPr>
              <w:t>2</w:t>
            </w:r>
            <w:r>
              <w:rPr>
                <w:rFonts w:hint="eastAsia"/>
                <w:sz w:val="24"/>
              </w:rPr>
              <w:t>)</w:t>
            </w:r>
            <w:r>
              <w:rPr>
                <w:rFonts w:hint="eastAsia"/>
                <w:sz w:val="24"/>
                <w:vertAlign w:val="subscript"/>
              </w:rPr>
              <w:t>2</w:t>
            </w:r>
            <w:r>
              <w:rPr>
                <w:rFonts w:hint="eastAsia"/>
                <w:sz w:val="24"/>
              </w:rPr>
              <w:t>相对分子质量 60.06，无色或白色针状或棒状结</w:t>
            </w:r>
          </w:p>
          <w:p w14:paraId="791A218F">
            <w:pPr>
              <w:spacing w:line="360" w:lineRule="auto"/>
              <w:jc w:val="left"/>
              <w:rPr>
                <w:sz w:val="24"/>
              </w:rPr>
            </w:pPr>
            <w:r>
              <w:rPr>
                <w:rFonts w:hint="eastAsia"/>
                <w:sz w:val="24"/>
              </w:rPr>
              <w:t>晶体，工业或农业为白色略带微红色固体颗粒，有刺鼻性气味。具有吸湿性，</w:t>
            </w:r>
          </w:p>
          <w:p w14:paraId="792A529A">
            <w:pPr>
              <w:spacing w:line="360" w:lineRule="auto"/>
              <w:jc w:val="left"/>
              <w:rPr>
                <w:sz w:val="24"/>
              </w:rPr>
            </w:pPr>
            <w:r>
              <w:rPr>
                <w:rFonts w:hint="eastAsia"/>
                <w:sz w:val="24"/>
              </w:rPr>
              <w:t>易结块。含氮量约为 46.7%，密度为 1.335g/cm</w:t>
            </w:r>
            <w:r>
              <w:rPr>
                <w:rFonts w:hint="eastAsia"/>
                <w:sz w:val="24"/>
                <w:vertAlign w:val="superscript"/>
              </w:rPr>
              <w:t>3</w:t>
            </w:r>
            <w:r>
              <w:rPr>
                <w:rFonts w:hint="eastAsia"/>
                <w:sz w:val="24"/>
              </w:rPr>
              <w:t>，熔点 132.7℃。溶于水、</w:t>
            </w:r>
          </w:p>
          <w:p w14:paraId="3D5506AE">
            <w:pPr>
              <w:spacing w:line="360" w:lineRule="auto"/>
              <w:jc w:val="left"/>
              <w:rPr>
                <w:sz w:val="24"/>
              </w:rPr>
            </w:pPr>
            <w:r>
              <w:rPr>
                <w:rFonts w:hint="eastAsia"/>
                <w:sz w:val="24"/>
              </w:rPr>
              <w:t>醇，难溶于乙醚、氯仿，呈弱碱性。加热至 160C 分解，产生氨气同时变为</w:t>
            </w:r>
          </w:p>
          <w:p w14:paraId="5A45A99D">
            <w:pPr>
              <w:spacing w:line="360" w:lineRule="auto"/>
              <w:jc w:val="left"/>
              <w:rPr>
                <w:sz w:val="24"/>
              </w:rPr>
            </w:pPr>
            <w:r>
              <w:rPr>
                <w:rFonts w:hint="eastAsia"/>
                <w:sz w:val="24"/>
              </w:rPr>
              <w:t>异氰酸。尿素适用于各种土壤和植物，易保存，使用方便，对土壤的破坏作用小，它是哺乳动物蛋白质代谢的主要含氮终产物，也是农业上最常用的高氮肥料之一。因其含氮量高、性质稳定、使用方便，在工业和农业领域广泛应用。</w:t>
            </w:r>
          </w:p>
          <w:p w14:paraId="1F8B15FB">
            <w:pPr>
              <w:adjustRightInd w:val="0"/>
              <w:snapToGrid w:val="0"/>
              <w:spacing w:line="360" w:lineRule="auto"/>
              <w:ind w:left="420" w:leftChars="200"/>
              <w:rPr>
                <w:bCs/>
                <w:sz w:val="24"/>
              </w:rPr>
            </w:pPr>
            <w:r>
              <w:rPr>
                <w:rFonts w:hint="eastAsia"/>
                <w:bCs/>
                <w:sz w:val="24"/>
              </w:rPr>
              <w:t>（4）锯木屑</w:t>
            </w:r>
          </w:p>
          <w:p w14:paraId="6AB6C2CE">
            <w:pPr>
              <w:adjustRightInd w:val="0"/>
              <w:snapToGrid w:val="0"/>
              <w:spacing w:line="360" w:lineRule="auto"/>
              <w:ind w:left="420" w:leftChars="200"/>
              <w:rPr>
                <w:bCs/>
                <w:sz w:val="24"/>
              </w:rPr>
            </w:pPr>
            <w:r>
              <w:rPr>
                <w:rFonts w:hint="eastAsia"/>
                <w:bCs/>
                <w:sz w:val="24"/>
              </w:rPr>
              <w:t>锯木屑</w:t>
            </w:r>
            <w:r>
              <w:rPr>
                <w:bCs/>
                <w:sz w:val="24"/>
              </w:rPr>
              <w:t>主要从</w:t>
            </w:r>
            <w:r>
              <w:rPr>
                <w:rFonts w:hint="eastAsia"/>
                <w:bCs/>
                <w:sz w:val="24"/>
              </w:rPr>
              <w:t>寻甸县</w:t>
            </w:r>
            <w:r>
              <w:rPr>
                <w:bCs/>
                <w:sz w:val="24"/>
              </w:rPr>
              <w:t>及周边采购，作为补充有机质原料。</w:t>
            </w:r>
          </w:p>
          <w:p w14:paraId="2E2709AC">
            <w:pPr>
              <w:adjustRightInd w:val="0"/>
              <w:snapToGrid w:val="0"/>
              <w:spacing w:line="360" w:lineRule="auto"/>
              <w:ind w:firstLine="480" w:firstLineChars="200"/>
              <w:rPr>
                <w:bCs/>
                <w:sz w:val="24"/>
              </w:rPr>
            </w:pPr>
            <w:r>
              <w:rPr>
                <w:rFonts w:hint="eastAsia"/>
                <w:bCs/>
                <w:sz w:val="24"/>
              </w:rPr>
              <w:t>锯木屑</w:t>
            </w:r>
            <w:r>
              <w:rPr>
                <w:bCs/>
                <w:sz w:val="24"/>
              </w:rPr>
              <w:t>富含氮、磷、钾大量元素、多种中微量元素以及有机质。</w:t>
            </w:r>
            <w:r>
              <w:rPr>
                <w:rFonts w:hint="eastAsia"/>
                <w:bCs/>
                <w:sz w:val="24"/>
              </w:rPr>
              <w:t>锯木屑</w:t>
            </w:r>
            <w:r>
              <w:rPr>
                <w:bCs/>
                <w:sz w:val="24"/>
              </w:rPr>
              <w:t>多处于植物成熟后阶段，粗纤维含量很高，这时植物细胞木质化的程度很高，一般在31％～45％之间</w:t>
            </w:r>
            <w:r>
              <w:rPr>
                <w:rFonts w:hint="eastAsia"/>
                <w:bCs/>
                <w:sz w:val="24"/>
              </w:rPr>
              <w:t>，</w:t>
            </w:r>
            <w:r>
              <w:rPr>
                <w:bCs/>
                <w:sz w:val="24"/>
              </w:rPr>
              <w:t>干物质含量一般90~95%，粗蛋白2~9%，主要成分是纤维，主要集中于细胞壁，细胞壁含量占70%以上，由纤维素、半纤维素、木质素组成。</w:t>
            </w:r>
          </w:p>
          <w:p w14:paraId="062A7D10">
            <w:pPr>
              <w:adjustRightInd w:val="0"/>
              <w:snapToGrid w:val="0"/>
              <w:spacing w:line="360" w:lineRule="auto"/>
              <w:ind w:firstLine="480" w:firstLineChars="200"/>
              <w:rPr>
                <w:bCs/>
                <w:sz w:val="24"/>
              </w:rPr>
            </w:pPr>
            <w:r>
              <w:rPr>
                <w:bCs/>
                <w:sz w:val="24"/>
              </w:rPr>
              <w:t>（5）微生物发酵剂</w:t>
            </w:r>
          </w:p>
          <w:p w14:paraId="4C6F243F">
            <w:pPr>
              <w:adjustRightInd w:val="0"/>
              <w:snapToGrid w:val="0"/>
              <w:spacing w:line="360" w:lineRule="auto"/>
              <w:ind w:firstLine="480" w:firstLineChars="200"/>
              <w:rPr>
                <w:bCs/>
                <w:sz w:val="24"/>
              </w:rPr>
            </w:pPr>
            <w:r>
              <w:rPr>
                <w:bCs/>
                <w:sz w:val="24"/>
              </w:rPr>
              <w:t>有机肥发酵剂为复合有机肥专用菌种，是由地衣芽孢杆菌、枯草芽孢杆菌、乳酸菌、酵母菌、粪肠球菌等几十种有益微生物菌剂复合而成的，并添加适用于发酵有机肥的多种生物酶制剂。</w:t>
            </w:r>
          </w:p>
          <w:p w14:paraId="30F8C5D6">
            <w:pPr>
              <w:adjustRightInd w:val="0"/>
              <w:snapToGrid w:val="0"/>
              <w:spacing w:line="360" w:lineRule="auto"/>
              <w:ind w:firstLine="480" w:firstLineChars="200"/>
              <w:rPr>
                <w:bCs/>
                <w:sz w:val="24"/>
              </w:rPr>
            </w:pPr>
            <w:r>
              <w:rPr>
                <w:bCs/>
                <w:sz w:val="24"/>
              </w:rPr>
              <w:t>发酵剂具有促进</w:t>
            </w:r>
            <w:r>
              <w:rPr>
                <w:rFonts w:hint="eastAsia"/>
                <w:bCs/>
                <w:sz w:val="24"/>
              </w:rPr>
              <w:t>堆肥物料</w:t>
            </w:r>
            <w:r>
              <w:rPr>
                <w:bCs/>
                <w:sz w:val="24"/>
              </w:rPr>
              <w:t>快速腐熟、消灭病菌、升温快、提高肥效等特点，通过堆肥发酵，可以将</w:t>
            </w:r>
            <w:r>
              <w:rPr>
                <w:rFonts w:hint="eastAsia"/>
                <w:bCs/>
                <w:sz w:val="24"/>
              </w:rPr>
              <w:t>原料</w:t>
            </w:r>
            <w:r>
              <w:rPr>
                <w:bCs/>
                <w:sz w:val="24"/>
              </w:rPr>
              <w:t>中的碳、氮、磷、钾、硫等分解矿化，形成简单有机物，从而进一步分解为种植作物可吸收的营养成分。</w:t>
            </w:r>
          </w:p>
          <w:p w14:paraId="76CD7B3C">
            <w:pPr>
              <w:adjustRightInd w:val="0"/>
              <w:snapToGrid w:val="0"/>
              <w:spacing w:line="360" w:lineRule="auto"/>
              <w:ind w:firstLine="480" w:firstLineChars="200"/>
              <w:rPr>
                <w:bCs/>
                <w:sz w:val="24"/>
              </w:rPr>
            </w:pPr>
            <w:r>
              <w:rPr>
                <w:rFonts w:hint="eastAsia"/>
                <w:bCs/>
                <w:sz w:val="24"/>
              </w:rPr>
              <w:t xml:space="preserve"> 根据建设单位提供的项目使用的</w:t>
            </w:r>
            <w:r>
              <w:rPr>
                <w:bCs/>
                <w:sz w:val="24"/>
              </w:rPr>
              <w:t>微生物发酵剂</w:t>
            </w:r>
            <w:r>
              <w:rPr>
                <w:rFonts w:hint="eastAsia"/>
                <w:bCs/>
                <w:sz w:val="24"/>
              </w:rPr>
              <w:t>检测报告（见附件6），各监测指标均能满足《农用微生物菌剂》（GB 20287-2006）和《肥料中有毒有害物质的限量要求》（GB 38400-2019）。</w:t>
            </w:r>
          </w:p>
          <w:p w14:paraId="5F9E6DFC">
            <w:pPr>
              <w:adjustRightInd w:val="0"/>
              <w:snapToGrid w:val="0"/>
              <w:spacing w:line="360" w:lineRule="auto"/>
              <w:ind w:firstLine="480" w:firstLineChars="200"/>
              <w:rPr>
                <w:bCs/>
                <w:sz w:val="24"/>
              </w:rPr>
            </w:pPr>
            <w:r>
              <w:rPr>
                <w:rFonts w:hint="eastAsia"/>
                <w:bCs/>
                <w:sz w:val="24"/>
              </w:rPr>
              <w:t>3、原料配伍及产品可达性</w:t>
            </w:r>
          </w:p>
          <w:p w14:paraId="211032E4">
            <w:pPr>
              <w:adjustRightInd w:val="0"/>
              <w:snapToGrid w:val="0"/>
              <w:spacing w:line="360" w:lineRule="auto"/>
              <w:ind w:firstLine="480" w:firstLineChars="200"/>
              <w:rPr>
                <w:bCs/>
                <w:sz w:val="24"/>
              </w:rPr>
            </w:pPr>
            <w:r>
              <w:rPr>
                <w:rFonts w:hint="eastAsia"/>
                <w:bCs/>
                <w:sz w:val="24"/>
              </w:rPr>
              <w:t>①有机肥</w:t>
            </w:r>
          </w:p>
          <w:p w14:paraId="1D1D2F44">
            <w:pPr>
              <w:adjustRightInd w:val="0"/>
              <w:snapToGrid w:val="0"/>
              <w:spacing w:line="360" w:lineRule="auto"/>
              <w:ind w:firstLine="480" w:firstLineChars="200"/>
              <w:rPr>
                <w:sz w:val="24"/>
              </w:rPr>
            </w:pPr>
            <w:r>
              <w:rPr>
                <w:rFonts w:hint="eastAsia"/>
                <w:bCs/>
                <w:sz w:val="24"/>
              </w:rPr>
              <w:t>根据项目原料使用情况，有机肥发酵生产中的原料配比为低变质褐煤：锯木屑：水：尿素=15.25：4：2：1，低变质褐煤和锯木屑含有大量的有机质成分，可为发酵提供必须的碳源，尿素为发酵提供必须的氮源。低变质褐煤中含C量约为60%，锯木屑中含C量为58%，根据低变质褐煤和锯木屑年用量配比共含C45880t/a（含N量较少，忽略不计）；尿素中N的含量为46.7%，则尿素年用量中含N1868t/a。综上，有机肥生产中C/N=24.5:1，在有机肥发酵合理的碳氮比</w:t>
            </w:r>
            <w:r>
              <w:rPr>
                <w:sz w:val="24"/>
              </w:rPr>
              <w:t>20:1~40:1</w:t>
            </w:r>
            <w:r>
              <w:rPr>
                <w:rFonts w:hint="eastAsia"/>
                <w:sz w:val="24"/>
              </w:rPr>
              <w:t>的合理区间范围内，有机肥生产中的原料配伍合理可行。且发酵原料中含有重金属的比例较低，产品中的有机肥技术指标和重金属限量指标均可满足《有机肥料》（NY/T525-2021）。</w:t>
            </w:r>
          </w:p>
          <w:p w14:paraId="3DA9F022">
            <w:pPr>
              <w:adjustRightInd w:val="0"/>
              <w:snapToGrid w:val="0"/>
              <w:spacing w:line="360" w:lineRule="auto"/>
              <w:ind w:firstLine="480" w:firstLineChars="200"/>
              <w:rPr>
                <w:sz w:val="24"/>
              </w:rPr>
            </w:pPr>
            <w:r>
              <w:rPr>
                <w:rFonts w:hint="eastAsia"/>
                <w:sz w:val="24"/>
              </w:rPr>
              <w:t>②</w:t>
            </w:r>
            <w:r>
              <w:rPr>
                <w:rFonts w:hint="eastAsia"/>
                <w:bCs/>
                <w:sz w:val="24"/>
              </w:rPr>
              <w:t>中量元素有机肥</w:t>
            </w:r>
          </w:p>
          <w:p w14:paraId="371FD4FC">
            <w:pPr>
              <w:adjustRightInd w:val="0"/>
              <w:snapToGrid w:val="0"/>
              <w:spacing w:line="360" w:lineRule="auto"/>
              <w:ind w:firstLine="480" w:firstLineChars="200"/>
              <w:rPr>
                <w:bCs/>
                <w:sz w:val="24"/>
              </w:rPr>
            </w:pPr>
            <w:r>
              <w:rPr>
                <w:rFonts w:hint="eastAsia"/>
                <w:bCs/>
                <w:sz w:val="24"/>
              </w:rPr>
              <w:t>根据项目生产工艺，在发酵后的有机肥中添加尾矿，发酵后的有机肥使用量约为26000t/a，尾矿使用量为24000t/a，配比约为1.08:1。根据</w:t>
            </w:r>
            <w:r>
              <w:rPr>
                <w:rFonts w:hint="eastAsia"/>
                <w:sz w:val="24"/>
              </w:rPr>
              <w:t>尾矿的成分监测结果可看出，尾矿中主要的元素构成为</w:t>
            </w:r>
            <w:r>
              <w:rPr>
                <w:rFonts w:hint="eastAsia"/>
                <w:bCs/>
                <w:sz w:val="24"/>
              </w:rPr>
              <w:t>P、Mg、Ca、K、Na等元素，其中Ca最多，其次为Mg、P、Na，可为有机肥料中补充植物生产所需的其他养分元素。同时，</w:t>
            </w:r>
            <w:r>
              <w:rPr>
                <w:rFonts w:hint="eastAsia"/>
                <w:sz w:val="24"/>
              </w:rPr>
              <w:t>尾矿</w:t>
            </w:r>
            <w:r>
              <w:rPr>
                <w:rFonts w:hint="eastAsia"/>
                <w:bCs/>
                <w:sz w:val="24"/>
              </w:rPr>
              <w:t>成分中的重金属含量较低，最高的为Pb，其含量为44.8mg/kg，其次为Cr、As、Cd、Tl、Hg，尾矿中各重金属的含量均低于《有机无机复混肥料》（GB/T18877-2020）中的技术指标要求，经与发酵后的有机肥进行配比加工后，产品中的重金属含量将远远低于尾矿中的含量，产品质量满足</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w:t>
            </w:r>
            <w:r>
              <w:rPr>
                <w:bCs/>
                <w:sz w:val="24"/>
              </w:rPr>
              <w:t>）</w:t>
            </w:r>
            <w:r>
              <w:rPr>
                <w:rFonts w:hint="eastAsia"/>
                <w:bCs/>
                <w:sz w:val="24"/>
              </w:rPr>
              <w:t>中的要求。</w:t>
            </w:r>
          </w:p>
          <w:p w14:paraId="4A13420F">
            <w:pPr>
              <w:adjustRightInd w:val="0"/>
              <w:snapToGrid w:val="0"/>
              <w:spacing w:before="120" w:beforeLines="50" w:line="360" w:lineRule="auto"/>
              <w:rPr>
                <w:b/>
                <w:sz w:val="24"/>
              </w:rPr>
            </w:pPr>
            <w:r>
              <w:rPr>
                <w:rFonts w:hint="eastAsia"/>
                <w:b/>
                <w:sz w:val="24"/>
              </w:rPr>
              <w:t>五</w:t>
            </w:r>
            <w:r>
              <w:rPr>
                <w:b/>
                <w:sz w:val="24"/>
              </w:rPr>
              <w:t>、</w:t>
            </w:r>
            <w:r>
              <w:rPr>
                <w:rFonts w:hint="eastAsia"/>
                <w:b/>
                <w:sz w:val="24"/>
              </w:rPr>
              <w:t>平衡分析</w:t>
            </w:r>
          </w:p>
          <w:p w14:paraId="4567DD67">
            <w:pPr>
              <w:adjustRightInd w:val="0"/>
              <w:snapToGrid w:val="0"/>
              <w:spacing w:line="360" w:lineRule="auto"/>
              <w:ind w:firstLine="482" w:firstLineChars="200"/>
              <w:rPr>
                <w:b/>
                <w:sz w:val="24"/>
              </w:rPr>
            </w:pPr>
            <w:r>
              <w:rPr>
                <w:rFonts w:hint="eastAsia"/>
                <w:b/>
                <w:sz w:val="24"/>
              </w:rPr>
              <w:t>1、物料平衡</w:t>
            </w:r>
          </w:p>
          <w:p w14:paraId="36A88BC4">
            <w:pPr>
              <w:adjustRightInd w:val="0"/>
              <w:snapToGrid w:val="0"/>
              <w:spacing w:line="360" w:lineRule="auto"/>
              <w:ind w:firstLine="480" w:firstLineChars="200"/>
              <w:rPr>
                <w:bCs/>
                <w:sz w:val="24"/>
              </w:rPr>
            </w:pPr>
            <w:r>
              <w:rPr>
                <w:bCs/>
                <w:sz w:val="24"/>
              </w:rPr>
              <w:t>本项目</w:t>
            </w:r>
            <w:r>
              <w:rPr>
                <w:rFonts w:hint="eastAsia"/>
                <w:bCs/>
                <w:sz w:val="24"/>
              </w:rPr>
              <w:t>总</w:t>
            </w:r>
            <w:r>
              <w:rPr>
                <w:bCs/>
                <w:sz w:val="24"/>
              </w:rPr>
              <w:t>物料平衡表详见表2-</w:t>
            </w:r>
            <w:r>
              <w:rPr>
                <w:rFonts w:hint="eastAsia"/>
                <w:bCs/>
                <w:sz w:val="24"/>
              </w:rPr>
              <w:t>15，物料平衡图详见图2-2</w:t>
            </w:r>
            <w:r>
              <w:rPr>
                <w:bCs/>
                <w:sz w:val="24"/>
              </w:rPr>
              <w:t>。</w:t>
            </w:r>
          </w:p>
          <w:p w14:paraId="78241DF7">
            <w:pPr>
              <w:adjustRightInd w:val="0"/>
              <w:snapToGrid w:val="0"/>
              <w:ind w:firstLine="422" w:firstLineChars="200"/>
              <w:jc w:val="center"/>
              <w:rPr>
                <w:b/>
                <w:szCs w:val="21"/>
              </w:rPr>
            </w:pPr>
            <w:r>
              <w:rPr>
                <w:b/>
                <w:szCs w:val="21"/>
              </w:rPr>
              <w:t>表2-</w:t>
            </w:r>
            <w:r>
              <w:rPr>
                <w:rFonts w:hint="eastAsia"/>
                <w:b/>
                <w:szCs w:val="21"/>
              </w:rPr>
              <w:t>15</w:t>
            </w:r>
            <w:r>
              <w:rPr>
                <w:b/>
                <w:szCs w:val="21"/>
              </w:rPr>
              <w:t xml:space="preserve">  项目物料平衡表  单位：t/a</w:t>
            </w:r>
          </w:p>
          <w:tbl>
            <w:tblPr>
              <w:tblStyle w:val="24"/>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2103"/>
              <w:gridCol w:w="1869"/>
              <w:gridCol w:w="2104"/>
            </w:tblGrid>
            <w:tr w14:paraId="679D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gridSpan w:val="2"/>
                  <w:vAlign w:val="center"/>
                </w:tcPr>
                <w:p w14:paraId="63374872">
                  <w:pPr>
                    <w:widowControl/>
                    <w:jc w:val="center"/>
                    <w:textAlignment w:val="center"/>
                    <w:rPr>
                      <w:bCs/>
                      <w:szCs w:val="21"/>
                    </w:rPr>
                  </w:pPr>
                  <w:r>
                    <w:rPr>
                      <w:rFonts w:hint="eastAsia" w:ascii="宋体" w:hAnsi="宋体" w:cs="宋体"/>
                      <w:kern w:val="0"/>
                      <w:szCs w:val="21"/>
                      <w:lang w:bidi="ar"/>
                    </w:rPr>
                    <w:t>输入</w:t>
                  </w:r>
                </w:p>
              </w:tc>
              <w:tc>
                <w:tcPr>
                  <w:tcW w:w="3973" w:type="dxa"/>
                  <w:gridSpan w:val="2"/>
                  <w:vAlign w:val="center"/>
                </w:tcPr>
                <w:p w14:paraId="17793826">
                  <w:pPr>
                    <w:widowControl/>
                    <w:jc w:val="center"/>
                    <w:textAlignment w:val="center"/>
                    <w:rPr>
                      <w:bCs/>
                      <w:szCs w:val="21"/>
                    </w:rPr>
                  </w:pPr>
                  <w:r>
                    <w:rPr>
                      <w:rFonts w:hint="eastAsia" w:ascii="宋体" w:hAnsi="宋体" w:cs="宋体"/>
                      <w:kern w:val="0"/>
                      <w:szCs w:val="21"/>
                      <w:lang w:bidi="ar"/>
                    </w:rPr>
                    <w:t>输出</w:t>
                  </w:r>
                </w:p>
              </w:tc>
            </w:tr>
            <w:tr w14:paraId="2B1C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center"/>
                </w:tcPr>
                <w:p w14:paraId="1250F8DB">
                  <w:pPr>
                    <w:widowControl/>
                    <w:adjustRightInd w:val="0"/>
                    <w:snapToGrid w:val="0"/>
                    <w:jc w:val="center"/>
                    <w:textAlignment w:val="top"/>
                    <w:rPr>
                      <w:szCs w:val="21"/>
                    </w:rPr>
                  </w:pPr>
                  <w:r>
                    <w:rPr>
                      <w:rFonts w:hint="eastAsia"/>
                      <w:spacing w:val="-2"/>
                      <w:kern w:val="0"/>
                      <w:szCs w:val="21"/>
                      <w:lang w:bidi="ar"/>
                    </w:rPr>
                    <w:t>低变质褐煤</w:t>
                  </w:r>
                </w:p>
              </w:tc>
              <w:tc>
                <w:tcPr>
                  <w:tcW w:w="2103" w:type="dxa"/>
                </w:tcPr>
                <w:p w14:paraId="3D0A905B">
                  <w:pPr>
                    <w:widowControl/>
                    <w:jc w:val="center"/>
                    <w:textAlignment w:val="top"/>
                    <w:rPr>
                      <w:szCs w:val="21"/>
                    </w:rPr>
                  </w:pPr>
                  <w:r>
                    <w:rPr>
                      <w:rFonts w:hint="eastAsia"/>
                      <w:kern w:val="0"/>
                      <w:szCs w:val="21"/>
                      <w:lang w:bidi="ar"/>
                    </w:rPr>
                    <w:t>61000</w:t>
                  </w:r>
                </w:p>
              </w:tc>
              <w:tc>
                <w:tcPr>
                  <w:tcW w:w="1869" w:type="dxa"/>
                  <w:vAlign w:val="center"/>
                </w:tcPr>
                <w:p w14:paraId="3DE23F89">
                  <w:pPr>
                    <w:widowControl/>
                    <w:jc w:val="center"/>
                    <w:textAlignment w:val="center"/>
                    <w:rPr>
                      <w:bCs/>
                      <w:szCs w:val="21"/>
                    </w:rPr>
                  </w:pPr>
                  <w:r>
                    <w:rPr>
                      <w:rFonts w:hint="eastAsia" w:ascii="宋体" w:hAnsi="宋体" w:cs="宋体"/>
                      <w:kern w:val="0"/>
                      <w:szCs w:val="21"/>
                      <w:lang w:bidi="ar"/>
                    </w:rPr>
                    <w:t>有机肥</w:t>
                  </w:r>
                </w:p>
              </w:tc>
              <w:tc>
                <w:tcPr>
                  <w:tcW w:w="2104" w:type="dxa"/>
                  <w:vAlign w:val="center"/>
                </w:tcPr>
                <w:p w14:paraId="30ED49FC">
                  <w:pPr>
                    <w:widowControl/>
                    <w:jc w:val="center"/>
                    <w:textAlignment w:val="center"/>
                    <w:rPr>
                      <w:bCs/>
                      <w:szCs w:val="21"/>
                    </w:rPr>
                  </w:pPr>
                  <w:r>
                    <w:rPr>
                      <w:rFonts w:hint="eastAsia"/>
                      <w:kern w:val="0"/>
                      <w:szCs w:val="21"/>
                      <w:lang w:bidi="ar"/>
                    </w:rPr>
                    <w:t>5</w:t>
                  </w:r>
                  <w:r>
                    <w:rPr>
                      <w:kern w:val="0"/>
                      <w:szCs w:val="21"/>
                      <w:lang w:bidi="ar"/>
                    </w:rPr>
                    <w:t>0000</w:t>
                  </w:r>
                </w:p>
              </w:tc>
            </w:tr>
            <w:tr w14:paraId="7C9F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9" w:type="dxa"/>
                  <w:vAlign w:val="center"/>
                </w:tcPr>
                <w:p w14:paraId="2DF5D88E">
                  <w:pPr>
                    <w:widowControl/>
                    <w:adjustRightInd w:val="0"/>
                    <w:snapToGrid w:val="0"/>
                    <w:jc w:val="center"/>
                    <w:textAlignment w:val="top"/>
                    <w:rPr>
                      <w:szCs w:val="21"/>
                    </w:rPr>
                  </w:pPr>
                  <w:r>
                    <w:rPr>
                      <w:rFonts w:hint="eastAsia"/>
                      <w:spacing w:val="-2"/>
                      <w:kern w:val="0"/>
                      <w:szCs w:val="21"/>
                      <w:lang w:bidi="ar"/>
                    </w:rPr>
                    <w:t>锯木屑</w:t>
                  </w:r>
                </w:p>
              </w:tc>
              <w:tc>
                <w:tcPr>
                  <w:tcW w:w="2103" w:type="dxa"/>
                </w:tcPr>
                <w:p w14:paraId="0BBD3EFF">
                  <w:pPr>
                    <w:widowControl/>
                    <w:jc w:val="center"/>
                    <w:textAlignment w:val="top"/>
                    <w:rPr>
                      <w:szCs w:val="21"/>
                    </w:rPr>
                  </w:pPr>
                  <w:r>
                    <w:rPr>
                      <w:rFonts w:hint="eastAsia"/>
                      <w:kern w:val="0"/>
                      <w:szCs w:val="21"/>
                      <w:lang w:bidi="ar"/>
                    </w:rPr>
                    <w:t>16000</w:t>
                  </w:r>
                </w:p>
              </w:tc>
              <w:tc>
                <w:tcPr>
                  <w:tcW w:w="1869" w:type="dxa"/>
                  <w:vAlign w:val="center"/>
                </w:tcPr>
                <w:p w14:paraId="2A50EC5D">
                  <w:pPr>
                    <w:widowControl/>
                    <w:jc w:val="center"/>
                    <w:textAlignment w:val="center"/>
                    <w:rPr>
                      <w:bCs/>
                      <w:szCs w:val="21"/>
                    </w:rPr>
                  </w:pPr>
                  <w:r>
                    <w:rPr>
                      <w:rFonts w:hint="eastAsia"/>
                      <w:bCs/>
                      <w:szCs w:val="21"/>
                    </w:rPr>
                    <w:t>中量元素有机肥</w:t>
                  </w:r>
                </w:p>
              </w:tc>
              <w:tc>
                <w:tcPr>
                  <w:tcW w:w="2104" w:type="dxa"/>
                  <w:vAlign w:val="center"/>
                </w:tcPr>
                <w:p w14:paraId="06696CD0">
                  <w:pPr>
                    <w:widowControl/>
                    <w:jc w:val="center"/>
                    <w:textAlignment w:val="center"/>
                    <w:rPr>
                      <w:bCs/>
                      <w:szCs w:val="21"/>
                    </w:rPr>
                  </w:pPr>
                  <w:r>
                    <w:rPr>
                      <w:rFonts w:hint="eastAsia"/>
                      <w:bCs/>
                      <w:szCs w:val="21"/>
                    </w:rPr>
                    <w:t>50000</w:t>
                  </w:r>
                </w:p>
              </w:tc>
            </w:tr>
            <w:tr w14:paraId="7FB6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vAlign w:val="center"/>
                </w:tcPr>
                <w:p w14:paraId="3A83F4BC">
                  <w:pPr>
                    <w:widowControl/>
                    <w:adjustRightInd w:val="0"/>
                    <w:snapToGrid w:val="0"/>
                    <w:jc w:val="center"/>
                    <w:textAlignment w:val="top"/>
                    <w:rPr>
                      <w:szCs w:val="21"/>
                    </w:rPr>
                  </w:pPr>
                  <w:r>
                    <w:rPr>
                      <w:rFonts w:hint="eastAsia"/>
                      <w:spacing w:val="-2"/>
                      <w:kern w:val="0"/>
                      <w:szCs w:val="21"/>
                      <w:lang w:bidi="ar"/>
                    </w:rPr>
                    <w:t>尿素</w:t>
                  </w:r>
                </w:p>
              </w:tc>
              <w:tc>
                <w:tcPr>
                  <w:tcW w:w="2103" w:type="dxa"/>
                  <w:shd w:val="clear" w:color="auto" w:fill="auto"/>
                </w:tcPr>
                <w:p w14:paraId="4EA48AEF">
                  <w:pPr>
                    <w:widowControl/>
                    <w:jc w:val="center"/>
                    <w:textAlignment w:val="top"/>
                    <w:rPr>
                      <w:szCs w:val="21"/>
                    </w:rPr>
                  </w:pPr>
                  <w:r>
                    <w:rPr>
                      <w:rFonts w:hint="eastAsia"/>
                      <w:kern w:val="0"/>
                      <w:szCs w:val="21"/>
                      <w:lang w:bidi="ar"/>
                    </w:rPr>
                    <w:t>4000</w:t>
                  </w:r>
                </w:p>
              </w:tc>
              <w:tc>
                <w:tcPr>
                  <w:tcW w:w="1869" w:type="dxa"/>
                  <w:shd w:val="clear" w:color="auto" w:fill="auto"/>
                  <w:vAlign w:val="center"/>
                </w:tcPr>
                <w:p w14:paraId="004D3D17">
                  <w:pPr>
                    <w:widowControl/>
                    <w:jc w:val="center"/>
                    <w:textAlignment w:val="center"/>
                    <w:rPr>
                      <w:bCs/>
                      <w:szCs w:val="21"/>
                    </w:rPr>
                  </w:pPr>
                  <w:r>
                    <w:rPr>
                      <w:rFonts w:hint="eastAsia" w:ascii="宋体" w:hAnsi="宋体" w:cs="宋体"/>
                      <w:kern w:val="0"/>
                      <w:szCs w:val="21"/>
                      <w:lang w:bidi="ar"/>
                    </w:rPr>
                    <w:t>无组织废气</w:t>
                  </w:r>
                </w:p>
              </w:tc>
              <w:tc>
                <w:tcPr>
                  <w:tcW w:w="2104" w:type="dxa"/>
                  <w:shd w:val="clear" w:color="auto" w:fill="auto"/>
                  <w:vAlign w:val="center"/>
                </w:tcPr>
                <w:p w14:paraId="1B4CDE3F">
                  <w:pPr>
                    <w:widowControl/>
                    <w:jc w:val="center"/>
                    <w:textAlignment w:val="center"/>
                    <w:rPr>
                      <w:bCs/>
                      <w:szCs w:val="21"/>
                    </w:rPr>
                  </w:pPr>
                  <w:r>
                    <w:rPr>
                      <w:rFonts w:hint="eastAsia"/>
                      <w:bCs/>
                      <w:szCs w:val="21"/>
                    </w:rPr>
                    <w:t>1.432</w:t>
                  </w:r>
                </w:p>
              </w:tc>
            </w:tr>
            <w:tr w14:paraId="4234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vAlign w:val="bottom"/>
                </w:tcPr>
                <w:p w14:paraId="6909A6BD">
                  <w:pPr>
                    <w:widowControl/>
                    <w:jc w:val="center"/>
                    <w:textAlignment w:val="bottom"/>
                    <w:rPr>
                      <w:szCs w:val="21"/>
                    </w:rPr>
                  </w:pPr>
                  <w:r>
                    <w:rPr>
                      <w:rFonts w:hint="eastAsia" w:ascii="宋体" w:hAnsi="宋体" w:cs="宋体"/>
                      <w:kern w:val="0"/>
                      <w:szCs w:val="21"/>
                      <w:lang w:bidi="ar"/>
                    </w:rPr>
                    <w:t>发酵剂菌种</w:t>
                  </w:r>
                </w:p>
              </w:tc>
              <w:tc>
                <w:tcPr>
                  <w:tcW w:w="2103" w:type="dxa"/>
                  <w:shd w:val="clear" w:color="auto" w:fill="auto"/>
                </w:tcPr>
                <w:p w14:paraId="1967113C">
                  <w:pPr>
                    <w:widowControl/>
                    <w:jc w:val="center"/>
                    <w:textAlignment w:val="top"/>
                    <w:rPr>
                      <w:szCs w:val="21"/>
                    </w:rPr>
                  </w:pPr>
                  <w:r>
                    <w:rPr>
                      <w:rFonts w:hint="eastAsia"/>
                      <w:kern w:val="0"/>
                      <w:szCs w:val="21"/>
                      <w:lang w:bidi="ar"/>
                    </w:rPr>
                    <w:t>20</w:t>
                  </w:r>
                </w:p>
              </w:tc>
              <w:tc>
                <w:tcPr>
                  <w:tcW w:w="1869" w:type="dxa"/>
                  <w:shd w:val="clear" w:color="auto" w:fill="auto"/>
                  <w:vAlign w:val="center"/>
                </w:tcPr>
                <w:p w14:paraId="74243DD1">
                  <w:pPr>
                    <w:widowControl/>
                    <w:jc w:val="center"/>
                    <w:textAlignment w:val="center"/>
                    <w:rPr>
                      <w:bCs/>
                      <w:szCs w:val="21"/>
                    </w:rPr>
                  </w:pPr>
                  <w:r>
                    <w:rPr>
                      <w:rFonts w:hint="eastAsia"/>
                      <w:bCs/>
                      <w:szCs w:val="21"/>
                    </w:rPr>
                    <w:t>废包装材料</w:t>
                  </w:r>
                </w:p>
              </w:tc>
              <w:tc>
                <w:tcPr>
                  <w:tcW w:w="2104" w:type="dxa"/>
                  <w:shd w:val="clear" w:color="auto" w:fill="auto"/>
                  <w:vAlign w:val="center"/>
                </w:tcPr>
                <w:p w14:paraId="1F883275">
                  <w:pPr>
                    <w:widowControl/>
                    <w:jc w:val="center"/>
                    <w:textAlignment w:val="center"/>
                    <w:rPr>
                      <w:bCs/>
                      <w:szCs w:val="21"/>
                    </w:rPr>
                  </w:pPr>
                  <w:r>
                    <w:rPr>
                      <w:rFonts w:hint="eastAsia"/>
                      <w:bCs/>
                      <w:szCs w:val="21"/>
                    </w:rPr>
                    <w:t>0.2</w:t>
                  </w:r>
                </w:p>
              </w:tc>
            </w:tr>
            <w:tr w14:paraId="2027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tcPr>
                <w:p w14:paraId="128CEFE5">
                  <w:pPr>
                    <w:widowControl/>
                    <w:jc w:val="center"/>
                    <w:textAlignment w:val="top"/>
                    <w:rPr>
                      <w:szCs w:val="21"/>
                    </w:rPr>
                  </w:pPr>
                  <w:r>
                    <w:rPr>
                      <w:rFonts w:hint="eastAsia"/>
                      <w:szCs w:val="21"/>
                    </w:rPr>
                    <w:t>水</w:t>
                  </w:r>
                </w:p>
              </w:tc>
              <w:tc>
                <w:tcPr>
                  <w:tcW w:w="2103" w:type="dxa"/>
                  <w:shd w:val="clear" w:color="auto" w:fill="auto"/>
                </w:tcPr>
                <w:p w14:paraId="75E08351">
                  <w:pPr>
                    <w:widowControl/>
                    <w:jc w:val="center"/>
                    <w:textAlignment w:val="top"/>
                    <w:rPr>
                      <w:szCs w:val="21"/>
                    </w:rPr>
                  </w:pPr>
                  <w:r>
                    <w:rPr>
                      <w:rFonts w:hint="eastAsia"/>
                      <w:szCs w:val="21"/>
                    </w:rPr>
                    <w:t>7700</w:t>
                  </w:r>
                </w:p>
              </w:tc>
              <w:tc>
                <w:tcPr>
                  <w:tcW w:w="1869" w:type="dxa"/>
                  <w:shd w:val="clear" w:color="auto" w:fill="auto"/>
                  <w:vAlign w:val="center"/>
                </w:tcPr>
                <w:p w14:paraId="66B591B1">
                  <w:pPr>
                    <w:widowControl/>
                    <w:jc w:val="center"/>
                    <w:textAlignment w:val="center"/>
                    <w:rPr>
                      <w:bCs/>
                      <w:szCs w:val="21"/>
                    </w:rPr>
                  </w:pPr>
                  <w:r>
                    <w:rPr>
                      <w:rFonts w:hint="eastAsia" w:ascii="宋体" w:hAnsi="宋体" w:cs="宋体"/>
                      <w:kern w:val="0"/>
                      <w:szCs w:val="21"/>
                      <w:lang w:bidi="ar"/>
                    </w:rPr>
                    <w:t>蒸发水分损失</w:t>
                  </w:r>
                </w:p>
              </w:tc>
              <w:tc>
                <w:tcPr>
                  <w:tcW w:w="2104" w:type="dxa"/>
                  <w:shd w:val="clear" w:color="auto" w:fill="auto"/>
                  <w:vAlign w:val="center"/>
                </w:tcPr>
                <w:p w14:paraId="6DB2896F">
                  <w:pPr>
                    <w:widowControl/>
                    <w:jc w:val="center"/>
                    <w:textAlignment w:val="center"/>
                    <w:rPr>
                      <w:bCs/>
                      <w:szCs w:val="21"/>
                    </w:rPr>
                  </w:pPr>
                  <w:r>
                    <w:rPr>
                      <w:rFonts w:hint="eastAsia"/>
                      <w:bCs/>
                      <w:szCs w:val="21"/>
                    </w:rPr>
                    <w:t>12718.368</w:t>
                  </w:r>
                </w:p>
              </w:tc>
            </w:tr>
            <w:tr w14:paraId="6B92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tcPr>
                <w:p w14:paraId="41826EB4">
                  <w:pPr>
                    <w:widowControl/>
                    <w:jc w:val="center"/>
                    <w:textAlignment w:val="top"/>
                    <w:rPr>
                      <w:szCs w:val="21"/>
                    </w:rPr>
                  </w:pPr>
                  <w:r>
                    <w:rPr>
                      <w:rFonts w:hint="eastAsia"/>
                      <w:szCs w:val="21"/>
                    </w:rPr>
                    <w:t>尾矿</w:t>
                  </w:r>
                </w:p>
              </w:tc>
              <w:tc>
                <w:tcPr>
                  <w:tcW w:w="2103" w:type="dxa"/>
                  <w:shd w:val="clear" w:color="auto" w:fill="auto"/>
                </w:tcPr>
                <w:p w14:paraId="6402CFD0">
                  <w:pPr>
                    <w:widowControl/>
                    <w:jc w:val="center"/>
                    <w:textAlignment w:val="top"/>
                    <w:rPr>
                      <w:szCs w:val="21"/>
                    </w:rPr>
                  </w:pPr>
                  <w:r>
                    <w:rPr>
                      <w:rFonts w:hint="eastAsia"/>
                      <w:szCs w:val="21"/>
                    </w:rPr>
                    <w:t>24000</w:t>
                  </w:r>
                </w:p>
              </w:tc>
              <w:tc>
                <w:tcPr>
                  <w:tcW w:w="1869" w:type="dxa"/>
                  <w:vAlign w:val="center"/>
                </w:tcPr>
                <w:p w14:paraId="57E28993">
                  <w:pPr>
                    <w:widowControl/>
                    <w:jc w:val="center"/>
                    <w:textAlignment w:val="center"/>
                    <w:rPr>
                      <w:bCs/>
                      <w:szCs w:val="21"/>
                    </w:rPr>
                  </w:pPr>
                </w:p>
              </w:tc>
              <w:tc>
                <w:tcPr>
                  <w:tcW w:w="2104" w:type="dxa"/>
                  <w:vAlign w:val="center"/>
                </w:tcPr>
                <w:p w14:paraId="41FD7F98">
                  <w:pPr>
                    <w:widowControl/>
                    <w:jc w:val="center"/>
                    <w:textAlignment w:val="center"/>
                    <w:rPr>
                      <w:bCs/>
                      <w:szCs w:val="21"/>
                    </w:rPr>
                  </w:pPr>
                </w:p>
              </w:tc>
            </w:tr>
            <w:tr w14:paraId="30B7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bottom"/>
                </w:tcPr>
                <w:p w14:paraId="3F25A9FB">
                  <w:pPr>
                    <w:widowControl/>
                    <w:jc w:val="center"/>
                    <w:textAlignment w:val="bottom"/>
                    <w:rPr>
                      <w:szCs w:val="21"/>
                    </w:rPr>
                  </w:pPr>
                  <w:r>
                    <w:rPr>
                      <w:rFonts w:hint="eastAsia"/>
                      <w:szCs w:val="21"/>
                    </w:rPr>
                    <w:t>合计</w:t>
                  </w:r>
                </w:p>
              </w:tc>
              <w:tc>
                <w:tcPr>
                  <w:tcW w:w="2103" w:type="dxa"/>
                </w:tcPr>
                <w:p w14:paraId="34EE89CC">
                  <w:pPr>
                    <w:widowControl/>
                    <w:jc w:val="center"/>
                    <w:textAlignment w:val="top"/>
                    <w:rPr>
                      <w:szCs w:val="21"/>
                    </w:rPr>
                  </w:pPr>
                  <w:r>
                    <w:rPr>
                      <w:rFonts w:hint="eastAsia"/>
                      <w:szCs w:val="21"/>
                    </w:rPr>
                    <w:t>112720</w:t>
                  </w:r>
                </w:p>
              </w:tc>
              <w:tc>
                <w:tcPr>
                  <w:tcW w:w="1869" w:type="dxa"/>
                  <w:vAlign w:val="center"/>
                </w:tcPr>
                <w:p w14:paraId="2E3A6244">
                  <w:pPr>
                    <w:widowControl/>
                    <w:jc w:val="center"/>
                    <w:textAlignment w:val="center"/>
                    <w:rPr>
                      <w:bCs/>
                      <w:szCs w:val="21"/>
                    </w:rPr>
                  </w:pPr>
                  <w:r>
                    <w:rPr>
                      <w:rFonts w:hint="eastAsia"/>
                      <w:bCs/>
                      <w:szCs w:val="21"/>
                    </w:rPr>
                    <w:t>合计</w:t>
                  </w:r>
                </w:p>
              </w:tc>
              <w:tc>
                <w:tcPr>
                  <w:tcW w:w="2104" w:type="dxa"/>
                  <w:vAlign w:val="center"/>
                </w:tcPr>
                <w:p w14:paraId="5C46803E">
                  <w:pPr>
                    <w:widowControl/>
                    <w:jc w:val="center"/>
                    <w:textAlignment w:val="center"/>
                    <w:rPr>
                      <w:szCs w:val="21"/>
                    </w:rPr>
                  </w:pPr>
                  <w:r>
                    <w:rPr>
                      <w:rFonts w:hint="eastAsia"/>
                      <w:szCs w:val="21"/>
                    </w:rPr>
                    <w:t>112720</w:t>
                  </w:r>
                </w:p>
              </w:tc>
            </w:tr>
          </w:tbl>
          <w:p w14:paraId="47BEC7BC"/>
          <w:p w14:paraId="1CB2E9C8">
            <w:pPr>
              <w:adjustRightInd w:val="0"/>
              <w:snapToGrid w:val="0"/>
              <w:ind w:firstLine="641" w:firstLineChars="304"/>
              <w:jc w:val="center"/>
              <w:rPr>
                <w:b/>
                <w:bCs/>
                <w:szCs w:val="21"/>
              </w:rPr>
            </w:pPr>
            <w:r>
              <w:rPr>
                <w:rFonts w:hint="eastAsia"/>
                <w:b/>
                <w:bCs/>
                <w:szCs w:val="21"/>
              </w:rPr>
              <w:object>
                <v:shape id="_x0000_i1025" o:spt="75" type="#_x0000_t75" style="height:177.45pt;width:315.65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r:id="rId12">
                  <o:LockedField>false</o:LockedField>
                </o:OLEObject>
              </w:object>
            </w:r>
          </w:p>
          <w:p w14:paraId="3320F841">
            <w:pPr>
              <w:adjustRightInd w:val="0"/>
              <w:snapToGrid w:val="0"/>
              <w:ind w:firstLine="641" w:firstLineChars="304"/>
              <w:jc w:val="center"/>
              <w:rPr>
                <w:b/>
                <w:bCs/>
                <w:szCs w:val="21"/>
              </w:rPr>
            </w:pPr>
            <w:r>
              <w:rPr>
                <w:rFonts w:hint="eastAsia"/>
                <w:b/>
                <w:bCs/>
                <w:szCs w:val="21"/>
              </w:rPr>
              <w:t>图2-2  物料平衡图  单位：t/a</w:t>
            </w:r>
          </w:p>
          <w:p w14:paraId="55453F3B">
            <w:pPr>
              <w:adjustRightInd w:val="0"/>
              <w:snapToGrid w:val="0"/>
              <w:ind w:firstLine="641" w:firstLineChars="304"/>
              <w:jc w:val="center"/>
              <w:rPr>
                <w:b/>
                <w:bCs/>
                <w:szCs w:val="21"/>
              </w:rPr>
            </w:pPr>
          </w:p>
          <w:p w14:paraId="1A41474A">
            <w:pPr>
              <w:adjustRightInd w:val="0"/>
              <w:snapToGrid w:val="0"/>
              <w:spacing w:before="120" w:beforeLines="50" w:line="360" w:lineRule="auto"/>
              <w:ind w:firstLine="482" w:firstLineChars="200"/>
              <w:rPr>
                <w:b/>
                <w:sz w:val="24"/>
              </w:rPr>
            </w:pPr>
            <w:r>
              <w:rPr>
                <w:rFonts w:hint="eastAsia"/>
                <w:b/>
                <w:sz w:val="24"/>
              </w:rPr>
              <w:t>2</w:t>
            </w:r>
            <w:r>
              <w:rPr>
                <w:b/>
                <w:sz w:val="24"/>
              </w:rPr>
              <w:t>、水平衡</w:t>
            </w:r>
            <w:r>
              <w:rPr>
                <w:rFonts w:hint="eastAsia"/>
                <w:b/>
                <w:sz w:val="24"/>
              </w:rPr>
              <w:t>分析</w:t>
            </w:r>
          </w:p>
          <w:p w14:paraId="3D9C9E2C">
            <w:pPr>
              <w:adjustRightInd w:val="0"/>
              <w:snapToGrid w:val="0"/>
              <w:spacing w:line="360" w:lineRule="auto"/>
              <w:ind w:firstLine="480"/>
              <w:rPr>
                <w:rFonts w:eastAsiaTheme="minorEastAsia"/>
                <w:sz w:val="24"/>
              </w:rPr>
            </w:pPr>
            <w:r>
              <w:rPr>
                <w:rFonts w:eastAsiaTheme="minorEastAsia"/>
                <w:sz w:val="24"/>
              </w:rPr>
              <w:t>项目用水包括</w:t>
            </w:r>
            <w:r>
              <w:rPr>
                <w:rFonts w:hint="eastAsia" w:eastAsiaTheme="minorEastAsia"/>
                <w:sz w:val="24"/>
              </w:rPr>
              <w:t>生产用水、</w:t>
            </w:r>
            <w:r>
              <w:rPr>
                <w:rFonts w:eastAsiaTheme="minorEastAsia"/>
                <w:sz w:val="24"/>
              </w:rPr>
              <w:t>生活用水及</w:t>
            </w:r>
            <w:r>
              <w:rPr>
                <w:rFonts w:hint="eastAsia" w:eastAsiaTheme="minorEastAsia"/>
                <w:sz w:val="24"/>
              </w:rPr>
              <w:t>降尘</w:t>
            </w:r>
            <w:r>
              <w:rPr>
                <w:rFonts w:eastAsiaTheme="minorEastAsia"/>
                <w:sz w:val="24"/>
              </w:rPr>
              <w:t>用水，废水包括</w:t>
            </w:r>
            <w:r>
              <w:rPr>
                <w:rFonts w:hint="eastAsia" w:eastAsiaTheme="minorEastAsia"/>
                <w:sz w:val="24"/>
              </w:rPr>
              <w:t>生产废水</w:t>
            </w:r>
            <w:r>
              <w:rPr>
                <w:rFonts w:eastAsiaTheme="minorEastAsia"/>
                <w:sz w:val="24"/>
              </w:rPr>
              <w:t>、生活污水。</w:t>
            </w:r>
          </w:p>
          <w:p w14:paraId="48B82AAF">
            <w:pPr>
              <w:adjustRightInd w:val="0"/>
              <w:snapToGrid w:val="0"/>
              <w:spacing w:line="360" w:lineRule="auto"/>
              <w:ind w:firstLine="480"/>
              <w:rPr>
                <w:rFonts w:eastAsiaTheme="minorEastAsia"/>
                <w:bCs/>
                <w:sz w:val="24"/>
              </w:rPr>
            </w:pPr>
            <w:r>
              <w:rPr>
                <w:rFonts w:eastAsiaTheme="minorEastAsia"/>
                <w:bCs/>
                <w:sz w:val="24"/>
              </w:rPr>
              <w:t>（1）生产</w:t>
            </w:r>
            <w:r>
              <w:rPr>
                <w:rFonts w:hint="eastAsia" w:eastAsiaTheme="minorEastAsia"/>
                <w:bCs/>
                <w:sz w:val="24"/>
              </w:rPr>
              <w:t>用</w:t>
            </w:r>
            <w:r>
              <w:rPr>
                <w:rFonts w:eastAsiaTheme="minorEastAsia"/>
                <w:bCs/>
                <w:sz w:val="24"/>
              </w:rPr>
              <w:t>水</w:t>
            </w:r>
            <w:r>
              <w:rPr>
                <w:rFonts w:hint="eastAsia" w:eastAsiaTheme="minorEastAsia"/>
                <w:bCs/>
                <w:sz w:val="24"/>
              </w:rPr>
              <w:t>及废水</w:t>
            </w:r>
          </w:p>
          <w:p w14:paraId="104252A4">
            <w:pPr>
              <w:adjustRightInd w:val="0"/>
              <w:snapToGrid w:val="0"/>
              <w:spacing w:line="360" w:lineRule="auto"/>
              <w:ind w:firstLine="480"/>
              <w:rPr>
                <w:rFonts w:eastAsiaTheme="minorEastAsia"/>
                <w:bCs/>
                <w:sz w:val="24"/>
              </w:rPr>
            </w:pPr>
            <w:r>
              <w:rPr>
                <w:bCs/>
                <w:kern w:val="0"/>
                <w:sz w:val="24"/>
                <w:szCs w:val="22"/>
              </w:rPr>
              <w:t>①</w:t>
            </w:r>
            <w:r>
              <w:rPr>
                <w:rFonts w:hint="eastAsia" w:eastAsiaTheme="minorEastAsia"/>
                <w:bCs/>
                <w:sz w:val="24"/>
              </w:rPr>
              <w:t>工艺用水</w:t>
            </w:r>
          </w:p>
          <w:p w14:paraId="23FACB88">
            <w:pPr>
              <w:adjustRightInd w:val="0"/>
              <w:snapToGrid w:val="0"/>
              <w:spacing w:line="360" w:lineRule="auto"/>
              <w:ind w:firstLine="480"/>
              <w:rPr>
                <w:rFonts w:eastAsiaTheme="minorEastAsia"/>
                <w:bCs/>
                <w:sz w:val="24"/>
              </w:rPr>
            </w:pPr>
            <w:r>
              <w:rPr>
                <w:rFonts w:eastAsiaTheme="minorEastAsia"/>
                <w:bCs/>
                <w:sz w:val="24"/>
              </w:rPr>
              <w:t>根据建设单位提供资料显示，项目发酵时物料含水率需达到</w:t>
            </w:r>
            <w:r>
              <w:rPr>
                <w:rFonts w:hint="eastAsia" w:eastAsiaTheme="minorEastAsia"/>
                <w:bCs/>
                <w:sz w:val="24"/>
              </w:rPr>
              <w:t>40-</w:t>
            </w:r>
            <w:r>
              <w:rPr>
                <w:rFonts w:eastAsiaTheme="minorEastAsia"/>
                <w:bCs/>
                <w:sz w:val="24"/>
              </w:rPr>
              <w:t>50%左右，</w:t>
            </w:r>
            <w:r>
              <w:rPr>
                <w:rFonts w:hint="eastAsia"/>
                <w:spacing w:val="-2"/>
                <w:kern w:val="0"/>
                <w:sz w:val="24"/>
                <w:lang w:bidi="ar"/>
              </w:rPr>
              <w:t>低变质褐煤</w:t>
            </w:r>
            <w:r>
              <w:rPr>
                <w:rFonts w:hint="eastAsia" w:eastAsiaTheme="minorEastAsia"/>
                <w:bCs/>
                <w:sz w:val="24"/>
              </w:rPr>
              <w:t>含水率为30-40%，锯木屑含水率为10-15%，</w:t>
            </w:r>
            <w:r>
              <w:rPr>
                <w:rFonts w:eastAsiaTheme="minorEastAsia"/>
                <w:bCs/>
                <w:sz w:val="24"/>
              </w:rPr>
              <w:t>因此</w:t>
            </w:r>
            <w:r>
              <w:rPr>
                <w:rFonts w:hint="eastAsia"/>
                <w:spacing w:val="-2"/>
                <w:kern w:val="0"/>
                <w:sz w:val="24"/>
                <w:lang w:bidi="ar"/>
              </w:rPr>
              <w:t>低变质褐煤</w:t>
            </w:r>
            <w:r>
              <w:rPr>
                <w:rFonts w:hint="eastAsia" w:eastAsiaTheme="minorEastAsia"/>
                <w:bCs/>
                <w:sz w:val="24"/>
              </w:rPr>
              <w:t>和锯木屑</w:t>
            </w:r>
            <w:r>
              <w:rPr>
                <w:rFonts w:eastAsiaTheme="minorEastAsia"/>
                <w:bCs/>
                <w:sz w:val="24"/>
              </w:rPr>
              <w:t>混料</w:t>
            </w:r>
            <w:r>
              <w:rPr>
                <w:rFonts w:hint="eastAsia" w:eastAsiaTheme="minorEastAsia"/>
                <w:bCs/>
                <w:sz w:val="24"/>
              </w:rPr>
              <w:t>后进行发酵</w:t>
            </w:r>
            <w:r>
              <w:rPr>
                <w:rFonts w:eastAsiaTheme="minorEastAsia"/>
                <w:bCs/>
                <w:sz w:val="24"/>
              </w:rPr>
              <w:t>时</w:t>
            </w:r>
            <w:r>
              <w:rPr>
                <w:rFonts w:hint="eastAsia" w:eastAsiaTheme="minorEastAsia"/>
                <w:bCs/>
                <w:sz w:val="24"/>
              </w:rPr>
              <w:t>，</w:t>
            </w:r>
            <w:r>
              <w:rPr>
                <w:rFonts w:eastAsiaTheme="minorEastAsia"/>
                <w:bCs/>
                <w:sz w:val="24"/>
              </w:rPr>
              <w:t>需对</w:t>
            </w:r>
            <w:r>
              <w:rPr>
                <w:rFonts w:hint="eastAsia" w:eastAsiaTheme="minorEastAsia"/>
                <w:bCs/>
                <w:sz w:val="24"/>
              </w:rPr>
              <w:t>发酵堆</w:t>
            </w:r>
            <w:r>
              <w:rPr>
                <w:rFonts w:eastAsiaTheme="minorEastAsia"/>
                <w:bCs/>
                <w:sz w:val="24"/>
              </w:rPr>
              <w:t>进行喷水增加物料含水率，使其含水率达到 40%左右</w:t>
            </w:r>
            <w:r>
              <w:rPr>
                <w:rFonts w:hint="eastAsia" w:eastAsiaTheme="minorEastAsia"/>
                <w:bCs/>
                <w:sz w:val="24"/>
              </w:rPr>
              <w:t>。根据建设单位的配比方案，1t的发酵原料需要添加0.1t的水分（此部分水包含了尿素溶解所需的用水），据此，发酵原料总计77000t，生产中用水量为7700</w:t>
            </w:r>
            <w:r>
              <w:rPr>
                <w:rFonts w:eastAsiaTheme="minorEastAsia"/>
                <w:bCs/>
                <w:sz w:val="24"/>
              </w:rPr>
              <w:t>m³/</w:t>
            </w:r>
            <w:r>
              <w:rPr>
                <w:rFonts w:hint="eastAsia" w:eastAsiaTheme="minorEastAsia"/>
                <w:bCs/>
                <w:sz w:val="24"/>
              </w:rPr>
              <w:t>a</w:t>
            </w:r>
            <w:r>
              <w:rPr>
                <w:rFonts w:eastAsiaTheme="minorEastAsia"/>
                <w:bCs/>
                <w:sz w:val="24"/>
              </w:rPr>
              <w:t>，</w:t>
            </w:r>
            <w:r>
              <w:rPr>
                <w:rFonts w:hint="eastAsia" w:eastAsiaTheme="minorEastAsia"/>
                <w:bCs/>
                <w:sz w:val="24"/>
              </w:rPr>
              <w:t>25.7</w:t>
            </w:r>
            <w:r>
              <w:rPr>
                <w:rFonts w:eastAsiaTheme="minorEastAsia"/>
                <w:bCs/>
                <w:sz w:val="24"/>
              </w:rPr>
              <w:t>m³/d，该部分水少部分进入产品，大部分在发酵时蒸发。</w:t>
            </w:r>
            <w:r>
              <w:rPr>
                <w:rFonts w:hint="eastAsia"/>
                <w:bCs/>
                <w:sz w:val="24"/>
              </w:rPr>
              <w:t>喷洒液在每次</w:t>
            </w:r>
            <w:r>
              <w:rPr>
                <w:sz w:val="24"/>
              </w:rPr>
              <w:t>翻抛</w:t>
            </w:r>
            <w:r>
              <w:rPr>
                <w:rFonts w:hint="eastAsia"/>
                <w:sz w:val="24"/>
              </w:rPr>
              <w:t>时</w:t>
            </w:r>
            <w:r>
              <w:rPr>
                <w:rFonts w:hint="eastAsia"/>
                <w:bCs/>
                <w:sz w:val="24"/>
              </w:rPr>
              <w:t>呈雾状喷撒发酵堆体表面，水分从上</w:t>
            </w:r>
            <w:r>
              <w:rPr>
                <w:rFonts w:hint="eastAsia"/>
                <w:bCs/>
                <w:sz w:val="24"/>
                <w:lang w:eastAsia="zh-CN"/>
              </w:rPr>
              <w:t>至</w:t>
            </w:r>
            <w:r>
              <w:rPr>
                <w:rFonts w:hint="eastAsia"/>
                <w:bCs/>
                <w:sz w:val="24"/>
              </w:rPr>
              <w:t>下慢慢被物料吸收。每次堆肥发酵期间需进行约6次翻抛，全年生产15个批次，共进行90次翻抛，每次翻抛时用水量为85.5</w:t>
            </w:r>
            <w:r>
              <w:rPr>
                <w:rFonts w:eastAsiaTheme="minorEastAsia"/>
                <w:bCs/>
                <w:sz w:val="24"/>
              </w:rPr>
              <w:t>m³/</w:t>
            </w:r>
            <w:r>
              <w:rPr>
                <w:rFonts w:hint="eastAsia" w:eastAsiaTheme="minorEastAsia"/>
                <w:bCs/>
                <w:sz w:val="24"/>
              </w:rPr>
              <w:t>次。</w:t>
            </w:r>
            <w:r>
              <w:rPr>
                <w:rFonts w:eastAsiaTheme="minorEastAsia"/>
                <w:bCs/>
                <w:sz w:val="24"/>
              </w:rPr>
              <w:t>发酵过程中会有少量渗滤液产生，产生量约为</w:t>
            </w:r>
            <w:r>
              <w:rPr>
                <w:rFonts w:hint="eastAsia" w:eastAsiaTheme="minorEastAsia"/>
                <w:bCs/>
                <w:sz w:val="24"/>
              </w:rPr>
              <w:t>用水量的1%</w:t>
            </w:r>
            <w:r>
              <w:rPr>
                <w:rFonts w:eastAsiaTheme="minorEastAsia"/>
                <w:bCs/>
                <w:sz w:val="24"/>
              </w:rPr>
              <w:t>，渗滤液产生量约为</w:t>
            </w:r>
            <w:r>
              <w:rPr>
                <w:rFonts w:hint="eastAsia" w:eastAsiaTheme="minorEastAsia"/>
                <w:bCs/>
                <w:sz w:val="24"/>
              </w:rPr>
              <w:t>77</w:t>
            </w:r>
            <w:r>
              <w:rPr>
                <w:rFonts w:eastAsiaTheme="minorEastAsia"/>
                <w:bCs/>
                <w:sz w:val="24"/>
              </w:rPr>
              <w:t>t/a（</w:t>
            </w:r>
            <w:r>
              <w:rPr>
                <w:rFonts w:hint="eastAsia" w:eastAsiaTheme="minorEastAsia"/>
                <w:bCs/>
                <w:sz w:val="24"/>
              </w:rPr>
              <w:t>0.26</w:t>
            </w:r>
            <w:r>
              <w:rPr>
                <w:rFonts w:eastAsiaTheme="minorEastAsia"/>
                <w:bCs/>
                <w:sz w:val="24"/>
              </w:rPr>
              <w:t>m</w:t>
            </w:r>
            <w:r>
              <w:rPr>
                <w:rFonts w:eastAsiaTheme="minorEastAsia"/>
                <w:bCs/>
                <w:sz w:val="24"/>
                <w:vertAlign w:val="superscript"/>
              </w:rPr>
              <w:t>3</w:t>
            </w:r>
            <w:r>
              <w:rPr>
                <w:rFonts w:eastAsiaTheme="minorEastAsia"/>
                <w:bCs/>
                <w:sz w:val="24"/>
              </w:rPr>
              <w:t>/d）</w:t>
            </w:r>
            <w:r>
              <w:rPr>
                <w:rFonts w:hint="eastAsia" w:eastAsiaTheme="minorEastAsia"/>
                <w:bCs/>
                <w:sz w:val="24"/>
              </w:rPr>
              <w:t>，每次翻抛时产生量为0.86</w:t>
            </w:r>
            <w:r>
              <w:rPr>
                <w:rFonts w:eastAsiaTheme="minorEastAsia"/>
                <w:bCs/>
                <w:sz w:val="24"/>
              </w:rPr>
              <w:t>m</w:t>
            </w:r>
            <w:r>
              <w:rPr>
                <w:rFonts w:eastAsiaTheme="minorEastAsia"/>
                <w:bCs/>
                <w:sz w:val="24"/>
                <w:vertAlign w:val="superscript"/>
              </w:rPr>
              <w:t>3</w:t>
            </w:r>
            <w:r>
              <w:rPr>
                <w:rFonts w:eastAsiaTheme="minorEastAsia"/>
                <w:bCs/>
                <w:sz w:val="24"/>
              </w:rPr>
              <w:t>/</w:t>
            </w:r>
            <w:r>
              <w:rPr>
                <w:rFonts w:hint="eastAsia" w:eastAsiaTheme="minorEastAsia"/>
                <w:bCs/>
                <w:sz w:val="24"/>
              </w:rPr>
              <w:t>次。渗滤液产生于发酵工段，厂房地势整体呈南高北地，位于发酵区的东侧和南侧设置收集沟，位于发酵区地势低处设置1个容积为2</w:t>
            </w:r>
            <w:r>
              <w:rPr>
                <w:rFonts w:eastAsiaTheme="minorEastAsia"/>
                <w:bCs/>
                <w:sz w:val="24"/>
              </w:rPr>
              <w:t>m</w:t>
            </w:r>
            <w:r>
              <w:rPr>
                <w:rFonts w:eastAsiaTheme="minorEastAsia"/>
                <w:bCs/>
                <w:sz w:val="24"/>
                <w:vertAlign w:val="superscript"/>
              </w:rPr>
              <w:t>3</w:t>
            </w:r>
            <w:r>
              <w:rPr>
                <w:rFonts w:hint="eastAsia" w:eastAsiaTheme="minorEastAsia"/>
                <w:bCs/>
                <w:sz w:val="24"/>
              </w:rPr>
              <w:t>的</w:t>
            </w:r>
            <w:r>
              <w:rPr>
                <w:rFonts w:eastAsiaTheme="minorEastAsia"/>
                <w:bCs/>
                <w:sz w:val="24"/>
              </w:rPr>
              <w:t>渗滤液收集池</w:t>
            </w:r>
            <w:r>
              <w:rPr>
                <w:rFonts w:hint="eastAsia" w:eastAsiaTheme="minorEastAsia"/>
                <w:bCs/>
                <w:sz w:val="24"/>
              </w:rPr>
              <w:t>，产生的渗滤液经收集沟收集至收集池</w:t>
            </w:r>
            <w:r>
              <w:rPr>
                <w:rFonts w:eastAsiaTheme="minorEastAsia"/>
                <w:bCs/>
                <w:sz w:val="24"/>
              </w:rPr>
              <w:t>暂存</w:t>
            </w:r>
            <w:r>
              <w:rPr>
                <w:rFonts w:hint="eastAsia" w:eastAsiaTheme="minorEastAsia"/>
                <w:bCs/>
                <w:sz w:val="24"/>
              </w:rPr>
              <w:t>后，全部回用于发酵过程用水，不外排。</w:t>
            </w:r>
          </w:p>
          <w:p w14:paraId="5A7AF2FB">
            <w:pPr>
              <w:adjustRightInd w:val="0"/>
              <w:snapToGrid w:val="0"/>
              <w:spacing w:line="360" w:lineRule="auto"/>
              <w:ind w:firstLine="480" w:firstLineChars="200"/>
              <w:rPr>
                <w:rFonts w:eastAsiaTheme="minorEastAsia"/>
                <w:bCs/>
                <w:sz w:val="24"/>
              </w:rPr>
            </w:pPr>
            <w:r>
              <w:rPr>
                <w:rFonts w:hint="eastAsia" w:eastAsiaTheme="minorEastAsia"/>
                <w:bCs/>
                <w:sz w:val="24"/>
              </w:rPr>
              <w:t>②生物除臭剂喷淋稀释用水</w:t>
            </w:r>
          </w:p>
          <w:p w14:paraId="164A9F40">
            <w:pPr>
              <w:adjustRightInd w:val="0"/>
              <w:snapToGrid w:val="0"/>
              <w:spacing w:line="360" w:lineRule="auto"/>
              <w:ind w:firstLine="480" w:firstLineChars="200"/>
              <w:rPr>
                <w:bCs/>
                <w:sz w:val="24"/>
              </w:rPr>
            </w:pPr>
            <w:r>
              <w:rPr>
                <w:rFonts w:hint="eastAsia" w:eastAsiaTheme="minorEastAsia"/>
                <w:bCs/>
                <w:sz w:val="24"/>
              </w:rPr>
              <w:t>生物除臭剂喷淋时，</w:t>
            </w:r>
            <w:r>
              <w:rPr>
                <w:rFonts w:hint="eastAsia"/>
                <w:bCs/>
                <w:sz w:val="24"/>
              </w:rPr>
              <w:t>将除臭剂用水稀释20倍，项目除臭剂年使用量为2t，则稀释用水量为40m³/a，0.13m³/d。稀释后的除臭剂喷淋物料后，水分蒸发，不外排。除臭剂稀释液呈雾状喷淋，水分快速蒸发，不会在地面汇集，且喷洒量相对堆体量来说较小，不会影响发酵过程中对水分的控制要求。</w:t>
            </w:r>
          </w:p>
          <w:p w14:paraId="02DEB35B">
            <w:pPr>
              <w:adjustRightInd w:val="0"/>
              <w:snapToGrid w:val="0"/>
              <w:spacing w:line="360" w:lineRule="auto"/>
              <w:ind w:firstLine="480" w:firstLineChars="200"/>
              <w:rPr>
                <w:rFonts w:eastAsiaTheme="minorEastAsia"/>
                <w:bCs/>
                <w:sz w:val="24"/>
              </w:rPr>
            </w:pPr>
            <w:r>
              <w:rPr>
                <w:rFonts w:hint="eastAsia" w:eastAsiaTheme="minorEastAsia"/>
                <w:bCs/>
                <w:sz w:val="24"/>
              </w:rPr>
              <w:t>③道路洒水降尘用水</w:t>
            </w:r>
          </w:p>
          <w:p w14:paraId="5D952907">
            <w:pPr>
              <w:adjustRightInd w:val="0"/>
              <w:snapToGrid w:val="0"/>
              <w:spacing w:line="360" w:lineRule="auto"/>
              <w:ind w:firstLine="480" w:firstLineChars="200"/>
              <w:rPr>
                <w:rFonts w:eastAsiaTheme="minorEastAsia"/>
                <w:bCs/>
                <w:sz w:val="24"/>
              </w:rPr>
            </w:pPr>
            <w:r>
              <w:rPr>
                <w:rFonts w:eastAsiaTheme="minorEastAsia"/>
                <w:bCs/>
                <w:sz w:val="24"/>
              </w:rPr>
              <w:t>参考《云南省用水定额标准》（DB53/T168-2019）中“环境卫生管理-场地浇洒”用水定额为 2L/（㎡.次），</w:t>
            </w:r>
            <w:r>
              <w:rPr>
                <w:rFonts w:hint="eastAsia" w:eastAsiaTheme="minorEastAsia"/>
                <w:bCs/>
                <w:sz w:val="24"/>
              </w:rPr>
              <w:t>进出</w:t>
            </w:r>
            <w:r>
              <w:rPr>
                <w:rFonts w:eastAsiaTheme="minorEastAsia"/>
                <w:bCs/>
                <w:sz w:val="24"/>
              </w:rPr>
              <w:t>车间</w:t>
            </w:r>
            <w:r>
              <w:rPr>
                <w:rFonts w:hint="eastAsia" w:eastAsiaTheme="minorEastAsia"/>
                <w:bCs/>
                <w:sz w:val="24"/>
              </w:rPr>
              <w:t>外临近的道路晴天需进行洒水降尘，临近车间外的道路面积约为2000</w:t>
            </w:r>
            <w:r>
              <w:rPr>
                <w:rFonts w:eastAsiaTheme="minorEastAsia"/>
                <w:bCs/>
                <w:sz w:val="24"/>
              </w:rPr>
              <w:t>㎡，每天洒水一次，则</w:t>
            </w:r>
            <w:r>
              <w:rPr>
                <w:rFonts w:hint="eastAsia" w:eastAsiaTheme="minorEastAsia"/>
                <w:bCs/>
                <w:sz w:val="24"/>
              </w:rPr>
              <w:t>道路</w:t>
            </w:r>
            <w:r>
              <w:rPr>
                <w:rFonts w:eastAsiaTheme="minorEastAsia"/>
                <w:bCs/>
                <w:sz w:val="24"/>
              </w:rPr>
              <w:t>洒水降尘用水量为</w:t>
            </w:r>
            <w:r>
              <w:rPr>
                <w:rFonts w:hint="eastAsia" w:eastAsiaTheme="minorEastAsia"/>
                <w:bCs/>
                <w:sz w:val="24"/>
              </w:rPr>
              <w:t>4</w:t>
            </w:r>
            <w:r>
              <w:rPr>
                <w:rFonts w:eastAsiaTheme="minorEastAsia"/>
                <w:bCs/>
                <w:sz w:val="24"/>
              </w:rPr>
              <w:t>m³/d，</w:t>
            </w:r>
            <w:r>
              <w:rPr>
                <w:rFonts w:hint="eastAsia" w:eastAsiaTheme="minorEastAsia"/>
                <w:bCs/>
                <w:sz w:val="24"/>
              </w:rPr>
              <w:t>每年晴天按175天计，则全年用水量为700</w:t>
            </w:r>
            <w:r>
              <w:rPr>
                <w:rFonts w:eastAsiaTheme="minorEastAsia"/>
                <w:bCs/>
                <w:sz w:val="24"/>
              </w:rPr>
              <w:t>m³/</w:t>
            </w:r>
            <w:r>
              <w:rPr>
                <w:rFonts w:hint="eastAsia" w:eastAsiaTheme="minorEastAsia"/>
                <w:bCs/>
                <w:sz w:val="24"/>
              </w:rPr>
              <w:t>a，</w:t>
            </w:r>
            <w:r>
              <w:rPr>
                <w:rFonts w:eastAsiaTheme="minorEastAsia"/>
                <w:bCs/>
                <w:sz w:val="24"/>
              </w:rPr>
              <w:t>完全蒸发。</w:t>
            </w:r>
          </w:p>
          <w:p w14:paraId="5D76B762">
            <w:pPr>
              <w:pStyle w:val="32"/>
              <w:spacing w:before="0" w:after="0"/>
              <w:ind w:firstLine="248"/>
              <w:rPr>
                <w:rFonts w:eastAsiaTheme="minorEastAsia"/>
                <w:bCs/>
                <w:color w:val="auto"/>
              </w:rPr>
            </w:pPr>
            <w:r>
              <w:rPr>
                <w:rFonts w:hint="eastAsia" w:eastAsiaTheme="minorEastAsia"/>
                <w:bCs/>
                <w:color w:val="auto"/>
              </w:rPr>
              <w:t xml:space="preserve">  ④雾炮机用水</w:t>
            </w:r>
          </w:p>
          <w:p w14:paraId="1940BB17">
            <w:pPr>
              <w:adjustRightInd w:val="0"/>
              <w:snapToGrid w:val="0"/>
              <w:spacing w:line="360" w:lineRule="auto"/>
              <w:ind w:firstLine="480" w:firstLineChars="200"/>
              <w:rPr>
                <w:rFonts w:eastAsiaTheme="minorEastAsia"/>
                <w:bCs/>
                <w:sz w:val="24"/>
              </w:rPr>
            </w:pPr>
            <w:r>
              <w:rPr>
                <w:rFonts w:eastAsiaTheme="minorEastAsia"/>
                <w:bCs/>
                <w:sz w:val="24"/>
              </w:rPr>
              <w:t>雾炮机的用水量主要取决于其额定喷雾流量、连续作业时间及实际运行工况。理论用水量计算公式为：</w:t>
            </w:r>
          </w:p>
          <w:p w14:paraId="5F9A9F5F">
            <w:pPr>
              <w:adjustRightInd w:val="0"/>
              <w:snapToGrid w:val="0"/>
              <w:spacing w:line="360" w:lineRule="auto"/>
              <w:ind w:firstLine="3600" w:firstLineChars="1500"/>
              <w:rPr>
                <w:rFonts w:eastAsiaTheme="minorEastAsia"/>
                <w:bCs/>
                <w:sz w:val="24"/>
              </w:rPr>
            </w:pPr>
            <w:r>
              <w:rPr>
                <w:rFonts w:eastAsiaTheme="minorEastAsia"/>
                <w:bCs/>
                <w:sz w:val="24"/>
              </w:rPr>
              <w:t>Q=q×t</w:t>
            </w:r>
          </w:p>
          <w:p w14:paraId="45A21E53">
            <w:pPr>
              <w:adjustRightInd w:val="0"/>
              <w:snapToGrid w:val="0"/>
              <w:spacing w:line="360" w:lineRule="auto"/>
              <w:ind w:firstLine="480" w:firstLineChars="200"/>
              <w:rPr>
                <w:rFonts w:eastAsiaTheme="minorEastAsia"/>
                <w:bCs/>
                <w:sz w:val="24"/>
              </w:rPr>
            </w:pPr>
            <w:r>
              <w:rPr>
                <w:rFonts w:eastAsiaTheme="minorEastAsia"/>
                <w:bCs/>
                <w:sz w:val="24"/>
              </w:rPr>
              <w:t>其中：Q 为总用水量（单位：L 或 m³）；</w:t>
            </w:r>
          </w:p>
          <w:p w14:paraId="362B5484">
            <w:pPr>
              <w:adjustRightInd w:val="0"/>
              <w:snapToGrid w:val="0"/>
              <w:spacing w:line="360" w:lineRule="auto"/>
              <w:ind w:firstLine="480" w:firstLineChars="200"/>
              <w:rPr>
                <w:rFonts w:eastAsiaTheme="minorEastAsia"/>
                <w:bCs/>
                <w:sz w:val="24"/>
              </w:rPr>
            </w:pPr>
            <w:r>
              <w:rPr>
                <w:rFonts w:eastAsiaTheme="minorEastAsia"/>
                <w:bCs/>
                <w:sz w:val="24"/>
              </w:rPr>
              <w:t>q 为额定喷雾流量（</w:t>
            </w:r>
            <w:r>
              <w:rPr>
                <w:rFonts w:hint="eastAsia" w:eastAsiaTheme="minorEastAsia"/>
                <w:bCs/>
                <w:sz w:val="24"/>
              </w:rPr>
              <w:t>本项目为小型雾炮机</w:t>
            </w:r>
            <w:r>
              <w:rPr>
                <w:rFonts w:eastAsiaTheme="minorEastAsia"/>
                <w:bCs/>
                <w:sz w:val="24"/>
              </w:rPr>
              <w:t>，为30L/min）；</w:t>
            </w:r>
          </w:p>
          <w:p w14:paraId="332D665B">
            <w:pPr>
              <w:adjustRightInd w:val="0"/>
              <w:snapToGrid w:val="0"/>
              <w:spacing w:line="360" w:lineRule="auto"/>
              <w:ind w:left="539" w:leftChars="228" w:hanging="60" w:hangingChars="25"/>
              <w:rPr>
                <w:rFonts w:eastAsiaTheme="minorEastAsia"/>
                <w:bCs/>
                <w:sz w:val="24"/>
              </w:rPr>
            </w:pPr>
            <w:r>
              <w:rPr>
                <w:rFonts w:eastAsiaTheme="minorEastAsia"/>
                <w:bCs/>
                <w:sz w:val="24"/>
              </w:rPr>
              <w:t>t 为有效喷雾时间（</w:t>
            </w:r>
            <w:r>
              <w:rPr>
                <w:rFonts w:hint="eastAsia" w:eastAsiaTheme="minorEastAsia"/>
                <w:bCs/>
                <w:sz w:val="24"/>
              </w:rPr>
              <w:t>本项目每天间断喷雾时间约2h</w:t>
            </w:r>
            <w:r>
              <w:rPr>
                <w:rFonts w:eastAsiaTheme="minorEastAsia"/>
                <w:bCs/>
                <w:sz w:val="24"/>
              </w:rPr>
              <w:t>）。</w:t>
            </w:r>
          </w:p>
          <w:p w14:paraId="2626F6E2">
            <w:pPr>
              <w:pStyle w:val="32"/>
              <w:spacing w:before="0" w:after="0"/>
              <w:ind w:firstLine="496" w:firstLineChars="200"/>
              <w:rPr>
                <w:rFonts w:eastAsiaTheme="minorEastAsia"/>
                <w:bCs/>
                <w:color w:val="auto"/>
              </w:rPr>
            </w:pPr>
            <w:r>
              <w:rPr>
                <w:rFonts w:hint="eastAsia" w:eastAsiaTheme="minorEastAsia"/>
                <w:bCs/>
                <w:color w:val="auto"/>
              </w:rPr>
              <w:t>根据计算公式，本项目一台雾炮机用水量为</w:t>
            </w:r>
            <w:r>
              <w:rPr>
                <w:rFonts w:hint="eastAsia" w:ascii="Times New Roman" w:hAnsi="Times New Roman" w:eastAsiaTheme="minorEastAsia"/>
                <w:bCs/>
                <w:snapToGrid/>
                <w:color w:val="auto"/>
                <w:spacing w:val="0"/>
                <w:kern w:val="2"/>
              </w:rPr>
              <w:t>3.6m</w:t>
            </w:r>
            <w:r>
              <w:rPr>
                <w:rFonts w:hint="eastAsia" w:ascii="Times New Roman" w:hAnsi="Times New Roman" w:eastAsiaTheme="minorEastAsia"/>
                <w:bCs/>
                <w:snapToGrid/>
                <w:color w:val="auto"/>
                <w:spacing w:val="0"/>
                <w:kern w:val="2"/>
                <w:vertAlign w:val="superscript"/>
              </w:rPr>
              <w:t>3</w:t>
            </w:r>
            <w:r>
              <w:rPr>
                <w:rFonts w:hint="eastAsia" w:ascii="Times New Roman" w:hAnsi="Times New Roman" w:eastAsiaTheme="minorEastAsia"/>
                <w:bCs/>
                <w:snapToGrid/>
                <w:color w:val="auto"/>
                <w:spacing w:val="0"/>
                <w:kern w:val="2"/>
              </w:rPr>
              <w:t>/d，1080m</w:t>
            </w:r>
            <w:r>
              <w:rPr>
                <w:rFonts w:hint="eastAsia" w:ascii="Times New Roman" w:hAnsi="Times New Roman" w:eastAsiaTheme="minorEastAsia"/>
                <w:bCs/>
                <w:snapToGrid/>
                <w:color w:val="auto"/>
                <w:spacing w:val="0"/>
                <w:kern w:val="2"/>
                <w:vertAlign w:val="superscript"/>
              </w:rPr>
              <w:t>3</w:t>
            </w:r>
            <w:r>
              <w:rPr>
                <w:rFonts w:hint="eastAsia" w:ascii="Times New Roman" w:hAnsi="Times New Roman" w:eastAsiaTheme="minorEastAsia"/>
                <w:bCs/>
                <w:snapToGrid/>
                <w:color w:val="auto"/>
                <w:spacing w:val="0"/>
                <w:kern w:val="2"/>
              </w:rPr>
              <w:t>/a</w:t>
            </w:r>
            <w:r>
              <w:rPr>
                <w:rFonts w:hint="eastAsia" w:eastAsiaTheme="minorEastAsia"/>
                <w:bCs/>
                <w:color w:val="auto"/>
              </w:rPr>
              <w:t>。本项目位于2个厂房分别设置1台移动式雾炮机进行喷雾降尘，则用水量为</w:t>
            </w:r>
            <w:r>
              <w:rPr>
                <w:rFonts w:hint="eastAsia" w:ascii="Times New Roman" w:hAnsi="Times New Roman" w:eastAsiaTheme="minorEastAsia"/>
                <w:bCs/>
                <w:snapToGrid/>
                <w:color w:val="auto"/>
                <w:spacing w:val="0"/>
                <w:kern w:val="2"/>
              </w:rPr>
              <w:t>7.2m</w:t>
            </w:r>
            <w:r>
              <w:rPr>
                <w:rFonts w:hint="eastAsia" w:ascii="Times New Roman" w:hAnsi="Times New Roman" w:eastAsiaTheme="minorEastAsia"/>
                <w:bCs/>
                <w:snapToGrid/>
                <w:color w:val="auto"/>
                <w:spacing w:val="0"/>
                <w:kern w:val="2"/>
                <w:vertAlign w:val="superscript"/>
              </w:rPr>
              <w:t>3</w:t>
            </w:r>
            <w:r>
              <w:rPr>
                <w:rFonts w:hint="eastAsia" w:ascii="Times New Roman" w:hAnsi="Times New Roman" w:eastAsiaTheme="minorEastAsia"/>
                <w:bCs/>
                <w:snapToGrid/>
                <w:color w:val="auto"/>
                <w:spacing w:val="0"/>
                <w:kern w:val="2"/>
              </w:rPr>
              <w:t>/d，2160m</w:t>
            </w:r>
            <w:r>
              <w:rPr>
                <w:rFonts w:hint="eastAsia" w:ascii="Times New Roman" w:hAnsi="Times New Roman" w:eastAsiaTheme="minorEastAsia"/>
                <w:bCs/>
                <w:snapToGrid/>
                <w:color w:val="auto"/>
                <w:spacing w:val="0"/>
                <w:kern w:val="2"/>
                <w:vertAlign w:val="superscript"/>
              </w:rPr>
              <w:t>3</w:t>
            </w:r>
            <w:r>
              <w:rPr>
                <w:rFonts w:hint="eastAsia" w:ascii="Times New Roman" w:hAnsi="Times New Roman" w:eastAsiaTheme="minorEastAsia"/>
                <w:bCs/>
                <w:snapToGrid/>
                <w:color w:val="auto"/>
                <w:spacing w:val="0"/>
                <w:kern w:val="2"/>
              </w:rPr>
              <w:t>/a</w:t>
            </w:r>
            <w:r>
              <w:rPr>
                <w:rFonts w:hint="eastAsia" w:eastAsiaTheme="minorEastAsia"/>
                <w:bCs/>
                <w:color w:val="auto"/>
              </w:rPr>
              <w:t>，用水全部蒸发。</w:t>
            </w:r>
          </w:p>
          <w:p w14:paraId="41EE11A6">
            <w:pPr>
              <w:pStyle w:val="32"/>
              <w:spacing w:before="0" w:after="0"/>
              <w:ind w:firstLine="496" w:firstLineChars="200"/>
              <w:rPr>
                <w:rFonts w:eastAsiaTheme="minorEastAsia"/>
                <w:bCs/>
                <w:color w:val="auto"/>
              </w:rPr>
            </w:pPr>
            <w:r>
              <w:rPr>
                <w:rFonts w:hint="eastAsia" w:eastAsiaTheme="minorEastAsia"/>
                <w:bCs/>
                <w:color w:val="auto"/>
              </w:rPr>
              <w:t>（2）初期雨水</w:t>
            </w:r>
          </w:p>
          <w:p w14:paraId="5BFA86D5">
            <w:pPr>
              <w:adjustRightInd w:val="0"/>
              <w:snapToGrid w:val="0"/>
              <w:spacing w:line="360" w:lineRule="auto"/>
              <w:ind w:firstLine="480"/>
              <w:rPr>
                <w:rFonts w:eastAsiaTheme="minorEastAsia"/>
                <w:sz w:val="24"/>
              </w:rPr>
            </w:pPr>
            <w:r>
              <w:rPr>
                <w:rFonts w:hint="eastAsia" w:eastAsiaTheme="minorEastAsia"/>
                <w:sz w:val="24"/>
              </w:rPr>
              <w:t>本项目租用云南建工云岭水泥有限公司已建的厂房，公司已建设完善的雨污分流制，全厂的初期雨水经厂区的收集沟收集汇入初期雨水收集池（容积为150m</w:t>
            </w:r>
            <w:r>
              <w:rPr>
                <w:rFonts w:hint="eastAsia" w:eastAsiaTheme="minorEastAsia"/>
                <w:sz w:val="24"/>
                <w:vertAlign w:val="superscript"/>
              </w:rPr>
              <w:t>3</w:t>
            </w:r>
            <w:r>
              <w:rPr>
                <w:rFonts w:hint="eastAsia" w:eastAsiaTheme="minorEastAsia"/>
                <w:sz w:val="24"/>
              </w:rPr>
              <w:t>），全部回用于厂区的洒水降尘，不外排；后期雨水排放至附近的雨水沟。</w:t>
            </w:r>
          </w:p>
          <w:p w14:paraId="581548B6">
            <w:pPr>
              <w:adjustRightInd w:val="0"/>
              <w:spacing w:line="360" w:lineRule="auto"/>
              <w:ind w:firstLine="480" w:firstLineChars="200"/>
              <w:jc w:val="left"/>
              <w:rPr>
                <w:sz w:val="24"/>
              </w:rPr>
            </w:pPr>
            <w:r>
              <w:rPr>
                <w:sz w:val="24"/>
              </w:rPr>
              <w:t>本项目生产车间为全</w:t>
            </w:r>
            <w:r>
              <w:rPr>
                <w:rFonts w:hint="eastAsia"/>
                <w:sz w:val="24"/>
              </w:rPr>
              <w:t>密</w:t>
            </w:r>
            <w:r>
              <w:rPr>
                <w:sz w:val="24"/>
              </w:rPr>
              <w:t>闭钢架结构（四面围挡、加盖顶棚），所有原辅材料和生产设备均布置在生产车间内，生产车间做了防雨、防渗</w:t>
            </w:r>
            <w:r>
              <w:rPr>
                <w:rFonts w:hint="eastAsia"/>
                <w:sz w:val="24"/>
              </w:rPr>
              <w:t>；发酵工序产生的</w:t>
            </w:r>
            <w:r>
              <w:rPr>
                <w:sz w:val="24"/>
              </w:rPr>
              <w:t>渗滤液</w:t>
            </w:r>
            <w:r>
              <w:rPr>
                <w:rFonts w:hint="eastAsia"/>
                <w:sz w:val="24"/>
              </w:rPr>
              <w:t>经厂房内的收集沟和收集池收集回用于生产；故厂房内无初期雨水产生。</w:t>
            </w:r>
          </w:p>
          <w:p w14:paraId="698ACCA0">
            <w:pPr>
              <w:adjustRightInd w:val="0"/>
              <w:spacing w:line="360" w:lineRule="auto"/>
              <w:ind w:firstLine="480" w:firstLineChars="200"/>
              <w:jc w:val="left"/>
              <w:rPr>
                <w:sz w:val="24"/>
              </w:rPr>
            </w:pPr>
            <w:r>
              <w:rPr>
                <w:sz w:val="24"/>
              </w:rPr>
              <w:t>原料运输车辆均</w:t>
            </w:r>
            <w:r>
              <w:rPr>
                <w:rFonts w:hint="eastAsia"/>
                <w:sz w:val="24"/>
              </w:rPr>
              <w:t>设置为密闭式运输</w:t>
            </w:r>
            <w:r>
              <w:rPr>
                <w:sz w:val="24"/>
              </w:rPr>
              <w:t>，</w:t>
            </w:r>
            <w:r>
              <w:rPr>
                <w:rFonts w:hint="eastAsia"/>
                <w:sz w:val="24"/>
              </w:rPr>
              <w:t>物料含水量不会直接产生滤水；车辆在云南建工云岭水泥有限公司厂区内行驶过程中会产生扬尘，物料遮盖不严密情况下产生泼洒，雨季情况下的初期雨水需进行收集。云南建工云岭水泥有限公司已建设有完善的初期雨水收集设施，且收集设施已考虑了全厂的初期雨水量，故</w:t>
            </w:r>
            <w:r>
              <w:rPr>
                <w:sz w:val="24"/>
              </w:rPr>
              <w:t>本项目不</w:t>
            </w:r>
            <w:r>
              <w:rPr>
                <w:rFonts w:hint="eastAsia"/>
                <w:sz w:val="24"/>
              </w:rPr>
              <w:t>再</w:t>
            </w:r>
            <w:r>
              <w:rPr>
                <w:sz w:val="24"/>
              </w:rPr>
              <w:t>进行初期雨水核算</w:t>
            </w:r>
            <w:r>
              <w:rPr>
                <w:rFonts w:hint="eastAsia"/>
                <w:sz w:val="24"/>
              </w:rPr>
              <w:t>。</w:t>
            </w:r>
          </w:p>
          <w:p w14:paraId="6955AD6D">
            <w:pPr>
              <w:adjustRightInd w:val="0"/>
              <w:snapToGrid w:val="0"/>
              <w:spacing w:line="360" w:lineRule="auto"/>
              <w:ind w:firstLine="480" w:firstLineChars="200"/>
              <w:rPr>
                <w:rFonts w:eastAsiaTheme="minorEastAsia"/>
                <w:bCs/>
                <w:sz w:val="24"/>
              </w:rPr>
            </w:pPr>
            <w:r>
              <w:rPr>
                <w:rFonts w:eastAsiaTheme="minorEastAsia"/>
                <w:bCs/>
                <w:sz w:val="24"/>
              </w:rPr>
              <w:t>（</w:t>
            </w:r>
            <w:r>
              <w:rPr>
                <w:rFonts w:hint="eastAsia" w:eastAsiaTheme="minorEastAsia"/>
                <w:bCs/>
                <w:sz w:val="24"/>
              </w:rPr>
              <w:t>3</w:t>
            </w:r>
            <w:r>
              <w:rPr>
                <w:rFonts w:eastAsiaTheme="minorEastAsia"/>
                <w:bCs/>
                <w:sz w:val="24"/>
              </w:rPr>
              <w:t>）生活</w:t>
            </w:r>
            <w:r>
              <w:rPr>
                <w:rFonts w:hint="eastAsia" w:eastAsiaTheme="minorEastAsia"/>
                <w:bCs/>
                <w:sz w:val="24"/>
              </w:rPr>
              <w:t>用水及</w:t>
            </w:r>
            <w:r>
              <w:rPr>
                <w:rFonts w:eastAsiaTheme="minorEastAsia"/>
                <w:bCs/>
                <w:sz w:val="24"/>
              </w:rPr>
              <w:t>污水</w:t>
            </w:r>
          </w:p>
          <w:p w14:paraId="57881F51">
            <w:pPr>
              <w:adjustRightInd w:val="0"/>
              <w:snapToGrid w:val="0"/>
              <w:spacing w:line="360" w:lineRule="auto"/>
              <w:ind w:firstLine="480" w:firstLineChars="200"/>
              <w:rPr>
                <w:rFonts w:eastAsiaTheme="minorEastAsia"/>
                <w:bCs/>
                <w:kern w:val="0"/>
                <w:sz w:val="24"/>
                <w:szCs w:val="22"/>
              </w:rPr>
            </w:pPr>
            <w:r>
              <w:rPr>
                <w:rFonts w:eastAsiaTheme="minorEastAsia"/>
                <w:bCs/>
                <w:kern w:val="0"/>
                <w:sz w:val="24"/>
                <w:szCs w:val="22"/>
              </w:rPr>
              <w:t>本项目劳动定员</w:t>
            </w:r>
            <w:r>
              <w:rPr>
                <w:rFonts w:hint="eastAsia" w:eastAsiaTheme="minorEastAsia"/>
                <w:bCs/>
                <w:kern w:val="0"/>
                <w:sz w:val="24"/>
                <w:szCs w:val="22"/>
              </w:rPr>
              <w:t>10</w:t>
            </w:r>
            <w:r>
              <w:rPr>
                <w:rFonts w:eastAsiaTheme="minorEastAsia"/>
                <w:bCs/>
                <w:kern w:val="0"/>
                <w:sz w:val="24"/>
                <w:szCs w:val="22"/>
              </w:rPr>
              <w:t>人，</w:t>
            </w:r>
            <w:r>
              <w:rPr>
                <w:rFonts w:hint="eastAsia" w:eastAsiaTheme="minorEastAsia"/>
                <w:bCs/>
                <w:kern w:val="0"/>
                <w:sz w:val="24"/>
                <w:szCs w:val="22"/>
              </w:rPr>
              <w:t>管理人员2人，员工8人，员工均为当地的村民，不在项目区食宿；管理人员依托云南建工云岭水泥有限公司已建的配套宿舍和食堂。</w:t>
            </w:r>
            <w:r>
              <w:rPr>
                <w:rFonts w:eastAsiaTheme="minorEastAsia"/>
                <w:bCs/>
                <w:kern w:val="0"/>
                <w:sz w:val="24"/>
                <w:szCs w:val="22"/>
              </w:rPr>
              <w:t>根据《云南省地方标准用水定额》（DB53/T168-2019），中小城市用水定额为110L/(人·d)，本项目</w:t>
            </w:r>
            <w:r>
              <w:rPr>
                <w:rFonts w:hint="eastAsia" w:eastAsiaTheme="minorEastAsia"/>
                <w:bCs/>
                <w:kern w:val="0"/>
                <w:sz w:val="24"/>
                <w:szCs w:val="22"/>
              </w:rPr>
              <w:t>管理人员按</w:t>
            </w:r>
            <w:r>
              <w:rPr>
                <w:rFonts w:eastAsiaTheme="minorEastAsia"/>
                <w:bCs/>
                <w:kern w:val="0"/>
                <w:sz w:val="24"/>
                <w:szCs w:val="22"/>
              </w:rPr>
              <w:t>110L/(人·d)</w:t>
            </w:r>
            <w:r>
              <w:rPr>
                <w:rFonts w:hint="eastAsia" w:eastAsiaTheme="minorEastAsia"/>
                <w:bCs/>
                <w:kern w:val="0"/>
                <w:sz w:val="24"/>
                <w:szCs w:val="22"/>
              </w:rPr>
              <w:t>计</w:t>
            </w:r>
            <w:r>
              <w:rPr>
                <w:rFonts w:eastAsiaTheme="minorEastAsia"/>
                <w:bCs/>
                <w:kern w:val="0"/>
                <w:sz w:val="24"/>
                <w:szCs w:val="22"/>
              </w:rPr>
              <w:t>，员工不在项目区</w:t>
            </w:r>
            <w:r>
              <w:rPr>
                <w:rFonts w:hint="eastAsia" w:eastAsiaTheme="minorEastAsia"/>
                <w:bCs/>
                <w:kern w:val="0"/>
                <w:sz w:val="24"/>
                <w:szCs w:val="22"/>
              </w:rPr>
              <w:t>食宿</w:t>
            </w:r>
            <w:r>
              <w:rPr>
                <w:rFonts w:eastAsiaTheme="minorEastAsia"/>
                <w:bCs/>
                <w:kern w:val="0"/>
                <w:sz w:val="24"/>
                <w:szCs w:val="22"/>
              </w:rPr>
              <w:t>，按</w:t>
            </w:r>
            <w:r>
              <w:rPr>
                <w:rFonts w:hint="eastAsia" w:eastAsiaTheme="minorEastAsia"/>
                <w:bCs/>
                <w:kern w:val="0"/>
                <w:sz w:val="24"/>
                <w:szCs w:val="22"/>
              </w:rPr>
              <w:t>2</w:t>
            </w:r>
            <w:r>
              <w:rPr>
                <w:rFonts w:eastAsiaTheme="minorEastAsia"/>
                <w:bCs/>
                <w:kern w:val="0"/>
                <w:sz w:val="24"/>
                <w:szCs w:val="22"/>
              </w:rPr>
              <w:t>0L/(人·d)计，则用水量为</w:t>
            </w:r>
            <w:r>
              <w:rPr>
                <w:rFonts w:hint="eastAsia" w:eastAsiaTheme="minorEastAsia"/>
                <w:bCs/>
                <w:kern w:val="0"/>
                <w:sz w:val="24"/>
                <w:szCs w:val="22"/>
              </w:rPr>
              <w:t>0.38</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114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/a），排污系数按0.8计，则生活污水产生总量为</w:t>
            </w:r>
            <w:r>
              <w:rPr>
                <w:rFonts w:hint="eastAsia" w:eastAsiaTheme="minorEastAsia"/>
                <w:bCs/>
                <w:kern w:val="0"/>
                <w:sz w:val="24"/>
                <w:szCs w:val="22"/>
              </w:rPr>
              <w:t>0.304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91.2</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w:t>
            </w:r>
            <w:r>
              <w:rPr>
                <w:rFonts w:hint="eastAsia" w:eastAsiaTheme="minorEastAsia"/>
                <w:bCs/>
                <w:kern w:val="0"/>
                <w:sz w:val="24"/>
                <w:szCs w:val="22"/>
              </w:rPr>
              <w:t>生活污水</w:t>
            </w:r>
            <w:r>
              <w:rPr>
                <w:rFonts w:eastAsiaTheme="minorEastAsia"/>
                <w:bCs/>
                <w:kern w:val="0"/>
                <w:sz w:val="24"/>
                <w:szCs w:val="22"/>
              </w:rPr>
              <w:t>进入</w:t>
            </w:r>
            <w:r>
              <w:rPr>
                <w:rFonts w:hint="eastAsia" w:eastAsiaTheme="minorEastAsia"/>
                <w:bCs/>
                <w:kern w:val="0"/>
                <w:sz w:val="24"/>
                <w:szCs w:val="22"/>
              </w:rPr>
              <w:t>云南建工云岭水泥有限公司已建60</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化粪池处理，最终</w:t>
            </w:r>
            <w:r>
              <w:rPr>
                <w:rFonts w:hint="eastAsia" w:eastAsiaTheme="minorEastAsia"/>
                <w:bCs/>
                <w:kern w:val="0"/>
                <w:sz w:val="24"/>
                <w:szCs w:val="22"/>
              </w:rPr>
              <w:t>进入已建的一体化污水处理设备进行处理达标后，回用绿化和洒水降尘</w:t>
            </w:r>
            <w:r>
              <w:rPr>
                <w:rFonts w:eastAsiaTheme="minorEastAsia"/>
                <w:bCs/>
                <w:kern w:val="0"/>
                <w:sz w:val="24"/>
                <w:szCs w:val="22"/>
              </w:rPr>
              <w:t>。</w:t>
            </w:r>
          </w:p>
          <w:p w14:paraId="4ED20FB3">
            <w:pPr>
              <w:tabs>
                <w:tab w:val="center" w:pos="4026"/>
              </w:tabs>
              <w:adjustRightInd w:val="0"/>
              <w:snapToGrid w:val="0"/>
              <w:spacing w:line="360" w:lineRule="auto"/>
              <w:ind w:firstLine="480" w:firstLineChars="200"/>
              <w:rPr>
                <w:rFonts w:eastAsiaTheme="minorEastAsia"/>
                <w:bCs/>
                <w:sz w:val="24"/>
              </w:rPr>
            </w:pPr>
            <w:r>
              <w:rPr>
                <w:rFonts w:eastAsiaTheme="minorEastAsia"/>
                <w:bCs/>
                <w:sz w:val="24"/>
              </w:rPr>
              <w:t>项目用水量及污水产排情况见表</w:t>
            </w:r>
            <w:r>
              <w:rPr>
                <w:rFonts w:hint="eastAsia" w:eastAsiaTheme="minorEastAsia"/>
                <w:bCs/>
                <w:sz w:val="24"/>
              </w:rPr>
              <w:t>2</w:t>
            </w:r>
            <w:r>
              <w:rPr>
                <w:rFonts w:eastAsiaTheme="minorEastAsia"/>
                <w:bCs/>
                <w:sz w:val="24"/>
              </w:rPr>
              <w:t>-</w:t>
            </w:r>
            <w:r>
              <w:rPr>
                <w:rFonts w:hint="eastAsia" w:eastAsiaTheme="minorEastAsia"/>
                <w:bCs/>
                <w:sz w:val="24"/>
              </w:rPr>
              <w:t>16</w:t>
            </w:r>
            <w:r>
              <w:rPr>
                <w:rFonts w:eastAsiaTheme="minorEastAsia"/>
                <w:bCs/>
                <w:sz w:val="24"/>
              </w:rPr>
              <w:t>，项目最大日水量平衡图见图</w:t>
            </w:r>
            <w:r>
              <w:rPr>
                <w:rFonts w:hint="eastAsia" w:eastAsiaTheme="minorEastAsia"/>
                <w:bCs/>
                <w:sz w:val="24"/>
              </w:rPr>
              <w:t>2</w:t>
            </w:r>
            <w:r>
              <w:rPr>
                <w:rFonts w:eastAsiaTheme="minorEastAsia"/>
                <w:bCs/>
                <w:sz w:val="24"/>
              </w:rPr>
              <w:t>-</w:t>
            </w:r>
            <w:r>
              <w:rPr>
                <w:rFonts w:hint="eastAsia" w:eastAsiaTheme="minorEastAsia"/>
                <w:bCs/>
                <w:sz w:val="24"/>
              </w:rPr>
              <w:t>3</w:t>
            </w:r>
            <w:r>
              <w:rPr>
                <w:rFonts w:eastAsiaTheme="minorEastAsia"/>
                <w:bCs/>
                <w:sz w:val="24"/>
              </w:rPr>
              <w:t>。</w:t>
            </w:r>
          </w:p>
          <w:p w14:paraId="641EDF34">
            <w:pPr>
              <w:jc w:val="center"/>
              <w:rPr>
                <w:rFonts w:eastAsiaTheme="minorEastAsia"/>
                <w:b/>
                <w:szCs w:val="21"/>
              </w:rPr>
            </w:pPr>
            <w:r>
              <w:rPr>
                <w:rFonts w:eastAsiaTheme="minorEastAsia"/>
                <w:b/>
                <w:szCs w:val="21"/>
              </w:rPr>
              <w:t>表</w:t>
            </w:r>
            <w:r>
              <w:rPr>
                <w:rFonts w:hint="eastAsia" w:eastAsiaTheme="minorEastAsia"/>
                <w:b/>
                <w:szCs w:val="21"/>
              </w:rPr>
              <w:t>2</w:t>
            </w:r>
            <w:r>
              <w:rPr>
                <w:rFonts w:eastAsiaTheme="minorEastAsia"/>
                <w:b/>
                <w:szCs w:val="21"/>
              </w:rPr>
              <w:t>-</w:t>
            </w:r>
            <w:r>
              <w:rPr>
                <w:rFonts w:hint="eastAsia" w:eastAsiaTheme="minorEastAsia"/>
                <w:b/>
                <w:szCs w:val="21"/>
              </w:rPr>
              <w:t>16</w:t>
            </w:r>
            <w:r>
              <w:rPr>
                <w:rFonts w:eastAsiaTheme="minorEastAsia"/>
                <w:b/>
                <w:szCs w:val="21"/>
              </w:rPr>
              <w:t xml:space="preserve">  项目用水及污水产排情况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36"/>
              <w:gridCol w:w="1431"/>
              <w:gridCol w:w="1356"/>
              <w:gridCol w:w="1450"/>
              <w:gridCol w:w="1214"/>
            </w:tblGrid>
            <w:tr w14:paraId="5A20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4" w:type="dxa"/>
                  <w:gridSpan w:val="2"/>
                  <w:tcBorders>
                    <w:top w:val="single" w:color="auto" w:sz="4" w:space="0"/>
                    <w:left w:val="single" w:color="auto" w:sz="4" w:space="0"/>
                    <w:bottom w:val="single" w:color="auto" w:sz="4" w:space="0"/>
                    <w:right w:val="single" w:color="auto" w:sz="4" w:space="0"/>
                  </w:tcBorders>
                  <w:vAlign w:val="center"/>
                </w:tcPr>
                <w:p w14:paraId="79280261">
                  <w:pPr>
                    <w:jc w:val="center"/>
                    <w:rPr>
                      <w:rFonts w:eastAsiaTheme="minorEastAsia"/>
                      <w:b/>
                      <w:kern w:val="0"/>
                      <w:szCs w:val="21"/>
                    </w:rPr>
                  </w:pPr>
                  <w:r>
                    <w:rPr>
                      <w:rFonts w:eastAsiaTheme="minorEastAsia"/>
                      <w:b/>
                      <w:kern w:val="0"/>
                      <w:szCs w:val="21"/>
                    </w:rPr>
                    <w:t>用水项目</w:t>
                  </w:r>
                </w:p>
              </w:tc>
              <w:tc>
                <w:tcPr>
                  <w:tcW w:w="1431" w:type="dxa"/>
                  <w:tcBorders>
                    <w:top w:val="single" w:color="auto" w:sz="4" w:space="0"/>
                    <w:left w:val="single" w:color="auto" w:sz="4" w:space="0"/>
                    <w:bottom w:val="single" w:color="auto" w:sz="4" w:space="0"/>
                    <w:right w:val="single" w:color="auto" w:sz="4" w:space="0"/>
                  </w:tcBorders>
                  <w:vAlign w:val="center"/>
                </w:tcPr>
                <w:p w14:paraId="27346D4E">
                  <w:pPr>
                    <w:jc w:val="center"/>
                    <w:rPr>
                      <w:rFonts w:eastAsiaTheme="minorEastAsia"/>
                      <w:b/>
                      <w:kern w:val="0"/>
                      <w:szCs w:val="21"/>
                    </w:rPr>
                  </w:pPr>
                  <w:r>
                    <w:rPr>
                      <w:rFonts w:eastAsiaTheme="minorEastAsia"/>
                      <w:b/>
                      <w:kern w:val="0"/>
                      <w:szCs w:val="21"/>
                    </w:rPr>
                    <w:t>日用水量（m</w:t>
                  </w:r>
                  <w:r>
                    <w:rPr>
                      <w:rFonts w:eastAsiaTheme="minorEastAsia"/>
                      <w:b/>
                      <w:kern w:val="0"/>
                      <w:szCs w:val="21"/>
                      <w:vertAlign w:val="superscript"/>
                    </w:rPr>
                    <w:t>3</w:t>
                  </w:r>
                  <w:r>
                    <w:rPr>
                      <w:rFonts w:eastAsiaTheme="minorEastAsia"/>
                      <w:b/>
                      <w:kern w:val="0"/>
                      <w:szCs w:val="21"/>
                    </w:rPr>
                    <w:t>/d）</w:t>
                  </w:r>
                </w:p>
              </w:tc>
              <w:tc>
                <w:tcPr>
                  <w:tcW w:w="1356" w:type="dxa"/>
                  <w:tcBorders>
                    <w:top w:val="single" w:color="auto" w:sz="4" w:space="0"/>
                    <w:left w:val="single" w:color="auto" w:sz="4" w:space="0"/>
                    <w:bottom w:val="single" w:color="auto" w:sz="4" w:space="0"/>
                    <w:right w:val="single" w:color="auto" w:sz="4" w:space="0"/>
                  </w:tcBorders>
                  <w:vAlign w:val="center"/>
                </w:tcPr>
                <w:p w14:paraId="1384BB0D">
                  <w:pPr>
                    <w:jc w:val="center"/>
                    <w:rPr>
                      <w:rFonts w:eastAsiaTheme="minorEastAsia"/>
                      <w:b/>
                      <w:kern w:val="0"/>
                      <w:szCs w:val="21"/>
                    </w:rPr>
                  </w:pPr>
                  <w:r>
                    <w:rPr>
                      <w:rFonts w:eastAsiaTheme="minorEastAsia"/>
                      <w:b/>
                      <w:kern w:val="0"/>
                      <w:szCs w:val="21"/>
                    </w:rPr>
                    <w:t>年用水量（m</w:t>
                  </w:r>
                  <w:r>
                    <w:rPr>
                      <w:rFonts w:eastAsiaTheme="minorEastAsia"/>
                      <w:b/>
                      <w:kern w:val="0"/>
                      <w:szCs w:val="21"/>
                      <w:vertAlign w:val="superscript"/>
                    </w:rPr>
                    <w:t>3</w:t>
                  </w:r>
                  <w:r>
                    <w:rPr>
                      <w:rFonts w:eastAsiaTheme="minorEastAsia"/>
                      <w:b/>
                      <w:kern w:val="0"/>
                      <w:szCs w:val="21"/>
                    </w:rPr>
                    <w:t>/</w:t>
                  </w:r>
                  <w:r>
                    <w:rPr>
                      <w:rFonts w:hint="eastAsia" w:eastAsiaTheme="minorEastAsia"/>
                      <w:b/>
                      <w:kern w:val="0"/>
                      <w:szCs w:val="21"/>
                    </w:rPr>
                    <w:t>a</w:t>
                  </w:r>
                  <w:r>
                    <w:rPr>
                      <w:rFonts w:eastAsiaTheme="minorEastAsia"/>
                      <w:b/>
                      <w:kern w:val="0"/>
                      <w:szCs w:val="21"/>
                    </w:rPr>
                    <w:t>）</w:t>
                  </w:r>
                </w:p>
              </w:tc>
              <w:tc>
                <w:tcPr>
                  <w:tcW w:w="1450" w:type="dxa"/>
                  <w:tcBorders>
                    <w:top w:val="single" w:color="auto" w:sz="4" w:space="0"/>
                    <w:left w:val="single" w:color="auto" w:sz="4" w:space="0"/>
                    <w:bottom w:val="single" w:color="auto" w:sz="4" w:space="0"/>
                    <w:right w:val="single" w:color="auto" w:sz="4" w:space="0"/>
                  </w:tcBorders>
                  <w:vAlign w:val="center"/>
                </w:tcPr>
                <w:p w14:paraId="5D5AB065">
                  <w:pPr>
                    <w:jc w:val="center"/>
                    <w:rPr>
                      <w:rFonts w:eastAsiaTheme="minorEastAsia"/>
                      <w:b/>
                      <w:kern w:val="21"/>
                      <w:szCs w:val="21"/>
                    </w:rPr>
                  </w:pPr>
                  <w:r>
                    <w:rPr>
                      <w:rFonts w:eastAsiaTheme="minorEastAsia"/>
                      <w:b/>
                      <w:kern w:val="21"/>
                      <w:szCs w:val="21"/>
                    </w:rPr>
                    <w:t>日废水量（m</w:t>
                  </w:r>
                  <w:r>
                    <w:rPr>
                      <w:rFonts w:eastAsiaTheme="minorEastAsia"/>
                      <w:b/>
                      <w:kern w:val="21"/>
                      <w:szCs w:val="21"/>
                      <w:vertAlign w:val="superscript"/>
                    </w:rPr>
                    <w:t>3</w:t>
                  </w:r>
                  <w:r>
                    <w:rPr>
                      <w:rFonts w:eastAsiaTheme="minorEastAsia"/>
                      <w:b/>
                      <w:kern w:val="21"/>
                      <w:szCs w:val="21"/>
                    </w:rPr>
                    <w:t>/d）</w:t>
                  </w:r>
                </w:p>
              </w:tc>
              <w:tc>
                <w:tcPr>
                  <w:tcW w:w="1214" w:type="dxa"/>
                  <w:tcBorders>
                    <w:top w:val="single" w:color="auto" w:sz="4" w:space="0"/>
                    <w:left w:val="single" w:color="auto" w:sz="4" w:space="0"/>
                    <w:bottom w:val="single" w:color="auto" w:sz="4" w:space="0"/>
                    <w:right w:val="single" w:color="auto" w:sz="4" w:space="0"/>
                  </w:tcBorders>
                  <w:vAlign w:val="center"/>
                </w:tcPr>
                <w:p w14:paraId="0EA9EBE3">
                  <w:pPr>
                    <w:jc w:val="center"/>
                    <w:rPr>
                      <w:rFonts w:eastAsiaTheme="minorEastAsia"/>
                      <w:b/>
                      <w:kern w:val="21"/>
                      <w:szCs w:val="21"/>
                    </w:rPr>
                  </w:pPr>
                  <w:r>
                    <w:rPr>
                      <w:rFonts w:eastAsiaTheme="minorEastAsia"/>
                      <w:b/>
                      <w:kern w:val="21"/>
                      <w:szCs w:val="21"/>
                    </w:rPr>
                    <w:t>年废水量（</w:t>
                  </w:r>
                  <w:r>
                    <w:rPr>
                      <w:rFonts w:eastAsiaTheme="minorEastAsia"/>
                      <w:b/>
                      <w:kern w:val="0"/>
                      <w:szCs w:val="21"/>
                    </w:rPr>
                    <w:t>m</w:t>
                  </w:r>
                  <w:r>
                    <w:rPr>
                      <w:rFonts w:eastAsiaTheme="minorEastAsia"/>
                      <w:b/>
                      <w:kern w:val="0"/>
                      <w:szCs w:val="21"/>
                      <w:vertAlign w:val="superscript"/>
                    </w:rPr>
                    <w:t>3</w:t>
                  </w:r>
                  <w:r>
                    <w:rPr>
                      <w:rFonts w:eastAsiaTheme="minorEastAsia"/>
                      <w:b/>
                      <w:kern w:val="0"/>
                      <w:szCs w:val="21"/>
                    </w:rPr>
                    <w:t>/</w:t>
                  </w:r>
                  <w:r>
                    <w:rPr>
                      <w:rFonts w:hint="eastAsia" w:eastAsiaTheme="minorEastAsia"/>
                      <w:b/>
                      <w:kern w:val="0"/>
                      <w:szCs w:val="21"/>
                    </w:rPr>
                    <w:t>a</w:t>
                  </w:r>
                  <w:r>
                    <w:rPr>
                      <w:rFonts w:eastAsiaTheme="minorEastAsia"/>
                      <w:b/>
                      <w:kern w:val="21"/>
                      <w:szCs w:val="21"/>
                    </w:rPr>
                    <w:t>）</w:t>
                  </w:r>
                </w:p>
              </w:tc>
            </w:tr>
            <w:tr w14:paraId="2921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restart"/>
                  <w:tcBorders>
                    <w:top w:val="single" w:color="auto" w:sz="4" w:space="0"/>
                    <w:left w:val="single" w:color="auto" w:sz="4" w:space="0"/>
                    <w:right w:val="single" w:color="auto" w:sz="4" w:space="0"/>
                  </w:tcBorders>
                  <w:vAlign w:val="center"/>
                </w:tcPr>
                <w:p w14:paraId="1F6E9474">
                  <w:pPr>
                    <w:jc w:val="center"/>
                    <w:rPr>
                      <w:rFonts w:eastAsiaTheme="minorEastAsia"/>
                      <w:kern w:val="0"/>
                      <w:szCs w:val="21"/>
                    </w:rPr>
                  </w:pPr>
                  <w:r>
                    <w:rPr>
                      <w:rFonts w:hint="eastAsia" w:eastAsiaTheme="minorEastAsia"/>
                      <w:kern w:val="0"/>
                      <w:szCs w:val="21"/>
                    </w:rPr>
                    <w:t>生产用水</w:t>
                  </w:r>
                </w:p>
              </w:tc>
              <w:tc>
                <w:tcPr>
                  <w:tcW w:w="1836" w:type="dxa"/>
                  <w:tcBorders>
                    <w:top w:val="single" w:color="auto" w:sz="4" w:space="0"/>
                    <w:left w:val="single" w:color="auto" w:sz="4" w:space="0"/>
                    <w:bottom w:val="single" w:color="auto" w:sz="4" w:space="0"/>
                    <w:right w:val="single" w:color="auto" w:sz="4" w:space="0"/>
                  </w:tcBorders>
                  <w:vAlign w:val="center"/>
                </w:tcPr>
                <w:p w14:paraId="0E54F78B">
                  <w:pPr>
                    <w:jc w:val="center"/>
                    <w:rPr>
                      <w:rFonts w:eastAsiaTheme="minorEastAsia"/>
                      <w:kern w:val="0"/>
                      <w:szCs w:val="21"/>
                    </w:rPr>
                  </w:pPr>
                  <w:r>
                    <w:rPr>
                      <w:rFonts w:hint="eastAsia" w:eastAsiaTheme="minorEastAsia"/>
                      <w:kern w:val="0"/>
                      <w:szCs w:val="21"/>
                    </w:rPr>
                    <w:t>工艺用水</w:t>
                  </w:r>
                </w:p>
              </w:tc>
              <w:tc>
                <w:tcPr>
                  <w:tcW w:w="1431" w:type="dxa"/>
                  <w:tcBorders>
                    <w:top w:val="single" w:color="auto" w:sz="4" w:space="0"/>
                    <w:left w:val="single" w:color="auto" w:sz="4" w:space="0"/>
                    <w:bottom w:val="single" w:color="auto" w:sz="4" w:space="0"/>
                    <w:right w:val="single" w:color="auto" w:sz="4" w:space="0"/>
                  </w:tcBorders>
                  <w:vAlign w:val="center"/>
                </w:tcPr>
                <w:p w14:paraId="2639B690">
                  <w:pPr>
                    <w:jc w:val="center"/>
                    <w:rPr>
                      <w:rFonts w:eastAsiaTheme="minorEastAsia"/>
                      <w:kern w:val="0"/>
                      <w:szCs w:val="21"/>
                    </w:rPr>
                  </w:pPr>
                  <w:r>
                    <w:rPr>
                      <w:rFonts w:hint="eastAsia" w:eastAsiaTheme="minorEastAsia"/>
                      <w:kern w:val="0"/>
                      <w:szCs w:val="21"/>
                    </w:rPr>
                    <w:t>25.7</w:t>
                  </w:r>
                </w:p>
              </w:tc>
              <w:tc>
                <w:tcPr>
                  <w:tcW w:w="1356" w:type="dxa"/>
                  <w:tcBorders>
                    <w:top w:val="single" w:color="auto" w:sz="4" w:space="0"/>
                    <w:left w:val="single" w:color="auto" w:sz="4" w:space="0"/>
                    <w:bottom w:val="single" w:color="auto" w:sz="4" w:space="0"/>
                    <w:right w:val="single" w:color="auto" w:sz="4" w:space="0"/>
                  </w:tcBorders>
                  <w:vAlign w:val="center"/>
                </w:tcPr>
                <w:p w14:paraId="0EE6702F">
                  <w:pPr>
                    <w:jc w:val="center"/>
                    <w:rPr>
                      <w:rFonts w:eastAsiaTheme="minorEastAsia"/>
                      <w:kern w:val="0"/>
                      <w:szCs w:val="21"/>
                    </w:rPr>
                  </w:pPr>
                  <w:r>
                    <w:rPr>
                      <w:rFonts w:hint="eastAsia" w:eastAsiaTheme="minorEastAsia"/>
                      <w:kern w:val="0"/>
                      <w:szCs w:val="21"/>
                    </w:rPr>
                    <w:t>7700</w:t>
                  </w:r>
                </w:p>
              </w:tc>
              <w:tc>
                <w:tcPr>
                  <w:tcW w:w="1450" w:type="dxa"/>
                  <w:tcBorders>
                    <w:top w:val="single" w:color="auto" w:sz="4" w:space="0"/>
                    <w:left w:val="single" w:color="auto" w:sz="4" w:space="0"/>
                    <w:bottom w:val="single" w:color="auto" w:sz="4" w:space="0"/>
                    <w:right w:val="single" w:color="auto" w:sz="4" w:space="0"/>
                  </w:tcBorders>
                  <w:vAlign w:val="center"/>
                </w:tcPr>
                <w:p w14:paraId="49C8BF59">
                  <w:pPr>
                    <w:jc w:val="center"/>
                    <w:rPr>
                      <w:rFonts w:eastAsiaTheme="minorEastAsia"/>
                      <w:kern w:val="0"/>
                      <w:szCs w:val="21"/>
                    </w:rPr>
                  </w:pPr>
                  <w:r>
                    <w:rPr>
                      <w:rFonts w:hint="eastAsia" w:eastAsiaTheme="minorEastAsia"/>
                      <w:kern w:val="0"/>
                      <w:szCs w:val="21"/>
                    </w:rPr>
                    <w:t>/</w:t>
                  </w:r>
                </w:p>
              </w:tc>
              <w:tc>
                <w:tcPr>
                  <w:tcW w:w="1214" w:type="dxa"/>
                  <w:tcBorders>
                    <w:top w:val="single" w:color="auto" w:sz="4" w:space="0"/>
                    <w:left w:val="single" w:color="auto" w:sz="4" w:space="0"/>
                    <w:bottom w:val="single" w:color="auto" w:sz="4" w:space="0"/>
                    <w:right w:val="single" w:color="auto" w:sz="4" w:space="0"/>
                  </w:tcBorders>
                  <w:vAlign w:val="center"/>
                </w:tcPr>
                <w:p w14:paraId="41F6A107">
                  <w:pPr>
                    <w:jc w:val="center"/>
                    <w:rPr>
                      <w:rFonts w:eastAsiaTheme="minorEastAsia"/>
                      <w:kern w:val="0"/>
                      <w:szCs w:val="21"/>
                    </w:rPr>
                  </w:pPr>
                  <w:r>
                    <w:rPr>
                      <w:rFonts w:hint="eastAsia" w:eastAsiaTheme="minorEastAsia"/>
                      <w:kern w:val="0"/>
                      <w:szCs w:val="21"/>
                    </w:rPr>
                    <w:t>/</w:t>
                  </w:r>
                </w:p>
              </w:tc>
            </w:tr>
            <w:tr w14:paraId="436A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14:paraId="430CFC37">
                  <w:pPr>
                    <w:jc w:val="center"/>
                    <w:rPr>
                      <w:rFonts w:eastAsiaTheme="minorEastAsia"/>
                      <w:kern w:val="0"/>
                      <w:szCs w:val="21"/>
                    </w:rPr>
                  </w:pPr>
                </w:p>
              </w:tc>
              <w:tc>
                <w:tcPr>
                  <w:tcW w:w="1836" w:type="dxa"/>
                  <w:tcBorders>
                    <w:top w:val="single" w:color="auto" w:sz="4" w:space="0"/>
                    <w:left w:val="single" w:color="auto" w:sz="4" w:space="0"/>
                    <w:bottom w:val="single" w:color="auto" w:sz="4" w:space="0"/>
                    <w:right w:val="single" w:color="auto" w:sz="4" w:space="0"/>
                  </w:tcBorders>
                  <w:vAlign w:val="center"/>
                </w:tcPr>
                <w:p w14:paraId="7879567B">
                  <w:pPr>
                    <w:jc w:val="center"/>
                    <w:rPr>
                      <w:rFonts w:eastAsiaTheme="minorEastAsia"/>
                      <w:kern w:val="0"/>
                      <w:szCs w:val="21"/>
                    </w:rPr>
                  </w:pPr>
                  <w:r>
                    <w:rPr>
                      <w:rFonts w:hint="eastAsia" w:eastAsiaTheme="minorEastAsia"/>
                      <w:kern w:val="0"/>
                      <w:szCs w:val="21"/>
                    </w:rPr>
                    <w:t>除臭剂稀释用水</w:t>
                  </w:r>
                </w:p>
              </w:tc>
              <w:tc>
                <w:tcPr>
                  <w:tcW w:w="1431" w:type="dxa"/>
                  <w:tcBorders>
                    <w:top w:val="single" w:color="auto" w:sz="4" w:space="0"/>
                    <w:left w:val="single" w:color="auto" w:sz="4" w:space="0"/>
                    <w:bottom w:val="single" w:color="auto" w:sz="4" w:space="0"/>
                    <w:right w:val="single" w:color="auto" w:sz="4" w:space="0"/>
                  </w:tcBorders>
                  <w:vAlign w:val="center"/>
                </w:tcPr>
                <w:p w14:paraId="2955356A">
                  <w:pPr>
                    <w:jc w:val="center"/>
                    <w:rPr>
                      <w:rFonts w:eastAsiaTheme="minorEastAsia"/>
                      <w:bCs/>
                      <w:szCs w:val="21"/>
                    </w:rPr>
                  </w:pPr>
                  <w:r>
                    <w:rPr>
                      <w:rFonts w:hint="eastAsia" w:eastAsiaTheme="minorEastAsia"/>
                      <w:bCs/>
                      <w:szCs w:val="21"/>
                    </w:rPr>
                    <w:t>0.13</w:t>
                  </w:r>
                </w:p>
              </w:tc>
              <w:tc>
                <w:tcPr>
                  <w:tcW w:w="1356" w:type="dxa"/>
                  <w:tcBorders>
                    <w:top w:val="single" w:color="auto" w:sz="4" w:space="0"/>
                    <w:left w:val="single" w:color="auto" w:sz="4" w:space="0"/>
                    <w:bottom w:val="single" w:color="auto" w:sz="4" w:space="0"/>
                    <w:right w:val="single" w:color="auto" w:sz="4" w:space="0"/>
                  </w:tcBorders>
                  <w:vAlign w:val="center"/>
                </w:tcPr>
                <w:p w14:paraId="53E09C01">
                  <w:pPr>
                    <w:jc w:val="center"/>
                    <w:rPr>
                      <w:rFonts w:eastAsiaTheme="minorEastAsia"/>
                      <w:bCs/>
                      <w:szCs w:val="21"/>
                    </w:rPr>
                  </w:pPr>
                  <w:r>
                    <w:rPr>
                      <w:rFonts w:hint="eastAsia" w:eastAsiaTheme="minorEastAsia"/>
                      <w:bCs/>
                      <w:szCs w:val="21"/>
                    </w:rPr>
                    <w:t>40</w:t>
                  </w:r>
                </w:p>
              </w:tc>
              <w:tc>
                <w:tcPr>
                  <w:tcW w:w="1450" w:type="dxa"/>
                  <w:tcBorders>
                    <w:top w:val="single" w:color="auto" w:sz="4" w:space="0"/>
                    <w:left w:val="single" w:color="auto" w:sz="4" w:space="0"/>
                    <w:bottom w:val="single" w:color="auto" w:sz="4" w:space="0"/>
                    <w:right w:val="single" w:color="auto" w:sz="4" w:space="0"/>
                  </w:tcBorders>
                  <w:vAlign w:val="center"/>
                </w:tcPr>
                <w:p w14:paraId="5FCCD5C7">
                  <w:pPr>
                    <w:jc w:val="center"/>
                    <w:rPr>
                      <w:rFonts w:eastAsiaTheme="minorEastAsia"/>
                      <w:bCs/>
                      <w:szCs w:val="21"/>
                    </w:rPr>
                  </w:pPr>
                  <w:r>
                    <w:rPr>
                      <w:rFonts w:hint="eastAsia" w:eastAsiaTheme="minorEastAsia"/>
                      <w:bCs/>
                      <w:szCs w:val="21"/>
                    </w:rPr>
                    <w:t>/</w:t>
                  </w:r>
                </w:p>
              </w:tc>
              <w:tc>
                <w:tcPr>
                  <w:tcW w:w="1214" w:type="dxa"/>
                  <w:tcBorders>
                    <w:top w:val="single" w:color="auto" w:sz="4" w:space="0"/>
                    <w:left w:val="single" w:color="auto" w:sz="4" w:space="0"/>
                    <w:bottom w:val="single" w:color="auto" w:sz="4" w:space="0"/>
                    <w:right w:val="single" w:color="auto" w:sz="4" w:space="0"/>
                  </w:tcBorders>
                  <w:vAlign w:val="center"/>
                </w:tcPr>
                <w:p w14:paraId="207DD4F5">
                  <w:pPr>
                    <w:jc w:val="center"/>
                    <w:rPr>
                      <w:rFonts w:eastAsiaTheme="minorEastAsia"/>
                      <w:bCs/>
                      <w:szCs w:val="21"/>
                    </w:rPr>
                  </w:pPr>
                  <w:r>
                    <w:rPr>
                      <w:rFonts w:hint="eastAsia" w:eastAsiaTheme="minorEastAsia"/>
                      <w:bCs/>
                      <w:szCs w:val="21"/>
                    </w:rPr>
                    <w:t>/</w:t>
                  </w:r>
                </w:p>
              </w:tc>
            </w:tr>
            <w:tr w14:paraId="0623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14:paraId="125811A7">
                  <w:pPr>
                    <w:jc w:val="center"/>
                    <w:rPr>
                      <w:rFonts w:eastAsiaTheme="minorEastAsia"/>
                      <w:kern w:val="0"/>
                      <w:szCs w:val="21"/>
                    </w:rPr>
                  </w:pPr>
                </w:p>
              </w:tc>
              <w:tc>
                <w:tcPr>
                  <w:tcW w:w="1836" w:type="dxa"/>
                  <w:tcBorders>
                    <w:top w:val="single" w:color="auto" w:sz="4" w:space="0"/>
                    <w:left w:val="single" w:color="auto" w:sz="4" w:space="0"/>
                    <w:bottom w:val="single" w:color="auto" w:sz="4" w:space="0"/>
                    <w:right w:val="single" w:color="auto" w:sz="4" w:space="0"/>
                  </w:tcBorders>
                  <w:vAlign w:val="center"/>
                </w:tcPr>
                <w:p w14:paraId="73410379">
                  <w:pPr>
                    <w:jc w:val="center"/>
                    <w:rPr>
                      <w:rFonts w:eastAsiaTheme="minorEastAsia"/>
                      <w:kern w:val="0"/>
                      <w:szCs w:val="21"/>
                    </w:rPr>
                  </w:pPr>
                  <w:r>
                    <w:rPr>
                      <w:rFonts w:hint="eastAsia" w:eastAsiaTheme="minorEastAsia"/>
                      <w:kern w:val="0"/>
                      <w:szCs w:val="21"/>
                    </w:rPr>
                    <w:t>道路降尘用水</w:t>
                  </w:r>
                </w:p>
              </w:tc>
              <w:tc>
                <w:tcPr>
                  <w:tcW w:w="1431" w:type="dxa"/>
                  <w:tcBorders>
                    <w:top w:val="single" w:color="auto" w:sz="4" w:space="0"/>
                    <w:left w:val="single" w:color="auto" w:sz="4" w:space="0"/>
                    <w:bottom w:val="single" w:color="auto" w:sz="4" w:space="0"/>
                    <w:right w:val="single" w:color="auto" w:sz="4" w:space="0"/>
                  </w:tcBorders>
                  <w:vAlign w:val="center"/>
                </w:tcPr>
                <w:p w14:paraId="2F85134C">
                  <w:pPr>
                    <w:jc w:val="center"/>
                    <w:rPr>
                      <w:rFonts w:eastAsiaTheme="minorEastAsia"/>
                      <w:bCs/>
                      <w:szCs w:val="21"/>
                    </w:rPr>
                  </w:pPr>
                  <w:r>
                    <w:rPr>
                      <w:rFonts w:hint="eastAsia" w:eastAsiaTheme="minorEastAsia"/>
                      <w:bCs/>
                      <w:szCs w:val="21"/>
                    </w:rPr>
                    <w:t>4（晴天）</w:t>
                  </w:r>
                </w:p>
              </w:tc>
              <w:tc>
                <w:tcPr>
                  <w:tcW w:w="1356" w:type="dxa"/>
                  <w:tcBorders>
                    <w:top w:val="single" w:color="auto" w:sz="4" w:space="0"/>
                    <w:left w:val="single" w:color="auto" w:sz="4" w:space="0"/>
                    <w:bottom w:val="single" w:color="auto" w:sz="4" w:space="0"/>
                    <w:right w:val="single" w:color="auto" w:sz="4" w:space="0"/>
                  </w:tcBorders>
                  <w:vAlign w:val="center"/>
                </w:tcPr>
                <w:p w14:paraId="1BF40B97">
                  <w:pPr>
                    <w:jc w:val="center"/>
                    <w:rPr>
                      <w:rFonts w:eastAsiaTheme="minorEastAsia"/>
                      <w:bCs/>
                      <w:szCs w:val="21"/>
                    </w:rPr>
                  </w:pPr>
                  <w:r>
                    <w:rPr>
                      <w:rFonts w:hint="eastAsia" w:eastAsiaTheme="minorEastAsia"/>
                      <w:bCs/>
                      <w:szCs w:val="21"/>
                    </w:rPr>
                    <w:t>700</w:t>
                  </w:r>
                </w:p>
              </w:tc>
              <w:tc>
                <w:tcPr>
                  <w:tcW w:w="1450" w:type="dxa"/>
                  <w:tcBorders>
                    <w:top w:val="single" w:color="auto" w:sz="4" w:space="0"/>
                    <w:left w:val="single" w:color="auto" w:sz="4" w:space="0"/>
                    <w:bottom w:val="single" w:color="auto" w:sz="4" w:space="0"/>
                    <w:right w:val="single" w:color="auto" w:sz="4" w:space="0"/>
                  </w:tcBorders>
                  <w:vAlign w:val="center"/>
                </w:tcPr>
                <w:p w14:paraId="10F4CF78">
                  <w:pPr>
                    <w:jc w:val="center"/>
                    <w:rPr>
                      <w:rFonts w:eastAsiaTheme="minorEastAsia"/>
                      <w:bCs/>
                      <w:szCs w:val="21"/>
                    </w:rPr>
                  </w:pPr>
                </w:p>
              </w:tc>
              <w:tc>
                <w:tcPr>
                  <w:tcW w:w="1214" w:type="dxa"/>
                  <w:tcBorders>
                    <w:top w:val="single" w:color="auto" w:sz="4" w:space="0"/>
                    <w:left w:val="single" w:color="auto" w:sz="4" w:space="0"/>
                    <w:bottom w:val="single" w:color="auto" w:sz="4" w:space="0"/>
                    <w:right w:val="single" w:color="auto" w:sz="4" w:space="0"/>
                  </w:tcBorders>
                  <w:vAlign w:val="center"/>
                </w:tcPr>
                <w:p w14:paraId="291D1975">
                  <w:pPr>
                    <w:jc w:val="center"/>
                    <w:rPr>
                      <w:rFonts w:eastAsiaTheme="minorEastAsia"/>
                      <w:bCs/>
                      <w:szCs w:val="21"/>
                    </w:rPr>
                  </w:pPr>
                </w:p>
              </w:tc>
            </w:tr>
            <w:tr w14:paraId="0BF8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14:paraId="22DA2DCB">
                  <w:pPr>
                    <w:jc w:val="center"/>
                    <w:rPr>
                      <w:rFonts w:eastAsiaTheme="minorEastAsia"/>
                      <w:kern w:val="0"/>
                      <w:szCs w:val="21"/>
                    </w:rPr>
                  </w:pPr>
                </w:p>
              </w:tc>
              <w:tc>
                <w:tcPr>
                  <w:tcW w:w="1836" w:type="dxa"/>
                  <w:tcBorders>
                    <w:top w:val="single" w:color="auto" w:sz="4" w:space="0"/>
                    <w:left w:val="single" w:color="auto" w:sz="4" w:space="0"/>
                    <w:bottom w:val="single" w:color="auto" w:sz="4" w:space="0"/>
                    <w:right w:val="single" w:color="auto" w:sz="4" w:space="0"/>
                  </w:tcBorders>
                  <w:vAlign w:val="center"/>
                </w:tcPr>
                <w:p w14:paraId="09D5A300">
                  <w:pPr>
                    <w:jc w:val="center"/>
                    <w:rPr>
                      <w:rFonts w:eastAsiaTheme="minorEastAsia"/>
                      <w:kern w:val="0"/>
                      <w:szCs w:val="21"/>
                    </w:rPr>
                  </w:pPr>
                  <w:r>
                    <w:rPr>
                      <w:rFonts w:hint="eastAsia" w:eastAsiaTheme="minorEastAsia"/>
                      <w:kern w:val="0"/>
                      <w:szCs w:val="21"/>
                    </w:rPr>
                    <w:t>雾炮机用水</w:t>
                  </w:r>
                </w:p>
              </w:tc>
              <w:tc>
                <w:tcPr>
                  <w:tcW w:w="1431" w:type="dxa"/>
                  <w:tcBorders>
                    <w:top w:val="single" w:color="auto" w:sz="4" w:space="0"/>
                    <w:left w:val="single" w:color="auto" w:sz="4" w:space="0"/>
                    <w:bottom w:val="single" w:color="auto" w:sz="4" w:space="0"/>
                    <w:right w:val="single" w:color="auto" w:sz="4" w:space="0"/>
                  </w:tcBorders>
                  <w:vAlign w:val="center"/>
                </w:tcPr>
                <w:p w14:paraId="5EF5DAE8">
                  <w:pPr>
                    <w:jc w:val="center"/>
                    <w:rPr>
                      <w:rFonts w:eastAsiaTheme="minorEastAsia"/>
                      <w:bCs/>
                      <w:szCs w:val="21"/>
                    </w:rPr>
                  </w:pPr>
                  <w:r>
                    <w:rPr>
                      <w:rFonts w:hint="eastAsia" w:eastAsiaTheme="minorEastAsia"/>
                      <w:bCs/>
                      <w:szCs w:val="21"/>
                    </w:rPr>
                    <w:t>7.2</w:t>
                  </w:r>
                </w:p>
              </w:tc>
              <w:tc>
                <w:tcPr>
                  <w:tcW w:w="1356" w:type="dxa"/>
                  <w:tcBorders>
                    <w:top w:val="single" w:color="auto" w:sz="4" w:space="0"/>
                    <w:left w:val="single" w:color="auto" w:sz="4" w:space="0"/>
                    <w:bottom w:val="single" w:color="auto" w:sz="4" w:space="0"/>
                    <w:right w:val="single" w:color="auto" w:sz="4" w:space="0"/>
                  </w:tcBorders>
                  <w:vAlign w:val="center"/>
                </w:tcPr>
                <w:p w14:paraId="3AEDB8C5">
                  <w:pPr>
                    <w:jc w:val="center"/>
                    <w:rPr>
                      <w:rFonts w:eastAsiaTheme="minorEastAsia"/>
                      <w:bCs/>
                      <w:szCs w:val="21"/>
                    </w:rPr>
                  </w:pPr>
                  <w:r>
                    <w:rPr>
                      <w:rFonts w:hint="eastAsia" w:eastAsiaTheme="minorEastAsia"/>
                      <w:bCs/>
                      <w:szCs w:val="21"/>
                    </w:rPr>
                    <w:t>160</w:t>
                  </w:r>
                </w:p>
              </w:tc>
              <w:tc>
                <w:tcPr>
                  <w:tcW w:w="1450" w:type="dxa"/>
                  <w:tcBorders>
                    <w:top w:val="single" w:color="auto" w:sz="4" w:space="0"/>
                    <w:left w:val="single" w:color="auto" w:sz="4" w:space="0"/>
                    <w:bottom w:val="single" w:color="auto" w:sz="4" w:space="0"/>
                    <w:right w:val="single" w:color="auto" w:sz="4" w:space="0"/>
                  </w:tcBorders>
                  <w:vAlign w:val="center"/>
                </w:tcPr>
                <w:p w14:paraId="089D635C">
                  <w:pPr>
                    <w:jc w:val="center"/>
                    <w:rPr>
                      <w:rFonts w:eastAsiaTheme="minorEastAsia"/>
                      <w:bCs/>
                      <w:szCs w:val="21"/>
                    </w:rPr>
                  </w:pPr>
                  <w:r>
                    <w:rPr>
                      <w:rFonts w:hint="eastAsia" w:eastAsiaTheme="minorEastAsia"/>
                      <w:bCs/>
                      <w:szCs w:val="21"/>
                    </w:rPr>
                    <w:t>/</w:t>
                  </w:r>
                </w:p>
              </w:tc>
              <w:tc>
                <w:tcPr>
                  <w:tcW w:w="1214" w:type="dxa"/>
                  <w:tcBorders>
                    <w:top w:val="single" w:color="auto" w:sz="4" w:space="0"/>
                    <w:left w:val="single" w:color="auto" w:sz="4" w:space="0"/>
                    <w:bottom w:val="single" w:color="auto" w:sz="4" w:space="0"/>
                    <w:right w:val="single" w:color="auto" w:sz="4" w:space="0"/>
                  </w:tcBorders>
                  <w:vAlign w:val="center"/>
                </w:tcPr>
                <w:p w14:paraId="3A1E7144">
                  <w:pPr>
                    <w:jc w:val="center"/>
                    <w:rPr>
                      <w:rFonts w:eastAsiaTheme="minorEastAsia"/>
                      <w:bCs/>
                      <w:szCs w:val="21"/>
                    </w:rPr>
                  </w:pPr>
                  <w:r>
                    <w:rPr>
                      <w:rFonts w:hint="eastAsia" w:eastAsiaTheme="minorEastAsia"/>
                      <w:bCs/>
                      <w:szCs w:val="21"/>
                    </w:rPr>
                    <w:t>/</w:t>
                  </w:r>
                </w:p>
              </w:tc>
            </w:tr>
            <w:tr w14:paraId="1A03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48" w:type="dxa"/>
                  <w:tcBorders>
                    <w:top w:val="single" w:color="auto" w:sz="4" w:space="0"/>
                    <w:left w:val="single" w:color="auto" w:sz="4" w:space="0"/>
                    <w:right w:val="single" w:color="auto" w:sz="4" w:space="0"/>
                  </w:tcBorders>
                  <w:vAlign w:val="center"/>
                </w:tcPr>
                <w:p w14:paraId="5BE9139B">
                  <w:pPr>
                    <w:jc w:val="center"/>
                    <w:rPr>
                      <w:rFonts w:eastAsiaTheme="minorEastAsia"/>
                      <w:kern w:val="0"/>
                      <w:szCs w:val="21"/>
                    </w:rPr>
                  </w:pPr>
                  <w:r>
                    <w:rPr>
                      <w:rFonts w:hint="eastAsia" w:eastAsiaTheme="minorEastAsia"/>
                      <w:kern w:val="0"/>
                      <w:szCs w:val="21"/>
                    </w:rPr>
                    <w:t>生活用水</w:t>
                  </w:r>
                </w:p>
              </w:tc>
              <w:tc>
                <w:tcPr>
                  <w:tcW w:w="1836" w:type="dxa"/>
                  <w:tcBorders>
                    <w:top w:val="single" w:color="auto" w:sz="4" w:space="0"/>
                    <w:left w:val="single" w:color="auto" w:sz="4" w:space="0"/>
                    <w:right w:val="single" w:color="auto" w:sz="4" w:space="0"/>
                  </w:tcBorders>
                  <w:vAlign w:val="center"/>
                </w:tcPr>
                <w:p w14:paraId="332EC215">
                  <w:pPr>
                    <w:jc w:val="center"/>
                    <w:rPr>
                      <w:rFonts w:eastAsiaTheme="minorEastAsia"/>
                      <w:kern w:val="0"/>
                      <w:szCs w:val="21"/>
                    </w:rPr>
                  </w:pPr>
                  <w:r>
                    <w:rPr>
                      <w:rFonts w:hint="eastAsia" w:eastAsiaTheme="minorEastAsia"/>
                      <w:kern w:val="0"/>
                      <w:szCs w:val="21"/>
                    </w:rPr>
                    <w:t>生活用水</w:t>
                  </w:r>
                </w:p>
              </w:tc>
              <w:tc>
                <w:tcPr>
                  <w:tcW w:w="1431" w:type="dxa"/>
                  <w:tcBorders>
                    <w:top w:val="single" w:color="auto" w:sz="4" w:space="0"/>
                    <w:left w:val="single" w:color="auto" w:sz="4" w:space="0"/>
                    <w:right w:val="single" w:color="auto" w:sz="4" w:space="0"/>
                  </w:tcBorders>
                  <w:vAlign w:val="center"/>
                </w:tcPr>
                <w:p w14:paraId="05592B43">
                  <w:pPr>
                    <w:jc w:val="center"/>
                    <w:rPr>
                      <w:rFonts w:eastAsiaTheme="minorEastAsia"/>
                      <w:bCs/>
                      <w:szCs w:val="21"/>
                    </w:rPr>
                  </w:pPr>
                  <w:r>
                    <w:rPr>
                      <w:rFonts w:hint="eastAsia" w:eastAsiaTheme="minorEastAsia"/>
                      <w:bCs/>
                      <w:szCs w:val="21"/>
                    </w:rPr>
                    <w:t>0.38</w:t>
                  </w:r>
                </w:p>
              </w:tc>
              <w:tc>
                <w:tcPr>
                  <w:tcW w:w="1356" w:type="dxa"/>
                  <w:tcBorders>
                    <w:top w:val="single" w:color="auto" w:sz="4" w:space="0"/>
                    <w:left w:val="single" w:color="auto" w:sz="4" w:space="0"/>
                    <w:right w:val="single" w:color="auto" w:sz="4" w:space="0"/>
                  </w:tcBorders>
                  <w:vAlign w:val="center"/>
                </w:tcPr>
                <w:p w14:paraId="57303F3F">
                  <w:pPr>
                    <w:jc w:val="center"/>
                    <w:rPr>
                      <w:rFonts w:eastAsiaTheme="minorEastAsia"/>
                      <w:bCs/>
                      <w:szCs w:val="21"/>
                    </w:rPr>
                  </w:pPr>
                  <w:r>
                    <w:rPr>
                      <w:rFonts w:hint="eastAsia" w:eastAsiaTheme="minorEastAsia"/>
                      <w:bCs/>
                      <w:szCs w:val="21"/>
                    </w:rPr>
                    <w:t>144</w:t>
                  </w:r>
                </w:p>
              </w:tc>
              <w:tc>
                <w:tcPr>
                  <w:tcW w:w="1450" w:type="dxa"/>
                  <w:tcBorders>
                    <w:top w:val="single" w:color="auto" w:sz="4" w:space="0"/>
                    <w:left w:val="single" w:color="auto" w:sz="4" w:space="0"/>
                    <w:right w:val="single" w:color="auto" w:sz="4" w:space="0"/>
                  </w:tcBorders>
                  <w:vAlign w:val="center"/>
                </w:tcPr>
                <w:p w14:paraId="4226303A">
                  <w:pPr>
                    <w:jc w:val="center"/>
                    <w:rPr>
                      <w:rFonts w:eastAsiaTheme="minorEastAsia"/>
                      <w:bCs/>
                      <w:szCs w:val="21"/>
                    </w:rPr>
                  </w:pPr>
                  <w:r>
                    <w:rPr>
                      <w:rFonts w:hint="eastAsia" w:eastAsiaTheme="minorEastAsia"/>
                      <w:bCs/>
                      <w:szCs w:val="21"/>
                    </w:rPr>
                    <w:t>0.304</w:t>
                  </w:r>
                </w:p>
              </w:tc>
              <w:tc>
                <w:tcPr>
                  <w:tcW w:w="1214" w:type="dxa"/>
                  <w:tcBorders>
                    <w:top w:val="single" w:color="auto" w:sz="4" w:space="0"/>
                    <w:left w:val="single" w:color="auto" w:sz="4" w:space="0"/>
                    <w:bottom w:val="single" w:color="auto" w:sz="4" w:space="0"/>
                    <w:right w:val="single" w:color="auto" w:sz="4" w:space="0"/>
                  </w:tcBorders>
                  <w:vAlign w:val="center"/>
                </w:tcPr>
                <w:p w14:paraId="4CF222B3">
                  <w:pPr>
                    <w:jc w:val="center"/>
                    <w:rPr>
                      <w:rFonts w:eastAsiaTheme="minorEastAsia"/>
                      <w:bCs/>
                      <w:szCs w:val="21"/>
                    </w:rPr>
                  </w:pPr>
                  <w:r>
                    <w:rPr>
                      <w:rFonts w:hint="eastAsia" w:eastAsiaTheme="minorEastAsia"/>
                      <w:bCs/>
                      <w:szCs w:val="21"/>
                    </w:rPr>
                    <w:t>91.2</w:t>
                  </w:r>
                </w:p>
              </w:tc>
            </w:tr>
            <w:tr w14:paraId="3049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484" w:type="dxa"/>
                  <w:gridSpan w:val="2"/>
                  <w:tcBorders>
                    <w:top w:val="single" w:color="auto" w:sz="4" w:space="0"/>
                    <w:left w:val="single" w:color="auto" w:sz="4" w:space="0"/>
                    <w:right w:val="single" w:color="auto" w:sz="4" w:space="0"/>
                  </w:tcBorders>
                  <w:vAlign w:val="center"/>
                </w:tcPr>
                <w:p w14:paraId="3BCA1B19">
                  <w:pPr>
                    <w:jc w:val="center"/>
                    <w:rPr>
                      <w:rFonts w:eastAsiaTheme="minorEastAsia"/>
                      <w:bCs/>
                      <w:kern w:val="0"/>
                      <w:szCs w:val="21"/>
                    </w:rPr>
                  </w:pPr>
                  <w:r>
                    <w:rPr>
                      <w:rFonts w:hint="eastAsia" w:eastAsiaTheme="minorEastAsia"/>
                      <w:kern w:val="0"/>
                      <w:szCs w:val="21"/>
                    </w:rPr>
                    <w:t>总计</w:t>
                  </w:r>
                </w:p>
              </w:tc>
              <w:tc>
                <w:tcPr>
                  <w:tcW w:w="1431" w:type="dxa"/>
                  <w:tcBorders>
                    <w:top w:val="single" w:color="auto" w:sz="4" w:space="0"/>
                    <w:left w:val="single" w:color="auto" w:sz="4" w:space="0"/>
                    <w:right w:val="single" w:color="auto" w:sz="4" w:space="0"/>
                  </w:tcBorders>
                  <w:vAlign w:val="center"/>
                </w:tcPr>
                <w:p w14:paraId="4E6F5DDC">
                  <w:pPr>
                    <w:jc w:val="center"/>
                    <w:rPr>
                      <w:rFonts w:eastAsiaTheme="minorEastAsia"/>
                      <w:bCs/>
                      <w:szCs w:val="21"/>
                    </w:rPr>
                  </w:pPr>
                  <w:r>
                    <w:rPr>
                      <w:rFonts w:hint="eastAsia" w:eastAsiaTheme="minorEastAsia"/>
                      <w:bCs/>
                      <w:szCs w:val="21"/>
                    </w:rPr>
                    <w:t>雨天33.41，晴天37.41</w:t>
                  </w:r>
                </w:p>
              </w:tc>
              <w:tc>
                <w:tcPr>
                  <w:tcW w:w="1356" w:type="dxa"/>
                  <w:tcBorders>
                    <w:top w:val="single" w:color="auto" w:sz="4" w:space="0"/>
                    <w:left w:val="single" w:color="auto" w:sz="4" w:space="0"/>
                    <w:right w:val="single" w:color="auto" w:sz="4" w:space="0"/>
                  </w:tcBorders>
                  <w:vAlign w:val="center"/>
                </w:tcPr>
                <w:p w14:paraId="71896F9F">
                  <w:pPr>
                    <w:jc w:val="center"/>
                    <w:rPr>
                      <w:rFonts w:eastAsiaTheme="minorEastAsia"/>
                      <w:bCs/>
                      <w:szCs w:val="21"/>
                    </w:rPr>
                  </w:pPr>
                  <w:r>
                    <w:rPr>
                      <w:rFonts w:hint="eastAsia" w:eastAsiaTheme="minorEastAsia"/>
                      <w:bCs/>
                      <w:szCs w:val="21"/>
                    </w:rPr>
                    <w:t>8744</w:t>
                  </w:r>
                </w:p>
              </w:tc>
              <w:tc>
                <w:tcPr>
                  <w:tcW w:w="1450" w:type="dxa"/>
                  <w:tcBorders>
                    <w:top w:val="single" w:color="auto" w:sz="4" w:space="0"/>
                    <w:left w:val="single" w:color="auto" w:sz="4" w:space="0"/>
                    <w:right w:val="single" w:color="auto" w:sz="4" w:space="0"/>
                  </w:tcBorders>
                  <w:vAlign w:val="center"/>
                </w:tcPr>
                <w:p w14:paraId="78CC353A">
                  <w:pPr>
                    <w:jc w:val="center"/>
                    <w:rPr>
                      <w:rFonts w:eastAsiaTheme="minorEastAsia"/>
                      <w:bCs/>
                      <w:szCs w:val="21"/>
                    </w:rPr>
                  </w:pPr>
                  <w:r>
                    <w:rPr>
                      <w:rFonts w:hint="eastAsia" w:eastAsiaTheme="minorEastAsia"/>
                      <w:bCs/>
                      <w:szCs w:val="21"/>
                    </w:rPr>
                    <w:t>0.304</w:t>
                  </w:r>
                </w:p>
              </w:tc>
              <w:tc>
                <w:tcPr>
                  <w:tcW w:w="1214" w:type="dxa"/>
                  <w:tcBorders>
                    <w:top w:val="single" w:color="auto" w:sz="4" w:space="0"/>
                    <w:left w:val="single" w:color="auto" w:sz="4" w:space="0"/>
                    <w:bottom w:val="single" w:color="auto" w:sz="4" w:space="0"/>
                    <w:right w:val="single" w:color="auto" w:sz="4" w:space="0"/>
                  </w:tcBorders>
                  <w:vAlign w:val="center"/>
                </w:tcPr>
                <w:p w14:paraId="41C4999C">
                  <w:pPr>
                    <w:jc w:val="center"/>
                    <w:rPr>
                      <w:rFonts w:eastAsiaTheme="minorEastAsia"/>
                      <w:bCs/>
                      <w:szCs w:val="21"/>
                    </w:rPr>
                  </w:pPr>
                  <w:r>
                    <w:rPr>
                      <w:rFonts w:hint="eastAsia" w:eastAsiaTheme="minorEastAsia"/>
                      <w:bCs/>
                      <w:szCs w:val="21"/>
                    </w:rPr>
                    <w:t>91.2</w:t>
                  </w:r>
                </w:p>
              </w:tc>
            </w:tr>
          </w:tbl>
          <w:p w14:paraId="0101B6B8">
            <w:pPr>
              <w:rPr>
                <w:rFonts w:eastAsiaTheme="minorEastAsia"/>
              </w:rPr>
            </w:pPr>
            <w:r>
              <w:rPr>
                <w:rFonts w:hint="eastAsia" w:eastAsiaTheme="minorEastAsia"/>
              </w:rPr>
              <w:object>
                <v:shape id="_x0000_i1026" o:spt="75" type="#_x0000_t75" style="height:154.9pt;width:351.25pt;" o:ole="t" filled="f" o:preferrelative="t" stroked="f" coordsize="21600,21600">
                  <v:path/>
                  <v:fill on="f" focussize="0,0"/>
                  <v:stroke on="f" joinstyle="miter"/>
                  <v:imagedata r:id="rId15" o:title=""/>
                  <o:lock v:ext="edit" aspectratio="f"/>
                  <w10:wrap type="none"/>
                  <w10:anchorlock/>
                </v:shape>
                <o:OLEObject Type="Embed" ProgID="Visio.Drawing.11" ShapeID="_x0000_i1026" DrawAspect="Content" ObjectID="_1468075726" r:id="rId14">
                  <o:LockedField>false</o:LockedField>
                </o:OLEObject>
              </w:object>
            </w:r>
          </w:p>
          <w:p w14:paraId="7CA219E9">
            <w:pPr>
              <w:rPr>
                <w:rFonts w:eastAsiaTheme="minorEastAsia"/>
              </w:rPr>
            </w:pPr>
          </w:p>
          <w:p w14:paraId="34531CEB">
            <w:pPr>
              <w:jc w:val="center"/>
              <w:rPr>
                <w:rFonts w:eastAsiaTheme="minorEastAsia"/>
                <w:b/>
                <w:iCs/>
                <w:szCs w:val="21"/>
              </w:rPr>
            </w:pPr>
            <w:r>
              <w:rPr>
                <w:rFonts w:eastAsiaTheme="minorEastAsia"/>
                <w:b/>
                <w:iCs/>
                <w:szCs w:val="21"/>
              </w:rPr>
              <w:t>图</w:t>
            </w:r>
            <w:r>
              <w:rPr>
                <w:rFonts w:hint="eastAsia" w:eastAsiaTheme="minorEastAsia"/>
                <w:b/>
                <w:iCs/>
                <w:szCs w:val="21"/>
              </w:rPr>
              <w:t>2</w:t>
            </w:r>
            <w:r>
              <w:rPr>
                <w:rFonts w:eastAsiaTheme="minorEastAsia"/>
                <w:b/>
                <w:iCs/>
                <w:szCs w:val="21"/>
              </w:rPr>
              <w:t>-</w:t>
            </w:r>
            <w:r>
              <w:rPr>
                <w:rFonts w:hint="eastAsia" w:eastAsiaTheme="minorEastAsia"/>
                <w:b/>
                <w:iCs/>
                <w:szCs w:val="21"/>
              </w:rPr>
              <w:t>3</w:t>
            </w:r>
            <w:r>
              <w:rPr>
                <w:rFonts w:eastAsiaTheme="minorEastAsia"/>
                <w:b/>
                <w:iCs/>
                <w:szCs w:val="21"/>
              </w:rPr>
              <w:t xml:space="preserve"> 项目水量平衡图  单位：m</w:t>
            </w:r>
            <w:r>
              <w:rPr>
                <w:rFonts w:eastAsiaTheme="minorEastAsia"/>
                <w:b/>
                <w:iCs/>
                <w:szCs w:val="21"/>
                <w:vertAlign w:val="superscript"/>
              </w:rPr>
              <w:t>3</w:t>
            </w:r>
            <w:r>
              <w:rPr>
                <w:rFonts w:eastAsiaTheme="minorEastAsia"/>
                <w:b/>
                <w:iCs/>
                <w:szCs w:val="21"/>
              </w:rPr>
              <w:t>/</w:t>
            </w:r>
            <w:r>
              <w:rPr>
                <w:rFonts w:hint="eastAsia" w:eastAsiaTheme="minorEastAsia"/>
                <w:b/>
                <w:iCs/>
                <w:szCs w:val="21"/>
              </w:rPr>
              <w:t>d</w:t>
            </w:r>
          </w:p>
          <w:p w14:paraId="591123C5">
            <w:pPr>
              <w:adjustRightInd w:val="0"/>
              <w:snapToGrid w:val="0"/>
              <w:spacing w:line="360" w:lineRule="auto"/>
              <w:rPr>
                <w:b/>
                <w:sz w:val="24"/>
              </w:rPr>
            </w:pPr>
            <w:r>
              <w:rPr>
                <w:rFonts w:hint="eastAsia"/>
                <w:b/>
                <w:sz w:val="24"/>
              </w:rPr>
              <w:t>六</w:t>
            </w:r>
            <w:r>
              <w:rPr>
                <w:b/>
                <w:sz w:val="24"/>
              </w:rPr>
              <w:t>、劳动定员与工作制度</w:t>
            </w:r>
          </w:p>
          <w:p w14:paraId="296BEBD5">
            <w:pPr>
              <w:adjustRightInd w:val="0"/>
              <w:snapToGrid w:val="0"/>
              <w:spacing w:line="360" w:lineRule="auto"/>
              <w:ind w:firstLine="480" w:firstLineChars="200"/>
              <w:rPr>
                <w:bCs/>
                <w:sz w:val="24"/>
              </w:rPr>
            </w:pPr>
            <w:r>
              <w:rPr>
                <w:bCs/>
                <w:sz w:val="24"/>
              </w:rPr>
              <w:t>本项目劳动定员</w:t>
            </w:r>
            <w:r>
              <w:rPr>
                <w:rFonts w:hint="eastAsia"/>
                <w:bCs/>
                <w:sz w:val="24"/>
              </w:rPr>
              <w:t>10</w:t>
            </w:r>
            <w:r>
              <w:rPr>
                <w:bCs/>
                <w:sz w:val="24"/>
              </w:rPr>
              <w:t>人</w:t>
            </w:r>
            <w:r>
              <w:rPr>
                <w:rFonts w:hint="eastAsia"/>
                <w:bCs/>
                <w:sz w:val="24"/>
              </w:rPr>
              <w:t>，其中管理人员2人，员工8人，所有人员均不在厂区内食宿，依托</w:t>
            </w:r>
            <w:r>
              <w:rPr>
                <w:rFonts w:hint="eastAsia"/>
                <w:sz w:val="24"/>
              </w:rPr>
              <w:t>云南建工云岭水泥有限公司已建办公生活设施</w:t>
            </w:r>
            <w:r>
              <w:rPr>
                <w:bCs/>
                <w:sz w:val="24"/>
              </w:rPr>
              <w:t>。工作制度为</w:t>
            </w:r>
            <w:r>
              <w:rPr>
                <w:rFonts w:hint="eastAsia"/>
                <w:bCs/>
                <w:sz w:val="24"/>
              </w:rPr>
              <w:t>10</w:t>
            </w:r>
            <w:r>
              <w:rPr>
                <w:bCs/>
                <w:sz w:val="24"/>
              </w:rPr>
              <w:t>h/d，年工作时间300d。</w:t>
            </w:r>
          </w:p>
          <w:p w14:paraId="3C9CF23D">
            <w:pPr>
              <w:adjustRightInd w:val="0"/>
              <w:snapToGrid w:val="0"/>
              <w:spacing w:line="360" w:lineRule="auto"/>
              <w:rPr>
                <w:b/>
                <w:sz w:val="24"/>
              </w:rPr>
            </w:pPr>
            <w:r>
              <w:rPr>
                <w:rFonts w:hint="eastAsia"/>
                <w:b/>
                <w:sz w:val="24"/>
              </w:rPr>
              <w:t>七</w:t>
            </w:r>
            <w:r>
              <w:rPr>
                <w:b/>
                <w:sz w:val="24"/>
              </w:rPr>
              <w:t>、平面布置</w:t>
            </w:r>
          </w:p>
          <w:p w14:paraId="504456CC">
            <w:pPr>
              <w:adjustRightInd w:val="0"/>
              <w:snapToGrid w:val="0"/>
              <w:spacing w:line="360" w:lineRule="auto"/>
              <w:ind w:firstLine="480" w:firstLineChars="200"/>
              <w:rPr>
                <w:bCs/>
                <w:sz w:val="24"/>
              </w:rPr>
            </w:pPr>
            <w:r>
              <w:rPr>
                <w:bCs/>
                <w:sz w:val="24"/>
              </w:rPr>
              <w:t>项目在</w:t>
            </w:r>
            <w:r>
              <w:rPr>
                <w:rFonts w:hint="eastAsia"/>
                <w:sz w:val="24"/>
              </w:rPr>
              <w:t>云南建工云岭水泥有限公司</w:t>
            </w:r>
            <w:r>
              <w:rPr>
                <w:rFonts w:hint="eastAsia"/>
                <w:bCs/>
                <w:sz w:val="24"/>
              </w:rPr>
              <w:t>现有的</w:t>
            </w:r>
            <w:r>
              <w:rPr>
                <w:bCs/>
                <w:sz w:val="24"/>
              </w:rPr>
              <w:t>厂区内建设，</w:t>
            </w:r>
            <w:r>
              <w:rPr>
                <w:rFonts w:hint="eastAsia"/>
                <w:bCs/>
                <w:sz w:val="24"/>
              </w:rPr>
              <w:t>租用</w:t>
            </w:r>
            <w:r>
              <w:rPr>
                <w:rFonts w:hint="eastAsia"/>
                <w:sz w:val="24"/>
              </w:rPr>
              <w:t>2幢已建的生产厂房利旧改造后进行生产，西侧厂房建筑面积3024</w:t>
            </w:r>
            <w:r>
              <w:rPr>
                <w:sz w:val="24"/>
              </w:rPr>
              <w:t>m</w:t>
            </w:r>
            <w:r>
              <w:rPr>
                <w:sz w:val="24"/>
                <w:vertAlign w:val="superscript"/>
              </w:rPr>
              <w:t>2</w:t>
            </w:r>
            <w:r>
              <w:rPr>
                <w:rFonts w:hint="eastAsia"/>
                <w:sz w:val="24"/>
              </w:rPr>
              <w:t>，东侧厂房建筑面积990</w:t>
            </w:r>
            <w:r>
              <w:rPr>
                <w:sz w:val="24"/>
              </w:rPr>
              <w:t>m</w:t>
            </w:r>
            <w:r>
              <w:rPr>
                <w:sz w:val="24"/>
                <w:vertAlign w:val="superscript"/>
              </w:rPr>
              <w:t>2</w:t>
            </w:r>
            <w:r>
              <w:rPr>
                <w:rFonts w:hint="eastAsia"/>
                <w:sz w:val="24"/>
              </w:rPr>
              <w:t>。西侧厂房由西至东分别为原料库、拌合区、发酵区，东侧厂房由北至南分别为混合区、包装区、车辆周转区和成品库，每幢厂房内均设置有出入口与现有厂区道路相连，</w:t>
            </w:r>
            <w:r>
              <w:rPr>
                <w:rFonts w:hint="eastAsia"/>
                <w:bCs/>
                <w:sz w:val="24"/>
              </w:rPr>
              <w:t>方便运输。原料库及成品库均设置于运输道路两侧，分区设置，加工工序按照生产流程顺序进行布置，方便生产。</w:t>
            </w:r>
          </w:p>
          <w:p w14:paraId="7233C41D">
            <w:pPr>
              <w:adjustRightInd w:val="0"/>
              <w:snapToGrid w:val="0"/>
              <w:spacing w:line="360" w:lineRule="auto"/>
              <w:ind w:firstLine="480" w:firstLineChars="200"/>
              <w:rPr>
                <w:bCs/>
                <w:sz w:val="24"/>
              </w:rPr>
            </w:pPr>
            <w:r>
              <w:rPr>
                <w:rFonts w:hint="eastAsia"/>
                <w:bCs/>
                <w:sz w:val="24"/>
              </w:rPr>
              <w:t>本项目不设置办公生活区，依托云南建工云岭水泥有限公司已建的配套设施，位于项目东区生产厂房的东面150m处，位于项目区的侧风向；项目区最近的散户距离项目边界大于200m，减少对保护目标的影响，因此，项目平面布局较为合理。项目</w:t>
            </w:r>
            <w:r>
              <w:rPr>
                <w:bCs/>
                <w:sz w:val="24"/>
              </w:rPr>
              <w:t>平面布置图详见附图</w:t>
            </w:r>
            <w:r>
              <w:rPr>
                <w:rFonts w:hint="eastAsia"/>
                <w:bCs/>
                <w:sz w:val="24"/>
              </w:rPr>
              <w:t>3-1</w:t>
            </w:r>
            <w:r>
              <w:rPr>
                <w:bCs/>
                <w:sz w:val="24"/>
              </w:rPr>
              <w:t>。</w:t>
            </w:r>
          </w:p>
          <w:p w14:paraId="383A787A">
            <w:pPr>
              <w:adjustRightInd w:val="0"/>
              <w:snapToGrid w:val="0"/>
              <w:spacing w:line="360" w:lineRule="auto"/>
              <w:rPr>
                <w:b/>
                <w:sz w:val="24"/>
              </w:rPr>
            </w:pPr>
            <w:r>
              <w:rPr>
                <w:rFonts w:hint="eastAsia"/>
                <w:b/>
                <w:sz w:val="24"/>
              </w:rPr>
              <w:t>八</w:t>
            </w:r>
            <w:r>
              <w:rPr>
                <w:b/>
                <w:sz w:val="24"/>
              </w:rPr>
              <w:t>、环保投资</w:t>
            </w:r>
          </w:p>
          <w:p w14:paraId="316AD7A5">
            <w:pPr>
              <w:adjustRightInd w:val="0"/>
              <w:snapToGrid w:val="0"/>
              <w:spacing w:line="360" w:lineRule="auto"/>
              <w:ind w:right="57" w:firstLine="480" w:firstLineChars="200"/>
              <w:rPr>
                <w:snapToGrid w:val="0"/>
                <w:kern w:val="0"/>
                <w:sz w:val="24"/>
              </w:rPr>
            </w:pPr>
            <w:r>
              <w:rPr>
                <w:snapToGrid w:val="0"/>
                <w:kern w:val="0"/>
                <w:sz w:val="24"/>
              </w:rPr>
              <w:t>本项目总投资为</w:t>
            </w:r>
            <w:r>
              <w:rPr>
                <w:rFonts w:hint="eastAsia"/>
                <w:sz w:val="24"/>
              </w:rPr>
              <w:t>663</w:t>
            </w:r>
            <w:r>
              <w:rPr>
                <w:sz w:val="24"/>
              </w:rPr>
              <w:t>万元</w:t>
            </w:r>
            <w:r>
              <w:rPr>
                <w:snapToGrid w:val="0"/>
                <w:kern w:val="0"/>
                <w:sz w:val="24"/>
              </w:rPr>
              <w:t>，资金由建设单位自筹，其中环保投资约为</w:t>
            </w:r>
            <w:r>
              <w:rPr>
                <w:rFonts w:hint="eastAsia"/>
                <w:snapToGrid w:val="0"/>
                <w:kern w:val="0"/>
                <w:sz w:val="24"/>
              </w:rPr>
              <w:t>47.05</w:t>
            </w:r>
            <w:r>
              <w:rPr>
                <w:snapToGrid w:val="0"/>
                <w:kern w:val="0"/>
                <w:sz w:val="24"/>
              </w:rPr>
              <w:t>万元，占总投资的</w:t>
            </w:r>
            <w:r>
              <w:rPr>
                <w:rFonts w:hint="eastAsia"/>
                <w:snapToGrid w:val="0"/>
                <w:kern w:val="0"/>
                <w:sz w:val="24"/>
              </w:rPr>
              <w:t>7.1</w:t>
            </w:r>
            <w:r>
              <w:rPr>
                <w:snapToGrid w:val="0"/>
                <w:kern w:val="0"/>
                <w:sz w:val="24"/>
              </w:rPr>
              <w:t>%。环保投资见表2-</w:t>
            </w:r>
            <w:r>
              <w:rPr>
                <w:rFonts w:hint="eastAsia"/>
                <w:snapToGrid w:val="0"/>
                <w:kern w:val="0"/>
                <w:sz w:val="24"/>
              </w:rPr>
              <w:t>17</w:t>
            </w:r>
            <w:r>
              <w:rPr>
                <w:snapToGrid w:val="0"/>
                <w:kern w:val="0"/>
                <w:sz w:val="24"/>
              </w:rPr>
              <w:t>所示。</w:t>
            </w:r>
          </w:p>
          <w:p w14:paraId="4609DBAF">
            <w:pPr>
              <w:jc w:val="center"/>
              <w:rPr>
                <w:bCs/>
                <w:szCs w:val="21"/>
              </w:rPr>
            </w:pPr>
            <w:r>
              <w:rPr>
                <w:b/>
                <w:bCs/>
                <w:snapToGrid w:val="0"/>
                <w:kern w:val="0"/>
                <w:szCs w:val="21"/>
              </w:rPr>
              <w:t>表2-</w:t>
            </w:r>
            <w:r>
              <w:rPr>
                <w:rFonts w:hint="eastAsia"/>
                <w:b/>
                <w:bCs/>
                <w:snapToGrid w:val="0"/>
                <w:kern w:val="0"/>
                <w:szCs w:val="21"/>
              </w:rPr>
              <w:t>17</w:t>
            </w:r>
            <w:r>
              <w:rPr>
                <w:b/>
                <w:bCs/>
                <w:snapToGrid w:val="0"/>
                <w:kern w:val="0"/>
                <w:szCs w:val="21"/>
              </w:rPr>
              <w:t xml:space="preserve">  项目环保投资一览</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1"/>
              <w:gridCol w:w="808"/>
              <w:gridCol w:w="1065"/>
              <w:gridCol w:w="3349"/>
              <w:gridCol w:w="1419"/>
              <w:gridCol w:w="873"/>
            </w:tblGrid>
            <w:tr w14:paraId="7866D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74" w:type="pct"/>
                  <w:gridSpan w:val="2"/>
                  <w:vAlign w:val="center"/>
                </w:tcPr>
                <w:p w14:paraId="52A11989">
                  <w:pPr>
                    <w:pStyle w:val="55"/>
                    <w:jc w:val="center"/>
                    <w:rPr>
                      <w:rFonts w:eastAsiaTheme="minorEastAsia"/>
                      <w:szCs w:val="21"/>
                      <w:lang w:eastAsia="zh-CN"/>
                    </w:rPr>
                  </w:pPr>
                  <w:r>
                    <w:rPr>
                      <w:rFonts w:eastAsiaTheme="minorEastAsia"/>
                      <w:szCs w:val="21"/>
                      <w:lang w:eastAsia="zh-CN"/>
                    </w:rPr>
                    <w:t>项目</w:t>
                  </w:r>
                </w:p>
              </w:tc>
              <w:tc>
                <w:tcPr>
                  <w:tcW w:w="2781" w:type="pct"/>
                  <w:gridSpan w:val="2"/>
                  <w:vAlign w:val="center"/>
                </w:tcPr>
                <w:p w14:paraId="5F0F7587">
                  <w:pPr>
                    <w:pStyle w:val="55"/>
                    <w:jc w:val="center"/>
                    <w:rPr>
                      <w:rFonts w:eastAsiaTheme="minorEastAsia"/>
                      <w:szCs w:val="21"/>
                      <w:lang w:eastAsia="zh-CN"/>
                    </w:rPr>
                  </w:pPr>
                  <w:r>
                    <w:rPr>
                      <w:rFonts w:eastAsiaTheme="minorEastAsia"/>
                      <w:szCs w:val="21"/>
                      <w:lang w:eastAsia="zh-CN"/>
                    </w:rPr>
                    <w:t>环保</w:t>
                  </w:r>
                  <w:r>
                    <w:rPr>
                      <w:rFonts w:eastAsiaTheme="minorEastAsia"/>
                      <w:spacing w:val="-3"/>
                      <w:szCs w:val="21"/>
                      <w:lang w:eastAsia="zh-CN"/>
                    </w:rPr>
                    <w:t>措</w:t>
                  </w:r>
                  <w:r>
                    <w:rPr>
                      <w:rFonts w:eastAsiaTheme="minorEastAsia"/>
                      <w:szCs w:val="21"/>
                      <w:lang w:eastAsia="zh-CN"/>
                    </w:rPr>
                    <w:t>施</w:t>
                  </w:r>
                </w:p>
              </w:tc>
              <w:tc>
                <w:tcPr>
                  <w:tcW w:w="892" w:type="pct"/>
                  <w:vAlign w:val="center"/>
                </w:tcPr>
                <w:p w14:paraId="3D1A363D">
                  <w:pPr>
                    <w:pStyle w:val="55"/>
                    <w:jc w:val="center"/>
                    <w:rPr>
                      <w:rFonts w:eastAsiaTheme="minorEastAsia"/>
                      <w:szCs w:val="21"/>
                      <w:lang w:eastAsia="zh-CN"/>
                    </w:rPr>
                  </w:pPr>
                  <w:r>
                    <w:rPr>
                      <w:rFonts w:eastAsiaTheme="minorEastAsia"/>
                      <w:szCs w:val="21"/>
                      <w:lang w:eastAsia="zh-CN"/>
                    </w:rPr>
                    <w:t>规模</w:t>
                  </w:r>
                </w:p>
              </w:tc>
              <w:tc>
                <w:tcPr>
                  <w:tcW w:w="550" w:type="pct"/>
                  <w:vAlign w:val="center"/>
                </w:tcPr>
                <w:p w14:paraId="37F7EDA9">
                  <w:pPr>
                    <w:pStyle w:val="55"/>
                    <w:jc w:val="center"/>
                    <w:rPr>
                      <w:rFonts w:eastAsiaTheme="minorEastAsia"/>
                      <w:szCs w:val="21"/>
                      <w:lang w:eastAsia="zh-CN"/>
                    </w:rPr>
                  </w:pPr>
                  <w:r>
                    <w:rPr>
                      <w:rFonts w:eastAsiaTheme="minorEastAsia"/>
                      <w:szCs w:val="21"/>
                      <w:lang w:eastAsia="zh-CN"/>
                    </w:rPr>
                    <w:t>投资</w:t>
                  </w:r>
                  <w:r>
                    <w:rPr>
                      <w:rFonts w:hint="eastAsia" w:eastAsiaTheme="minorEastAsia"/>
                      <w:szCs w:val="21"/>
                      <w:lang w:eastAsia="zh-CN"/>
                    </w:rPr>
                    <w:t>（万）</w:t>
                  </w:r>
                </w:p>
              </w:tc>
            </w:tr>
            <w:tr w14:paraId="11F22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265" w:type="pct"/>
                  <w:vMerge w:val="restart"/>
                  <w:vAlign w:val="center"/>
                </w:tcPr>
                <w:p w14:paraId="45BA6E91">
                  <w:pPr>
                    <w:pStyle w:val="63"/>
                    <w:rPr>
                      <w:rFonts w:ascii="Times New Roman" w:hAnsi="Times New Roman" w:eastAsiaTheme="minorEastAsia"/>
                      <w:sz w:val="21"/>
                      <w:szCs w:val="21"/>
                    </w:rPr>
                  </w:pPr>
                  <w:r>
                    <w:rPr>
                      <w:rFonts w:ascii="Times New Roman" w:hAnsi="Times New Roman" w:eastAsiaTheme="minorEastAsia"/>
                      <w:sz w:val="21"/>
                      <w:szCs w:val="21"/>
                    </w:rPr>
                    <w:t>施工期</w:t>
                  </w:r>
                </w:p>
              </w:tc>
              <w:tc>
                <w:tcPr>
                  <w:tcW w:w="508" w:type="pct"/>
                  <w:vMerge w:val="restart"/>
                  <w:vAlign w:val="center"/>
                </w:tcPr>
                <w:p w14:paraId="40DDD87A">
                  <w:pPr>
                    <w:pStyle w:val="63"/>
                    <w:rPr>
                      <w:rFonts w:ascii="Times New Roman" w:hAnsi="Times New Roman" w:eastAsiaTheme="minorEastAsia"/>
                      <w:sz w:val="21"/>
                      <w:szCs w:val="21"/>
                    </w:rPr>
                  </w:pPr>
                  <w:r>
                    <w:rPr>
                      <w:rFonts w:ascii="Times New Roman" w:hAnsi="Times New Roman" w:eastAsiaTheme="minorEastAsia"/>
                      <w:sz w:val="21"/>
                      <w:szCs w:val="21"/>
                    </w:rPr>
                    <w:t>废水</w:t>
                  </w:r>
                </w:p>
              </w:tc>
              <w:tc>
                <w:tcPr>
                  <w:tcW w:w="2781" w:type="pct"/>
                  <w:gridSpan w:val="2"/>
                  <w:vAlign w:val="center"/>
                </w:tcPr>
                <w:p w14:paraId="4D85A709">
                  <w:pPr>
                    <w:pStyle w:val="55"/>
                    <w:jc w:val="center"/>
                    <w:rPr>
                      <w:rFonts w:eastAsiaTheme="minorEastAsia"/>
                      <w:szCs w:val="21"/>
                      <w:lang w:eastAsia="zh-CN"/>
                    </w:rPr>
                  </w:pPr>
                  <w:r>
                    <w:rPr>
                      <w:rFonts w:eastAsiaTheme="minorEastAsia"/>
                      <w:szCs w:val="21"/>
                      <w:lang w:eastAsia="zh-CN"/>
                    </w:rPr>
                    <w:t>施工废水收集池</w:t>
                  </w:r>
                </w:p>
              </w:tc>
              <w:tc>
                <w:tcPr>
                  <w:tcW w:w="892" w:type="pct"/>
                  <w:vAlign w:val="center"/>
                </w:tcPr>
                <w:p w14:paraId="46EA466A">
                  <w:pPr>
                    <w:pStyle w:val="63"/>
                    <w:rPr>
                      <w:rFonts w:ascii="Times New Roman" w:hAnsi="Times New Roman" w:eastAsiaTheme="minorEastAsia"/>
                      <w:b/>
                      <w:sz w:val="21"/>
                      <w:szCs w:val="21"/>
                    </w:rPr>
                  </w:pPr>
                  <w:r>
                    <w:rPr>
                      <w:rFonts w:ascii="Times New Roman" w:hAnsi="Times New Roman" w:eastAsiaTheme="minorEastAsia"/>
                      <w:sz w:val="21"/>
                      <w:szCs w:val="21"/>
                    </w:rPr>
                    <w:t>1个，1m</w:t>
                  </w:r>
                  <w:r>
                    <w:rPr>
                      <w:rFonts w:ascii="Times New Roman" w:hAnsi="Times New Roman" w:eastAsiaTheme="minorEastAsia"/>
                      <w:sz w:val="21"/>
                      <w:szCs w:val="21"/>
                      <w:vertAlign w:val="superscript"/>
                    </w:rPr>
                    <w:t>3</w:t>
                  </w:r>
                </w:p>
              </w:tc>
              <w:tc>
                <w:tcPr>
                  <w:tcW w:w="550" w:type="pct"/>
                  <w:vAlign w:val="center"/>
                </w:tcPr>
                <w:p w14:paraId="5FA6F148">
                  <w:pPr>
                    <w:pStyle w:val="63"/>
                    <w:rPr>
                      <w:rFonts w:ascii="Times New Roman" w:hAnsi="Times New Roman" w:eastAsiaTheme="minorEastAsia"/>
                      <w:sz w:val="21"/>
                      <w:szCs w:val="21"/>
                    </w:rPr>
                  </w:pPr>
                  <w:r>
                    <w:rPr>
                      <w:rFonts w:ascii="Times New Roman" w:hAnsi="Times New Roman" w:eastAsiaTheme="minorEastAsia"/>
                      <w:sz w:val="21"/>
                      <w:szCs w:val="21"/>
                    </w:rPr>
                    <w:t>0.2</w:t>
                  </w:r>
                </w:p>
              </w:tc>
            </w:tr>
            <w:tr w14:paraId="7B288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6C9EB9E6">
                  <w:pPr>
                    <w:pStyle w:val="63"/>
                    <w:rPr>
                      <w:rFonts w:ascii="Times New Roman" w:hAnsi="Times New Roman" w:eastAsiaTheme="minorEastAsia"/>
                      <w:b/>
                      <w:sz w:val="21"/>
                      <w:szCs w:val="21"/>
                    </w:rPr>
                  </w:pPr>
                </w:p>
              </w:tc>
              <w:tc>
                <w:tcPr>
                  <w:tcW w:w="508" w:type="pct"/>
                  <w:vMerge w:val="restart"/>
                  <w:vAlign w:val="center"/>
                </w:tcPr>
                <w:p w14:paraId="50866586">
                  <w:pPr>
                    <w:jc w:val="center"/>
                    <w:rPr>
                      <w:rFonts w:eastAsiaTheme="minorEastAsia"/>
                      <w:kern w:val="0"/>
                      <w:lang w:eastAsia="en-US"/>
                    </w:rPr>
                  </w:pPr>
                  <w:r>
                    <w:rPr>
                      <w:rFonts w:eastAsiaTheme="minorEastAsia"/>
                      <w:kern w:val="0"/>
                      <w:lang w:eastAsia="en-US"/>
                    </w:rPr>
                    <w:t>废气</w:t>
                  </w:r>
                </w:p>
              </w:tc>
              <w:tc>
                <w:tcPr>
                  <w:tcW w:w="2781" w:type="pct"/>
                  <w:gridSpan w:val="2"/>
                  <w:vAlign w:val="center"/>
                </w:tcPr>
                <w:p w14:paraId="47D64058">
                  <w:pPr>
                    <w:jc w:val="center"/>
                    <w:rPr>
                      <w:rFonts w:eastAsiaTheme="minorEastAsia"/>
                      <w:kern w:val="0"/>
                      <w:lang w:eastAsia="en-US"/>
                    </w:rPr>
                  </w:pPr>
                  <w:r>
                    <w:rPr>
                      <w:rFonts w:eastAsiaTheme="minorEastAsia"/>
                      <w:kern w:val="0"/>
                      <w:lang w:eastAsia="en-US"/>
                    </w:rPr>
                    <w:t>施工场地洒水设施</w:t>
                  </w:r>
                </w:p>
              </w:tc>
              <w:tc>
                <w:tcPr>
                  <w:tcW w:w="892" w:type="pct"/>
                  <w:vAlign w:val="center"/>
                </w:tcPr>
                <w:p w14:paraId="568A07E8">
                  <w:pPr>
                    <w:jc w:val="center"/>
                    <w:rPr>
                      <w:rFonts w:eastAsiaTheme="minorEastAsia"/>
                      <w:kern w:val="0"/>
                    </w:rPr>
                  </w:pPr>
                  <w:r>
                    <w:rPr>
                      <w:rFonts w:eastAsiaTheme="minorEastAsia"/>
                      <w:kern w:val="0"/>
                    </w:rPr>
                    <w:t>/</w:t>
                  </w:r>
                </w:p>
              </w:tc>
              <w:tc>
                <w:tcPr>
                  <w:tcW w:w="550" w:type="pct"/>
                  <w:vAlign w:val="center"/>
                </w:tcPr>
                <w:p w14:paraId="59167D91">
                  <w:pPr>
                    <w:pStyle w:val="63"/>
                    <w:rPr>
                      <w:rFonts w:ascii="Times New Roman" w:hAnsi="Times New Roman" w:eastAsiaTheme="minorEastAsia"/>
                      <w:sz w:val="21"/>
                      <w:szCs w:val="21"/>
                    </w:rPr>
                  </w:pPr>
                  <w:r>
                    <w:rPr>
                      <w:rFonts w:ascii="Times New Roman" w:hAnsi="Times New Roman" w:eastAsiaTheme="minorEastAsia"/>
                      <w:sz w:val="21"/>
                      <w:szCs w:val="21"/>
                    </w:rPr>
                    <w:t>1</w:t>
                  </w:r>
                </w:p>
              </w:tc>
            </w:tr>
            <w:tr w14:paraId="1A889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4FBB5A7A">
                  <w:pPr>
                    <w:pStyle w:val="63"/>
                    <w:rPr>
                      <w:rFonts w:ascii="Times New Roman" w:hAnsi="Times New Roman" w:eastAsiaTheme="minorEastAsia"/>
                      <w:b/>
                      <w:sz w:val="21"/>
                      <w:szCs w:val="21"/>
                    </w:rPr>
                  </w:pPr>
                </w:p>
              </w:tc>
              <w:tc>
                <w:tcPr>
                  <w:tcW w:w="508" w:type="pct"/>
                  <w:vMerge w:val="continue"/>
                  <w:vAlign w:val="center"/>
                </w:tcPr>
                <w:p w14:paraId="4D4C6313">
                  <w:pPr>
                    <w:pStyle w:val="55"/>
                    <w:jc w:val="center"/>
                    <w:rPr>
                      <w:rFonts w:eastAsiaTheme="minorEastAsia"/>
                      <w:szCs w:val="21"/>
                    </w:rPr>
                  </w:pPr>
                </w:p>
              </w:tc>
              <w:tc>
                <w:tcPr>
                  <w:tcW w:w="2781" w:type="pct"/>
                  <w:gridSpan w:val="2"/>
                  <w:vAlign w:val="center"/>
                </w:tcPr>
                <w:p w14:paraId="5E5E5454">
                  <w:pPr>
                    <w:pStyle w:val="55"/>
                    <w:jc w:val="center"/>
                    <w:rPr>
                      <w:rFonts w:eastAsiaTheme="minorEastAsia"/>
                      <w:szCs w:val="21"/>
                    </w:rPr>
                  </w:pPr>
                  <w:r>
                    <w:rPr>
                      <w:rFonts w:eastAsiaTheme="minorEastAsia"/>
                      <w:szCs w:val="21"/>
                    </w:rPr>
                    <w:t>帷幕遮挡</w:t>
                  </w:r>
                </w:p>
              </w:tc>
              <w:tc>
                <w:tcPr>
                  <w:tcW w:w="892" w:type="pct"/>
                  <w:vAlign w:val="center"/>
                </w:tcPr>
                <w:p w14:paraId="47135E86">
                  <w:pPr>
                    <w:jc w:val="center"/>
                    <w:rPr>
                      <w:rFonts w:eastAsiaTheme="minorEastAsia"/>
                      <w:kern w:val="0"/>
                    </w:rPr>
                  </w:pPr>
                  <w:r>
                    <w:rPr>
                      <w:rFonts w:eastAsiaTheme="minorEastAsia"/>
                      <w:kern w:val="0"/>
                    </w:rPr>
                    <w:t>/</w:t>
                  </w:r>
                </w:p>
              </w:tc>
              <w:tc>
                <w:tcPr>
                  <w:tcW w:w="550" w:type="pct"/>
                  <w:vAlign w:val="center"/>
                </w:tcPr>
                <w:p w14:paraId="565E7CEB">
                  <w:pPr>
                    <w:pStyle w:val="63"/>
                    <w:rPr>
                      <w:rFonts w:ascii="Times New Roman" w:hAnsi="Times New Roman" w:eastAsiaTheme="minorEastAsia"/>
                      <w:sz w:val="21"/>
                      <w:szCs w:val="21"/>
                    </w:rPr>
                  </w:pPr>
                  <w:r>
                    <w:rPr>
                      <w:rFonts w:ascii="Times New Roman" w:hAnsi="Times New Roman" w:eastAsiaTheme="minorEastAsia"/>
                      <w:sz w:val="21"/>
                      <w:szCs w:val="21"/>
                    </w:rPr>
                    <w:t>1</w:t>
                  </w:r>
                </w:p>
              </w:tc>
            </w:tr>
            <w:tr w14:paraId="22453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BCB1905">
                  <w:pPr>
                    <w:pStyle w:val="63"/>
                    <w:rPr>
                      <w:rFonts w:ascii="Times New Roman" w:hAnsi="Times New Roman" w:eastAsiaTheme="minorEastAsia"/>
                      <w:b/>
                      <w:sz w:val="21"/>
                      <w:szCs w:val="21"/>
                    </w:rPr>
                  </w:pPr>
                </w:p>
              </w:tc>
              <w:tc>
                <w:tcPr>
                  <w:tcW w:w="508" w:type="pct"/>
                  <w:vMerge w:val="restart"/>
                  <w:vAlign w:val="center"/>
                </w:tcPr>
                <w:p w14:paraId="63D54119">
                  <w:pPr>
                    <w:pStyle w:val="55"/>
                    <w:jc w:val="center"/>
                    <w:rPr>
                      <w:rFonts w:eastAsiaTheme="minorEastAsia"/>
                      <w:szCs w:val="21"/>
                    </w:rPr>
                  </w:pPr>
                  <w:r>
                    <w:rPr>
                      <w:rFonts w:eastAsiaTheme="minorEastAsia"/>
                      <w:szCs w:val="21"/>
                    </w:rPr>
                    <w:t>固</w:t>
                  </w:r>
                  <w:r>
                    <w:rPr>
                      <w:rFonts w:eastAsiaTheme="minorEastAsia"/>
                      <w:spacing w:val="-3"/>
                      <w:szCs w:val="21"/>
                    </w:rPr>
                    <w:t>废</w:t>
                  </w:r>
                </w:p>
              </w:tc>
              <w:tc>
                <w:tcPr>
                  <w:tcW w:w="2781" w:type="pct"/>
                  <w:gridSpan w:val="2"/>
                  <w:vAlign w:val="center"/>
                </w:tcPr>
                <w:p w14:paraId="77F8D55D">
                  <w:pPr>
                    <w:pStyle w:val="55"/>
                    <w:jc w:val="center"/>
                    <w:rPr>
                      <w:rFonts w:eastAsiaTheme="minorEastAsia"/>
                      <w:szCs w:val="21"/>
                    </w:rPr>
                  </w:pPr>
                  <w:r>
                    <w:rPr>
                      <w:rFonts w:eastAsiaTheme="minorEastAsia"/>
                      <w:szCs w:val="21"/>
                    </w:rPr>
                    <w:t>垃圾桶</w:t>
                  </w:r>
                </w:p>
              </w:tc>
              <w:tc>
                <w:tcPr>
                  <w:tcW w:w="892" w:type="pct"/>
                </w:tcPr>
                <w:p w14:paraId="676B6BF0">
                  <w:pPr>
                    <w:pStyle w:val="55"/>
                    <w:spacing w:before="67"/>
                    <w:ind w:left="2"/>
                    <w:jc w:val="center"/>
                    <w:rPr>
                      <w:rFonts w:eastAsiaTheme="minorEastAsia"/>
                      <w:szCs w:val="21"/>
                      <w:lang w:eastAsia="zh-CN"/>
                    </w:rPr>
                  </w:pPr>
                  <w:r>
                    <w:rPr>
                      <w:rFonts w:eastAsiaTheme="minorEastAsia"/>
                      <w:szCs w:val="21"/>
                      <w:lang w:eastAsia="zh-CN"/>
                    </w:rPr>
                    <w:t>/</w:t>
                  </w:r>
                </w:p>
              </w:tc>
              <w:tc>
                <w:tcPr>
                  <w:tcW w:w="550" w:type="pct"/>
                  <w:vAlign w:val="center"/>
                </w:tcPr>
                <w:p w14:paraId="3BD84EBD">
                  <w:pPr>
                    <w:pStyle w:val="63"/>
                    <w:rPr>
                      <w:rFonts w:ascii="Times New Roman" w:hAnsi="Times New Roman" w:eastAsiaTheme="minorEastAsia"/>
                      <w:sz w:val="21"/>
                      <w:szCs w:val="21"/>
                    </w:rPr>
                  </w:pPr>
                  <w:r>
                    <w:rPr>
                      <w:rFonts w:ascii="Times New Roman" w:hAnsi="Times New Roman" w:eastAsiaTheme="minorEastAsia"/>
                      <w:sz w:val="21"/>
                      <w:szCs w:val="21"/>
                    </w:rPr>
                    <w:t>0.1</w:t>
                  </w:r>
                </w:p>
              </w:tc>
            </w:tr>
            <w:tr w14:paraId="54B99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6C75F9BD">
                  <w:pPr>
                    <w:pStyle w:val="63"/>
                    <w:rPr>
                      <w:rFonts w:ascii="Times New Roman" w:hAnsi="Times New Roman" w:eastAsiaTheme="minorEastAsia"/>
                      <w:b/>
                      <w:sz w:val="21"/>
                      <w:szCs w:val="21"/>
                    </w:rPr>
                  </w:pPr>
                </w:p>
              </w:tc>
              <w:tc>
                <w:tcPr>
                  <w:tcW w:w="508" w:type="pct"/>
                  <w:vMerge w:val="continue"/>
                  <w:vAlign w:val="center"/>
                </w:tcPr>
                <w:p w14:paraId="45197272">
                  <w:pPr>
                    <w:pStyle w:val="55"/>
                    <w:jc w:val="center"/>
                    <w:rPr>
                      <w:rFonts w:eastAsiaTheme="minorEastAsia"/>
                      <w:szCs w:val="21"/>
                    </w:rPr>
                  </w:pPr>
                </w:p>
              </w:tc>
              <w:tc>
                <w:tcPr>
                  <w:tcW w:w="2781" w:type="pct"/>
                  <w:gridSpan w:val="2"/>
                  <w:vAlign w:val="center"/>
                </w:tcPr>
                <w:p w14:paraId="216EE734">
                  <w:pPr>
                    <w:pStyle w:val="55"/>
                    <w:jc w:val="center"/>
                    <w:rPr>
                      <w:rFonts w:eastAsiaTheme="minorEastAsia"/>
                      <w:szCs w:val="21"/>
                      <w:lang w:eastAsia="zh-CN"/>
                    </w:rPr>
                  </w:pPr>
                  <w:r>
                    <w:rPr>
                      <w:rFonts w:hint="eastAsia" w:eastAsiaTheme="minorEastAsia"/>
                      <w:szCs w:val="21"/>
                      <w:lang w:eastAsia="zh-CN"/>
                    </w:rPr>
                    <w:t>建筑垃圾清运费</w:t>
                  </w:r>
                </w:p>
              </w:tc>
              <w:tc>
                <w:tcPr>
                  <w:tcW w:w="892" w:type="pct"/>
                </w:tcPr>
                <w:p w14:paraId="1BF3984A">
                  <w:pPr>
                    <w:pStyle w:val="55"/>
                    <w:spacing w:before="67"/>
                    <w:ind w:left="2"/>
                    <w:jc w:val="center"/>
                    <w:rPr>
                      <w:rFonts w:eastAsiaTheme="minorEastAsia"/>
                      <w:szCs w:val="21"/>
                      <w:lang w:eastAsia="zh-CN"/>
                    </w:rPr>
                  </w:pPr>
                  <w:r>
                    <w:rPr>
                      <w:rFonts w:hint="eastAsia" w:eastAsiaTheme="minorEastAsia"/>
                      <w:szCs w:val="21"/>
                      <w:lang w:eastAsia="zh-CN"/>
                    </w:rPr>
                    <w:t>/</w:t>
                  </w:r>
                </w:p>
              </w:tc>
              <w:tc>
                <w:tcPr>
                  <w:tcW w:w="550" w:type="pct"/>
                  <w:vAlign w:val="center"/>
                </w:tcPr>
                <w:p w14:paraId="5ED72E71">
                  <w:pPr>
                    <w:pStyle w:val="63"/>
                    <w:rPr>
                      <w:rFonts w:ascii="Times New Roman" w:hAnsi="Times New Roman" w:eastAsiaTheme="minorEastAsia"/>
                      <w:sz w:val="21"/>
                      <w:szCs w:val="21"/>
                    </w:rPr>
                  </w:pPr>
                  <w:r>
                    <w:rPr>
                      <w:rFonts w:hint="eastAsia" w:ascii="Times New Roman" w:hAnsi="Times New Roman" w:eastAsiaTheme="minorEastAsia"/>
                      <w:sz w:val="21"/>
                      <w:szCs w:val="21"/>
                    </w:rPr>
                    <w:t>1.5</w:t>
                  </w:r>
                </w:p>
              </w:tc>
            </w:tr>
            <w:tr w14:paraId="21146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restart"/>
                  <w:vAlign w:val="center"/>
                </w:tcPr>
                <w:p w14:paraId="388CE8FC">
                  <w:pPr>
                    <w:pStyle w:val="63"/>
                    <w:rPr>
                      <w:rFonts w:ascii="Times New Roman" w:hAnsi="Times New Roman" w:eastAsiaTheme="minorEastAsia"/>
                      <w:sz w:val="21"/>
                      <w:szCs w:val="21"/>
                    </w:rPr>
                  </w:pPr>
                  <w:r>
                    <w:rPr>
                      <w:rFonts w:ascii="Times New Roman" w:hAnsi="Times New Roman" w:eastAsiaTheme="minorEastAsia"/>
                      <w:sz w:val="21"/>
                      <w:szCs w:val="21"/>
                    </w:rPr>
                    <w:t>运营期</w:t>
                  </w:r>
                </w:p>
              </w:tc>
              <w:tc>
                <w:tcPr>
                  <w:tcW w:w="508" w:type="pct"/>
                  <w:vMerge w:val="restart"/>
                  <w:vAlign w:val="center"/>
                </w:tcPr>
                <w:p w14:paraId="3F87F5A1">
                  <w:pPr>
                    <w:pStyle w:val="63"/>
                    <w:rPr>
                      <w:rFonts w:ascii="Times New Roman" w:hAnsi="Times New Roman" w:eastAsiaTheme="minorEastAsia"/>
                      <w:sz w:val="21"/>
                      <w:szCs w:val="21"/>
                    </w:rPr>
                  </w:pPr>
                  <w:r>
                    <w:rPr>
                      <w:rFonts w:ascii="Times New Roman" w:hAnsi="Times New Roman" w:eastAsiaTheme="minorEastAsia"/>
                      <w:sz w:val="21"/>
                      <w:szCs w:val="21"/>
                    </w:rPr>
                    <w:t>废水</w:t>
                  </w:r>
                </w:p>
              </w:tc>
              <w:tc>
                <w:tcPr>
                  <w:tcW w:w="2781" w:type="pct"/>
                  <w:gridSpan w:val="2"/>
                  <w:vAlign w:val="center"/>
                </w:tcPr>
                <w:p w14:paraId="519CFE0D">
                  <w:pPr>
                    <w:jc w:val="center"/>
                    <w:rPr>
                      <w:rFonts w:eastAsiaTheme="minorEastAsia"/>
                      <w:kern w:val="0"/>
                    </w:rPr>
                  </w:pPr>
                  <w:r>
                    <w:rPr>
                      <w:rFonts w:hint="eastAsia" w:eastAsiaTheme="minorEastAsia"/>
                      <w:kern w:val="0"/>
                    </w:rPr>
                    <w:t>发酵区收集沟</w:t>
                  </w:r>
                </w:p>
              </w:tc>
              <w:tc>
                <w:tcPr>
                  <w:tcW w:w="892" w:type="pct"/>
                  <w:vAlign w:val="center"/>
                </w:tcPr>
                <w:p w14:paraId="3135D9C3">
                  <w:pPr>
                    <w:pStyle w:val="63"/>
                    <w:rPr>
                      <w:rFonts w:ascii="Times New Roman" w:hAnsi="Times New Roman" w:eastAsiaTheme="minorEastAsia"/>
                      <w:sz w:val="21"/>
                      <w:szCs w:val="21"/>
                    </w:rPr>
                  </w:pPr>
                  <w:r>
                    <w:rPr>
                      <w:rFonts w:hint="eastAsia" w:ascii="Times New Roman" w:hAnsi="Times New Roman" w:eastAsiaTheme="minorEastAsia"/>
                      <w:sz w:val="21"/>
                      <w:szCs w:val="21"/>
                    </w:rPr>
                    <w:t>60m</w:t>
                  </w:r>
                </w:p>
              </w:tc>
              <w:tc>
                <w:tcPr>
                  <w:tcW w:w="550" w:type="pct"/>
                  <w:vAlign w:val="center"/>
                </w:tcPr>
                <w:p w14:paraId="09F3779D">
                  <w:pPr>
                    <w:pStyle w:val="63"/>
                    <w:rPr>
                      <w:rFonts w:ascii="Times New Roman" w:hAnsi="Times New Roman" w:eastAsiaTheme="minorEastAsia"/>
                      <w:sz w:val="21"/>
                      <w:szCs w:val="21"/>
                    </w:rPr>
                  </w:pPr>
                  <w:r>
                    <w:rPr>
                      <w:rFonts w:hint="eastAsia" w:ascii="Times New Roman" w:hAnsi="Times New Roman" w:eastAsiaTheme="minorEastAsia"/>
                      <w:sz w:val="21"/>
                      <w:szCs w:val="21"/>
                    </w:rPr>
                    <w:t>1</w:t>
                  </w:r>
                </w:p>
              </w:tc>
            </w:tr>
            <w:tr w14:paraId="52C43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456B4D39">
                  <w:pPr>
                    <w:pStyle w:val="63"/>
                    <w:rPr>
                      <w:rFonts w:ascii="Times New Roman" w:hAnsi="Times New Roman" w:eastAsiaTheme="minorEastAsia"/>
                      <w:sz w:val="21"/>
                      <w:szCs w:val="21"/>
                    </w:rPr>
                  </w:pPr>
                </w:p>
              </w:tc>
              <w:tc>
                <w:tcPr>
                  <w:tcW w:w="508" w:type="pct"/>
                  <w:vMerge w:val="continue"/>
                  <w:vAlign w:val="center"/>
                </w:tcPr>
                <w:p w14:paraId="490EC360">
                  <w:pPr>
                    <w:pStyle w:val="63"/>
                    <w:rPr>
                      <w:rFonts w:ascii="Times New Roman" w:hAnsi="Times New Roman" w:eastAsiaTheme="minorEastAsia"/>
                      <w:sz w:val="21"/>
                      <w:szCs w:val="21"/>
                    </w:rPr>
                  </w:pPr>
                </w:p>
              </w:tc>
              <w:tc>
                <w:tcPr>
                  <w:tcW w:w="2781" w:type="pct"/>
                  <w:gridSpan w:val="2"/>
                  <w:vAlign w:val="center"/>
                </w:tcPr>
                <w:p w14:paraId="2E46CF80">
                  <w:pPr>
                    <w:jc w:val="center"/>
                    <w:rPr>
                      <w:rFonts w:eastAsiaTheme="minorEastAsia"/>
                      <w:kern w:val="0"/>
                    </w:rPr>
                  </w:pPr>
                  <w:r>
                    <w:rPr>
                      <w:rFonts w:hint="eastAsia" w:eastAsiaTheme="minorEastAsia"/>
                      <w:kern w:val="0"/>
                    </w:rPr>
                    <w:t>渗滤液收集池</w:t>
                  </w:r>
                </w:p>
              </w:tc>
              <w:tc>
                <w:tcPr>
                  <w:tcW w:w="892" w:type="pct"/>
                  <w:vAlign w:val="center"/>
                </w:tcPr>
                <w:p w14:paraId="1814BF5E">
                  <w:pPr>
                    <w:pStyle w:val="63"/>
                    <w:rPr>
                      <w:rFonts w:ascii="Times New Roman" w:hAnsi="Times New Roman" w:eastAsiaTheme="minorEastAsia"/>
                      <w:sz w:val="21"/>
                      <w:szCs w:val="21"/>
                    </w:rPr>
                  </w:pPr>
                  <w:r>
                    <w:rPr>
                      <w:rFonts w:hint="eastAsia" w:ascii="Times New Roman" w:hAnsi="Times New Roman" w:eastAsiaTheme="minorEastAsia"/>
                      <w:sz w:val="21"/>
                      <w:szCs w:val="21"/>
                    </w:rPr>
                    <w:t>2</w:t>
                  </w:r>
                  <w:r>
                    <w:rPr>
                      <w:rFonts w:ascii="Times New Roman" w:hAnsi="Times New Roman" w:eastAsiaTheme="minorEastAsia"/>
                      <w:sz w:val="21"/>
                      <w:szCs w:val="21"/>
                    </w:rPr>
                    <w:t>m</w:t>
                  </w:r>
                  <w:r>
                    <w:rPr>
                      <w:rFonts w:ascii="Times New Roman" w:hAnsi="Times New Roman" w:eastAsiaTheme="minorEastAsia"/>
                      <w:sz w:val="21"/>
                      <w:szCs w:val="21"/>
                      <w:vertAlign w:val="superscript"/>
                    </w:rPr>
                    <w:t>3</w:t>
                  </w:r>
                </w:p>
              </w:tc>
              <w:tc>
                <w:tcPr>
                  <w:tcW w:w="550" w:type="pct"/>
                  <w:vAlign w:val="center"/>
                </w:tcPr>
                <w:p w14:paraId="7E77AA71">
                  <w:pPr>
                    <w:pStyle w:val="63"/>
                    <w:rPr>
                      <w:rFonts w:ascii="Times New Roman" w:hAnsi="Times New Roman" w:eastAsiaTheme="minorEastAsia"/>
                      <w:sz w:val="21"/>
                      <w:szCs w:val="21"/>
                    </w:rPr>
                  </w:pPr>
                  <w:r>
                    <w:rPr>
                      <w:rFonts w:hint="eastAsia" w:ascii="Times New Roman" w:hAnsi="Times New Roman" w:eastAsiaTheme="minorEastAsia"/>
                      <w:sz w:val="21"/>
                      <w:szCs w:val="21"/>
                    </w:rPr>
                    <w:t>0.5</w:t>
                  </w:r>
                </w:p>
              </w:tc>
            </w:tr>
            <w:tr w14:paraId="7086A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74BF6229">
                  <w:pPr>
                    <w:pStyle w:val="63"/>
                    <w:rPr>
                      <w:rFonts w:ascii="Times New Roman" w:hAnsi="Times New Roman" w:eastAsiaTheme="minorEastAsia"/>
                      <w:sz w:val="21"/>
                      <w:szCs w:val="21"/>
                    </w:rPr>
                  </w:pPr>
                </w:p>
              </w:tc>
              <w:tc>
                <w:tcPr>
                  <w:tcW w:w="508" w:type="pct"/>
                  <w:vMerge w:val="continue"/>
                  <w:vAlign w:val="center"/>
                </w:tcPr>
                <w:p w14:paraId="0244079F">
                  <w:pPr>
                    <w:pStyle w:val="63"/>
                    <w:rPr>
                      <w:rFonts w:ascii="Times New Roman" w:hAnsi="Times New Roman" w:eastAsiaTheme="minorEastAsia"/>
                      <w:sz w:val="21"/>
                      <w:szCs w:val="21"/>
                    </w:rPr>
                  </w:pPr>
                </w:p>
              </w:tc>
              <w:tc>
                <w:tcPr>
                  <w:tcW w:w="2781" w:type="pct"/>
                  <w:gridSpan w:val="2"/>
                  <w:shd w:val="clear" w:color="auto" w:fill="auto"/>
                  <w:vAlign w:val="center"/>
                </w:tcPr>
                <w:p w14:paraId="554BE046">
                  <w:pPr>
                    <w:jc w:val="center"/>
                    <w:rPr>
                      <w:rFonts w:eastAsiaTheme="minorEastAsia"/>
                      <w:kern w:val="0"/>
                    </w:rPr>
                  </w:pPr>
                  <w:r>
                    <w:rPr>
                      <w:rFonts w:eastAsiaTheme="minorEastAsia"/>
                    </w:rPr>
                    <w:t>化粪池</w:t>
                  </w:r>
                </w:p>
              </w:tc>
              <w:tc>
                <w:tcPr>
                  <w:tcW w:w="892" w:type="pct"/>
                  <w:shd w:val="clear" w:color="auto" w:fill="auto"/>
                  <w:vAlign w:val="center"/>
                </w:tcPr>
                <w:p w14:paraId="3118C864">
                  <w:pPr>
                    <w:pStyle w:val="63"/>
                    <w:rPr>
                      <w:rFonts w:ascii="Times New Roman" w:hAnsi="Times New Roman" w:eastAsiaTheme="minorEastAsia"/>
                      <w:sz w:val="21"/>
                      <w:szCs w:val="21"/>
                    </w:rPr>
                  </w:pPr>
                  <w:r>
                    <w:rPr>
                      <w:rFonts w:hint="eastAsia" w:ascii="Times New Roman" w:hAnsi="Times New Roman" w:eastAsiaTheme="minorEastAsia"/>
                      <w:sz w:val="21"/>
                      <w:szCs w:val="21"/>
                    </w:rPr>
                    <w:t>1座，</w:t>
                  </w:r>
                  <w:r>
                    <w:rPr>
                      <w:rFonts w:ascii="Times New Roman" w:hAnsi="Times New Roman" w:eastAsiaTheme="minorEastAsia"/>
                      <w:sz w:val="21"/>
                      <w:szCs w:val="21"/>
                    </w:rPr>
                    <w:t>6</w:t>
                  </w:r>
                  <w:r>
                    <w:rPr>
                      <w:rFonts w:hint="eastAsia" w:ascii="Times New Roman" w:hAnsi="Times New Roman" w:eastAsiaTheme="minorEastAsia"/>
                      <w:sz w:val="21"/>
                      <w:szCs w:val="21"/>
                    </w:rPr>
                    <w:t>0</w:t>
                  </w:r>
                  <w:r>
                    <w:rPr>
                      <w:rFonts w:ascii="Times New Roman" w:hAnsi="Times New Roman" w:eastAsiaTheme="minorEastAsia"/>
                      <w:sz w:val="21"/>
                      <w:szCs w:val="21"/>
                    </w:rPr>
                    <w:t>m</w:t>
                  </w:r>
                  <w:r>
                    <w:rPr>
                      <w:rFonts w:ascii="Times New Roman" w:hAnsi="Times New Roman" w:eastAsiaTheme="minorEastAsia"/>
                      <w:sz w:val="21"/>
                      <w:szCs w:val="21"/>
                      <w:vertAlign w:val="superscript"/>
                    </w:rPr>
                    <w:t>3</w:t>
                  </w:r>
                </w:p>
              </w:tc>
              <w:tc>
                <w:tcPr>
                  <w:tcW w:w="550" w:type="pct"/>
                  <w:shd w:val="clear" w:color="auto" w:fill="auto"/>
                  <w:vAlign w:val="center"/>
                </w:tcPr>
                <w:p w14:paraId="3B899396">
                  <w:pPr>
                    <w:pStyle w:val="63"/>
                    <w:rPr>
                      <w:rFonts w:ascii="Times New Roman" w:hAnsi="Times New Roman" w:eastAsiaTheme="minorEastAsia"/>
                      <w:sz w:val="21"/>
                      <w:szCs w:val="21"/>
                    </w:rPr>
                  </w:pPr>
                  <w:r>
                    <w:rPr>
                      <w:rFonts w:hint="eastAsia" w:ascii="Times New Roman" w:hAnsi="Times New Roman" w:eastAsiaTheme="minorEastAsia"/>
                      <w:sz w:val="21"/>
                      <w:szCs w:val="21"/>
                    </w:rPr>
                    <w:t>依托</w:t>
                  </w:r>
                </w:p>
              </w:tc>
            </w:tr>
            <w:tr w14:paraId="49696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24A13D3A">
                  <w:pPr>
                    <w:pStyle w:val="63"/>
                    <w:rPr>
                      <w:rFonts w:ascii="Times New Roman" w:hAnsi="Times New Roman" w:eastAsiaTheme="minorEastAsia"/>
                      <w:b/>
                      <w:sz w:val="21"/>
                      <w:szCs w:val="21"/>
                    </w:rPr>
                  </w:pPr>
                </w:p>
              </w:tc>
              <w:tc>
                <w:tcPr>
                  <w:tcW w:w="508" w:type="pct"/>
                  <w:vMerge w:val="continue"/>
                  <w:vAlign w:val="center"/>
                </w:tcPr>
                <w:p w14:paraId="3D8B88AF">
                  <w:pPr>
                    <w:pStyle w:val="63"/>
                    <w:rPr>
                      <w:rFonts w:ascii="Times New Roman" w:hAnsi="Times New Roman" w:eastAsiaTheme="minorEastAsia"/>
                      <w:b/>
                      <w:sz w:val="21"/>
                      <w:szCs w:val="21"/>
                    </w:rPr>
                  </w:pPr>
                </w:p>
              </w:tc>
              <w:tc>
                <w:tcPr>
                  <w:tcW w:w="2781" w:type="pct"/>
                  <w:gridSpan w:val="2"/>
                  <w:vAlign w:val="center"/>
                </w:tcPr>
                <w:p w14:paraId="43CD49D8">
                  <w:pPr>
                    <w:pStyle w:val="63"/>
                    <w:rPr>
                      <w:rFonts w:ascii="Times New Roman" w:hAnsi="Times New Roman" w:eastAsiaTheme="minorEastAsia"/>
                      <w:sz w:val="21"/>
                      <w:szCs w:val="21"/>
                    </w:rPr>
                  </w:pPr>
                  <w:r>
                    <w:rPr>
                      <w:rFonts w:hint="eastAsia" w:ascii="Times New Roman" w:hAnsi="Times New Roman" w:eastAsiaTheme="minorEastAsia"/>
                      <w:sz w:val="21"/>
                      <w:szCs w:val="21"/>
                    </w:rPr>
                    <w:t>一体化污水处理站</w:t>
                  </w:r>
                </w:p>
              </w:tc>
              <w:tc>
                <w:tcPr>
                  <w:tcW w:w="892" w:type="pct"/>
                  <w:vAlign w:val="center"/>
                </w:tcPr>
                <w:p w14:paraId="2B5AE1B8">
                  <w:pPr>
                    <w:pStyle w:val="63"/>
                    <w:rPr>
                      <w:rFonts w:ascii="Times New Roman" w:hAnsi="Times New Roman" w:eastAsiaTheme="minorEastAsia"/>
                      <w:sz w:val="21"/>
                      <w:szCs w:val="21"/>
                    </w:rPr>
                  </w:pPr>
                  <w:r>
                    <w:rPr>
                      <w:rFonts w:hint="eastAsia" w:ascii="Times New Roman" w:hAnsi="Times New Roman" w:eastAsiaTheme="minorEastAsia"/>
                      <w:sz w:val="21"/>
                      <w:szCs w:val="21"/>
                    </w:rPr>
                    <w:t>1座，120m</w:t>
                  </w:r>
                  <w:r>
                    <w:rPr>
                      <w:rFonts w:hint="eastAsia" w:ascii="Times New Roman" w:hAnsi="Times New Roman" w:eastAsiaTheme="minorEastAsia"/>
                      <w:sz w:val="21"/>
                      <w:szCs w:val="21"/>
                      <w:vertAlign w:val="superscript"/>
                    </w:rPr>
                    <w:t>3</w:t>
                  </w:r>
                  <w:r>
                    <w:rPr>
                      <w:rFonts w:hint="eastAsia" w:ascii="Times New Roman" w:hAnsi="Times New Roman" w:eastAsiaTheme="minorEastAsia"/>
                      <w:sz w:val="21"/>
                      <w:szCs w:val="21"/>
                    </w:rPr>
                    <w:t>/d</w:t>
                  </w:r>
                </w:p>
              </w:tc>
              <w:tc>
                <w:tcPr>
                  <w:tcW w:w="550" w:type="pct"/>
                  <w:vAlign w:val="center"/>
                </w:tcPr>
                <w:p w14:paraId="52BC7B50">
                  <w:pPr>
                    <w:pStyle w:val="63"/>
                    <w:rPr>
                      <w:rFonts w:ascii="Times New Roman" w:hAnsi="Times New Roman" w:eastAsiaTheme="minorEastAsia"/>
                      <w:sz w:val="21"/>
                      <w:szCs w:val="21"/>
                    </w:rPr>
                  </w:pPr>
                  <w:r>
                    <w:rPr>
                      <w:rFonts w:hint="eastAsia" w:ascii="Times New Roman" w:hAnsi="Times New Roman" w:eastAsiaTheme="minorEastAsia"/>
                      <w:sz w:val="21"/>
                      <w:szCs w:val="21"/>
                    </w:rPr>
                    <w:t>依托</w:t>
                  </w:r>
                </w:p>
              </w:tc>
            </w:tr>
            <w:tr w14:paraId="022C9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265" w:type="pct"/>
                  <w:vMerge w:val="continue"/>
                  <w:vAlign w:val="center"/>
                </w:tcPr>
                <w:p w14:paraId="71B411D8">
                  <w:pPr>
                    <w:pStyle w:val="63"/>
                    <w:rPr>
                      <w:rFonts w:ascii="Times New Roman" w:hAnsi="Times New Roman" w:eastAsiaTheme="minorEastAsia"/>
                      <w:b/>
                      <w:sz w:val="21"/>
                      <w:szCs w:val="21"/>
                    </w:rPr>
                  </w:pPr>
                </w:p>
              </w:tc>
              <w:tc>
                <w:tcPr>
                  <w:tcW w:w="508" w:type="pct"/>
                  <w:vMerge w:val="continue"/>
                  <w:vAlign w:val="center"/>
                </w:tcPr>
                <w:p w14:paraId="4376940B">
                  <w:pPr>
                    <w:pStyle w:val="63"/>
                    <w:rPr>
                      <w:rFonts w:ascii="Times New Roman" w:hAnsi="Times New Roman" w:eastAsiaTheme="minorEastAsia"/>
                      <w:b/>
                      <w:sz w:val="21"/>
                      <w:szCs w:val="21"/>
                    </w:rPr>
                  </w:pPr>
                </w:p>
              </w:tc>
              <w:tc>
                <w:tcPr>
                  <w:tcW w:w="2781" w:type="pct"/>
                  <w:gridSpan w:val="2"/>
                  <w:vAlign w:val="center"/>
                </w:tcPr>
                <w:p w14:paraId="4487D2A0">
                  <w:pPr>
                    <w:pStyle w:val="63"/>
                    <w:rPr>
                      <w:rFonts w:ascii="Times New Roman" w:hAnsi="Times New Roman" w:eastAsiaTheme="minorEastAsia"/>
                      <w:sz w:val="21"/>
                      <w:szCs w:val="21"/>
                    </w:rPr>
                  </w:pPr>
                  <w:r>
                    <w:rPr>
                      <w:rFonts w:hint="eastAsia" w:ascii="Times New Roman" w:hAnsi="Times New Roman" w:eastAsiaTheme="minorEastAsia"/>
                      <w:sz w:val="21"/>
                      <w:szCs w:val="21"/>
                    </w:rPr>
                    <w:t>蓄水池</w:t>
                  </w:r>
                </w:p>
              </w:tc>
              <w:tc>
                <w:tcPr>
                  <w:tcW w:w="892" w:type="pct"/>
                  <w:vAlign w:val="center"/>
                </w:tcPr>
                <w:p w14:paraId="12DD2758">
                  <w:pPr>
                    <w:pStyle w:val="63"/>
                    <w:rPr>
                      <w:rFonts w:ascii="Times New Roman" w:hAnsi="Times New Roman" w:eastAsiaTheme="minorEastAsia"/>
                      <w:sz w:val="21"/>
                      <w:szCs w:val="21"/>
                    </w:rPr>
                  </w:pPr>
                  <w:r>
                    <w:rPr>
                      <w:rFonts w:hint="eastAsia" w:ascii="Times New Roman" w:hAnsi="Times New Roman" w:eastAsiaTheme="minorEastAsia"/>
                      <w:sz w:val="21"/>
                      <w:szCs w:val="21"/>
                    </w:rPr>
                    <w:t>1座，200m</w:t>
                  </w:r>
                  <w:r>
                    <w:rPr>
                      <w:rFonts w:hint="eastAsia" w:ascii="Times New Roman" w:hAnsi="Times New Roman" w:eastAsiaTheme="minorEastAsia"/>
                      <w:sz w:val="21"/>
                      <w:szCs w:val="21"/>
                      <w:vertAlign w:val="superscript"/>
                    </w:rPr>
                    <w:t>3</w:t>
                  </w:r>
                  <w:r>
                    <w:rPr>
                      <w:rFonts w:hint="eastAsia" w:ascii="Times New Roman" w:hAnsi="Times New Roman" w:eastAsiaTheme="minorEastAsia"/>
                      <w:sz w:val="21"/>
                      <w:szCs w:val="21"/>
                    </w:rPr>
                    <w:t>/d</w:t>
                  </w:r>
                </w:p>
              </w:tc>
              <w:tc>
                <w:tcPr>
                  <w:tcW w:w="550" w:type="pct"/>
                  <w:vAlign w:val="center"/>
                </w:tcPr>
                <w:p w14:paraId="487B6C86">
                  <w:pPr>
                    <w:pStyle w:val="63"/>
                    <w:rPr>
                      <w:rFonts w:ascii="Times New Roman" w:hAnsi="Times New Roman" w:eastAsiaTheme="minorEastAsia"/>
                      <w:sz w:val="21"/>
                      <w:szCs w:val="21"/>
                    </w:rPr>
                  </w:pPr>
                  <w:r>
                    <w:rPr>
                      <w:rFonts w:hint="eastAsia" w:ascii="Times New Roman" w:hAnsi="Times New Roman" w:eastAsiaTheme="minorEastAsia"/>
                      <w:sz w:val="21"/>
                      <w:szCs w:val="21"/>
                    </w:rPr>
                    <w:t>依托</w:t>
                  </w:r>
                </w:p>
              </w:tc>
            </w:tr>
            <w:tr w14:paraId="5FED1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4C820EB7">
                  <w:pPr>
                    <w:pStyle w:val="63"/>
                    <w:rPr>
                      <w:rFonts w:ascii="Times New Roman" w:hAnsi="Times New Roman" w:eastAsiaTheme="minorEastAsia"/>
                      <w:b/>
                      <w:sz w:val="21"/>
                      <w:szCs w:val="21"/>
                    </w:rPr>
                  </w:pPr>
                </w:p>
              </w:tc>
              <w:tc>
                <w:tcPr>
                  <w:tcW w:w="508" w:type="pct"/>
                  <w:vMerge w:val="continue"/>
                  <w:vAlign w:val="center"/>
                </w:tcPr>
                <w:p w14:paraId="67F354F1">
                  <w:pPr>
                    <w:pStyle w:val="63"/>
                    <w:rPr>
                      <w:rFonts w:ascii="Times New Roman" w:hAnsi="Times New Roman" w:eastAsiaTheme="minorEastAsia"/>
                      <w:b/>
                      <w:sz w:val="21"/>
                      <w:szCs w:val="21"/>
                    </w:rPr>
                  </w:pPr>
                </w:p>
              </w:tc>
              <w:tc>
                <w:tcPr>
                  <w:tcW w:w="671" w:type="pct"/>
                  <w:vMerge w:val="restart"/>
                  <w:tcBorders>
                    <w:right w:val="single" w:color="auto" w:sz="4" w:space="0"/>
                  </w:tcBorders>
                  <w:vAlign w:val="center"/>
                </w:tcPr>
                <w:p w14:paraId="57B95322">
                  <w:pPr>
                    <w:pStyle w:val="63"/>
                    <w:jc w:val="both"/>
                    <w:rPr>
                      <w:rFonts w:ascii="Times New Roman" w:hAnsi="Times New Roman" w:eastAsiaTheme="minorEastAsia"/>
                      <w:sz w:val="21"/>
                      <w:szCs w:val="21"/>
                    </w:rPr>
                  </w:pPr>
                  <w:r>
                    <w:rPr>
                      <w:rFonts w:hint="eastAsia" w:ascii="Times New Roman" w:hAnsi="Times New Roman" w:eastAsiaTheme="minorEastAsia"/>
                      <w:sz w:val="21"/>
                      <w:szCs w:val="21"/>
                    </w:rPr>
                    <w:t>防渗处理</w:t>
                  </w:r>
                </w:p>
              </w:tc>
              <w:tc>
                <w:tcPr>
                  <w:tcW w:w="3003" w:type="pct"/>
                  <w:gridSpan w:val="2"/>
                  <w:tcBorders>
                    <w:left w:val="single" w:color="auto" w:sz="4" w:space="0"/>
                  </w:tcBorders>
                  <w:vAlign w:val="center"/>
                </w:tcPr>
                <w:p w14:paraId="20A94AB1">
                  <w:pPr>
                    <w:pStyle w:val="63"/>
                    <w:jc w:val="both"/>
                    <w:rPr>
                      <w:rFonts w:ascii="Times New Roman" w:hAnsi="Times New Roman" w:eastAsiaTheme="minorEastAsia"/>
                      <w:sz w:val="21"/>
                      <w:szCs w:val="21"/>
                    </w:rPr>
                  </w:pPr>
                  <w:r>
                    <w:rPr>
                      <w:rFonts w:ascii="Times New Roman" w:hAnsi="Times New Roman" w:eastAsiaTheme="minorEastAsia"/>
                      <w:sz w:val="21"/>
                      <w:szCs w:val="21"/>
                    </w:rPr>
                    <w:t>简易防渗：</w:t>
                  </w:r>
                  <w:r>
                    <w:rPr>
                      <w:rFonts w:hint="eastAsia" w:eastAsiaTheme="minorEastAsia"/>
                      <w:sz w:val="21"/>
                      <w:szCs w:val="21"/>
                    </w:rPr>
                    <w:t>除重点防渗区和一般防渗区外的其他车间区域</w:t>
                  </w:r>
                  <w:r>
                    <w:rPr>
                      <w:rFonts w:eastAsiaTheme="minorEastAsia"/>
                      <w:sz w:val="21"/>
                      <w:szCs w:val="21"/>
                    </w:rPr>
                    <w:t>进行地面硬化</w:t>
                  </w:r>
                  <w:r>
                    <w:rPr>
                      <w:rFonts w:ascii="Times New Roman" w:hAnsi="Times New Roman" w:eastAsiaTheme="minorEastAsia"/>
                      <w:sz w:val="21"/>
                      <w:szCs w:val="21"/>
                    </w:rPr>
                    <w:t>。</w:t>
                  </w:r>
                </w:p>
              </w:tc>
              <w:tc>
                <w:tcPr>
                  <w:tcW w:w="550" w:type="pct"/>
                  <w:vAlign w:val="center"/>
                </w:tcPr>
                <w:p w14:paraId="3AAD24CC">
                  <w:pPr>
                    <w:pStyle w:val="63"/>
                    <w:rPr>
                      <w:rFonts w:ascii="Times New Roman" w:hAnsi="Times New Roman" w:eastAsiaTheme="minorEastAsia"/>
                      <w:sz w:val="21"/>
                      <w:szCs w:val="21"/>
                    </w:rPr>
                  </w:pPr>
                  <w:r>
                    <w:rPr>
                      <w:rFonts w:hint="eastAsia" w:ascii="Times New Roman" w:hAnsi="Times New Roman" w:eastAsiaTheme="minorEastAsia"/>
                      <w:sz w:val="21"/>
                      <w:szCs w:val="21"/>
                    </w:rPr>
                    <w:t>主体设计</w:t>
                  </w:r>
                </w:p>
              </w:tc>
            </w:tr>
            <w:tr w14:paraId="316DA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36EBA0A8">
                  <w:pPr>
                    <w:pStyle w:val="63"/>
                    <w:rPr>
                      <w:rFonts w:ascii="Times New Roman" w:hAnsi="Times New Roman" w:eastAsiaTheme="minorEastAsia"/>
                      <w:b/>
                      <w:sz w:val="21"/>
                      <w:szCs w:val="21"/>
                    </w:rPr>
                  </w:pPr>
                </w:p>
              </w:tc>
              <w:tc>
                <w:tcPr>
                  <w:tcW w:w="508" w:type="pct"/>
                  <w:vMerge w:val="continue"/>
                  <w:vAlign w:val="center"/>
                </w:tcPr>
                <w:p w14:paraId="628C33EF">
                  <w:pPr>
                    <w:pStyle w:val="63"/>
                    <w:rPr>
                      <w:rFonts w:ascii="Times New Roman" w:hAnsi="Times New Roman" w:eastAsiaTheme="minorEastAsia"/>
                      <w:b/>
                      <w:sz w:val="21"/>
                      <w:szCs w:val="21"/>
                    </w:rPr>
                  </w:pPr>
                </w:p>
              </w:tc>
              <w:tc>
                <w:tcPr>
                  <w:tcW w:w="671" w:type="pct"/>
                  <w:vMerge w:val="continue"/>
                  <w:tcBorders>
                    <w:right w:val="single" w:color="auto" w:sz="4" w:space="0"/>
                  </w:tcBorders>
                  <w:vAlign w:val="center"/>
                </w:tcPr>
                <w:p w14:paraId="7B7F51F5">
                  <w:pPr>
                    <w:pStyle w:val="63"/>
                    <w:jc w:val="both"/>
                    <w:rPr>
                      <w:rFonts w:ascii="Times New Roman" w:hAnsi="Times New Roman" w:eastAsiaTheme="minorEastAsia"/>
                      <w:sz w:val="21"/>
                      <w:szCs w:val="21"/>
                    </w:rPr>
                  </w:pPr>
                </w:p>
              </w:tc>
              <w:tc>
                <w:tcPr>
                  <w:tcW w:w="3003" w:type="pct"/>
                  <w:gridSpan w:val="2"/>
                  <w:tcBorders>
                    <w:left w:val="single" w:color="auto" w:sz="4" w:space="0"/>
                  </w:tcBorders>
                  <w:vAlign w:val="center"/>
                </w:tcPr>
                <w:p w14:paraId="526AB380">
                  <w:pPr>
                    <w:pStyle w:val="63"/>
                    <w:jc w:val="both"/>
                    <w:rPr>
                      <w:rFonts w:ascii="Times New Roman" w:hAnsi="Times New Roman" w:eastAsiaTheme="minorEastAsia"/>
                      <w:sz w:val="21"/>
                      <w:szCs w:val="21"/>
                    </w:rPr>
                  </w:pPr>
                  <w:r>
                    <w:rPr>
                      <w:rFonts w:ascii="Times New Roman" w:hAnsi="Times New Roman" w:eastAsiaTheme="minorEastAsia"/>
                      <w:sz w:val="21"/>
                      <w:szCs w:val="21"/>
                    </w:rPr>
                    <w:t>一般防渗区：</w:t>
                  </w:r>
                  <w:r>
                    <w:rPr>
                      <w:rFonts w:hint="eastAsia" w:eastAsiaTheme="minorEastAsia"/>
                    </w:rPr>
                    <w:t>原料库、一般固废暂存库、渗滤液收集池、发酵区</w:t>
                  </w:r>
                  <w:r>
                    <w:rPr>
                      <w:rFonts w:ascii="Times New Roman" w:hAnsi="Times New Roman" w:eastAsiaTheme="minorEastAsia"/>
                      <w:sz w:val="21"/>
                      <w:szCs w:val="21"/>
                    </w:rPr>
                    <w:t>，防渗要求：渗透系数≤10</w:t>
                  </w:r>
                  <w:r>
                    <w:rPr>
                      <w:rFonts w:ascii="Times New Roman" w:hAnsi="Times New Roman" w:eastAsiaTheme="minorEastAsia"/>
                      <w:sz w:val="21"/>
                      <w:szCs w:val="21"/>
                      <w:vertAlign w:val="superscript"/>
                    </w:rPr>
                    <w:t>-7</w:t>
                  </w:r>
                  <w:r>
                    <w:rPr>
                      <w:rFonts w:ascii="Times New Roman" w:hAnsi="Times New Roman" w:eastAsiaTheme="minorEastAsia"/>
                      <w:sz w:val="21"/>
                      <w:szCs w:val="21"/>
                    </w:rPr>
                    <w:t>cm/s，等效黏土防渗层Mb≥1.5m。施工时采用防渗混凝土浇筑。</w:t>
                  </w:r>
                </w:p>
              </w:tc>
              <w:tc>
                <w:tcPr>
                  <w:tcW w:w="550" w:type="pct"/>
                  <w:vAlign w:val="center"/>
                </w:tcPr>
                <w:p w14:paraId="05737CE4">
                  <w:pPr>
                    <w:pStyle w:val="63"/>
                    <w:rPr>
                      <w:rFonts w:ascii="Times New Roman" w:hAnsi="Times New Roman" w:eastAsiaTheme="minorEastAsia"/>
                      <w:sz w:val="21"/>
                      <w:szCs w:val="21"/>
                    </w:rPr>
                  </w:pPr>
                  <w:r>
                    <w:rPr>
                      <w:rFonts w:ascii="Times New Roman" w:hAnsi="Times New Roman" w:eastAsiaTheme="minorEastAsia"/>
                      <w:sz w:val="21"/>
                      <w:szCs w:val="21"/>
                    </w:rPr>
                    <w:t>5</w:t>
                  </w:r>
                </w:p>
              </w:tc>
            </w:tr>
            <w:tr w14:paraId="64E56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200DAE7A">
                  <w:pPr>
                    <w:pStyle w:val="63"/>
                    <w:rPr>
                      <w:rFonts w:ascii="Times New Roman" w:hAnsi="Times New Roman" w:eastAsiaTheme="minorEastAsia"/>
                      <w:b/>
                      <w:sz w:val="21"/>
                      <w:szCs w:val="21"/>
                    </w:rPr>
                  </w:pPr>
                </w:p>
              </w:tc>
              <w:tc>
                <w:tcPr>
                  <w:tcW w:w="508" w:type="pct"/>
                  <w:vMerge w:val="continue"/>
                  <w:vAlign w:val="center"/>
                </w:tcPr>
                <w:p w14:paraId="1B1E92DF">
                  <w:pPr>
                    <w:pStyle w:val="63"/>
                    <w:rPr>
                      <w:rFonts w:ascii="Times New Roman" w:hAnsi="Times New Roman" w:eastAsiaTheme="minorEastAsia"/>
                      <w:b/>
                      <w:sz w:val="21"/>
                      <w:szCs w:val="21"/>
                    </w:rPr>
                  </w:pPr>
                </w:p>
              </w:tc>
              <w:tc>
                <w:tcPr>
                  <w:tcW w:w="671" w:type="pct"/>
                  <w:vMerge w:val="continue"/>
                  <w:tcBorders>
                    <w:right w:val="single" w:color="auto" w:sz="4" w:space="0"/>
                  </w:tcBorders>
                  <w:vAlign w:val="center"/>
                </w:tcPr>
                <w:p w14:paraId="6C74599B">
                  <w:pPr>
                    <w:pStyle w:val="63"/>
                    <w:jc w:val="both"/>
                    <w:rPr>
                      <w:rFonts w:ascii="Times New Roman" w:hAnsi="Times New Roman" w:eastAsiaTheme="minorEastAsia"/>
                      <w:sz w:val="21"/>
                      <w:szCs w:val="21"/>
                    </w:rPr>
                  </w:pPr>
                </w:p>
              </w:tc>
              <w:tc>
                <w:tcPr>
                  <w:tcW w:w="3003" w:type="pct"/>
                  <w:gridSpan w:val="2"/>
                  <w:vAlign w:val="center"/>
                </w:tcPr>
                <w:p w14:paraId="081F0015">
                  <w:pPr>
                    <w:pStyle w:val="63"/>
                    <w:jc w:val="both"/>
                    <w:rPr>
                      <w:rFonts w:ascii="Times New Roman" w:hAnsi="Times New Roman" w:eastAsiaTheme="minorEastAsia"/>
                      <w:sz w:val="21"/>
                      <w:szCs w:val="21"/>
                    </w:rPr>
                  </w:pPr>
                  <w:r>
                    <w:rPr>
                      <w:rFonts w:ascii="Times New Roman" w:hAnsi="Times New Roman" w:eastAsiaTheme="minorEastAsia"/>
                      <w:sz w:val="21"/>
                      <w:szCs w:val="21"/>
                    </w:rPr>
                    <w:t>重点防渗区：</w:t>
                  </w:r>
                  <w:r>
                    <w:rPr>
                      <w:rFonts w:hint="eastAsia" w:ascii="Times New Roman" w:hAnsi="Times New Roman" w:eastAsiaTheme="minorEastAsia"/>
                      <w:sz w:val="21"/>
                      <w:szCs w:val="21"/>
                    </w:rPr>
                    <w:t>危废暂存库</w:t>
                  </w:r>
                  <w:r>
                    <w:rPr>
                      <w:rFonts w:ascii="Times New Roman" w:hAnsi="Times New Roman" w:eastAsiaTheme="minorEastAsia"/>
                      <w:sz w:val="21"/>
                      <w:szCs w:val="21"/>
                    </w:rPr>
                    <w:t>，防渗要求：渗透系数10</w:t>
                  </w:r>
                  <w:r>
                    <w:rPr>
                      <w:rFonts w:ascii="Times New Roman" w:hAnsi="Times New Roman" w:eastAsiaTheme="minorEastAsia"/>
                      <w:sz w:val="21"/>
                      <w:szCs w:val="21"/>
                      <w:vertAlign w:val="superscript"/>
                    </w:rPr>
                    <w:t>-10</w:t>
                  </w:r>
                  <w:r>
                    <w:rPr>
                      <w:rFonts w:ascii="Times New Roman" w:hAnsi="Times New Roman" w:eastAsiaTheme="minorEastAsia"/>
                      <w:sz w:val="21"/>
                      <w:szCs w:val="21"/>
                    </w:rPr>
                    <w:t>cm/s，等效黏土防渗层Mb≥6.0m。施工时采用防渗混凝土浇筑，人工防渗材料衬层。</w:t>
                  </w:r>
                </w:p>
              </w:tc>
              <w:tc>
                <w:tcPr>
                  <w:tcW w:w="550" w:type="pct"/>
                  <w:vAlign w:val="center"/>
                </w:tcPr>
                <w:p w14:paraId="299731AF">
                  <w:pPr>
                    <w:pStyle w:val="63"/>
                    <w:rPr>
                      <w:rFonts w:ascii="Times New Roman" w:hAnsi="Times New Roman" w:eastAsiaTheme="minorEastAsia"/>
                      <w:sz w:val="21"/>
                      <w:szCs w:val="21"/>
                    </w:rPr>
                  </w:pPr>
                  <w:r>
                    <w:rPr>
                      <w:rFonts w:hint="eastAsia" w:ascii="Times New Roman" w:hAnsi="Times New Roman" w:eastAsiaTheme="minorEastAsia"/>
                      <w:sz w:val="21"/>
                      <w:szCs w:val="21"/>
                    </w:rPr>
                    <w:t>5</w:t>
                  </w:r>
                </w:p>
              </w:tc>
            </w:tr>
            <w:tr w14:paraId="7C0BB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2E06B4B8">
                  <w:pPr>
                    <w:pStyle w:val="63"/>
                    <w:rPr>
                      <w:rFonts w:ascii="Times New Roman" w:hAnsi="Times New Roman" w:eastAsiaTheme="minorEastAsia"/>
                      <w:b/>
                      <w:sz w:val="21"/>
                      <w:szCs w:val="21"/>
                    </w:rPr>
                  </w:pPr>
                </w:p>
              </w:tc>
              <w:tc>
                <w:tcPr>
                  <w:tcW w:w="508" w:type="pct"/>
                  <w:vMerge w:val="restart"/>
                  <w:vAlign w:val="center"/>
                </w:tcPr>
                <w:p w14:paraId="564C2725">
                  <w:pPr>
                    <w:adjustRightInd w:val="0"/>
                    <w:snapToGrid w:val="0"/>
                    <w:jc w:val="center"/>
                    <w:rPr>
                      <w:rFonts w:eastAsiaTheme="minorEastAsia"/>
                    </w:rPr>
                  </w:pPr>
                  <w:r>
                    <w:rPr>
                      <w:rFonts w:eastAsiaTheme="minorEastAsia"/>
                    </w:rPr>
                    <w:t>废气</w:t>
                  </w:r>
                </w:p>
              </w:tc>
              <w:tc>
                <w:tcPr>
                  <w:tcW w:w="2781" w:type="pct"/>
                  <w:gridSpan w:val="2"/>
                  <w:vAlign w:val="center"/>
                </w:tcPr>
                <w:p w14:paraId="75224526">
                  <w:pPr>
                    <w:adjustRightInd w:val="0"/>
                    <w:snapToGrid w:val="0"/>
                    <w:jc w:val="center"/>
                    <w:rPr>
                      <w:rFonts w:eastAsiaTheme="minorEastAsia"/>
                    </w:rPr>
                  </w:pPr>
                  <w:r>
                    <w:rPr>
                      <w:rFonts w:hint="eastAsia" w:eastAsiaTheme="minorEastAsia"/>
                    </w:rPr>
                    <w:t>分别于东西厂房内设置1台雾炮机</w:t>
                  </w:r>
                </w:p>
              </w:tc>
              <w:tc>
                <w:tcPr>
                  <w:tcW w:w="892" w:type="pct"/>
                  <w:vAlign w:val="center"/>
                </w:tcPr>
                <w:p w14:paraId="0CC654EE">
                  <w:pPr>
                    <w:pStyle w:val="63"/>
                    <w:rPr>
                      <w:rFonts w:ascii="Times New Roman" w:hAnsi="Times New Roman" w:eastAsiaTheme="minorEastAsia"/>
                      <w:sz w:val="21"/>
                      <w:szCs w:val="21"/>
                    </w:rPr>
                  </w:pPr>
                  <w:r>
                    <w:rPr>
                      <w:rFonts w:hint="eastAsia" w:ascii="Times New Roman" w:hAnsi="Times New Roman" w:eastAsiaTheme="minorEastAsia"/>
                      <w:sz w:val="21"/>
                      <w:szCs w:val="21"/>
                    </w:rPr>
                    <w:t>2台</w:t>
                  </w:r>
                </w:p>
              </w:tc>
              <w:tc>
                <w:tcPr>
                  <w:tcW w:w="550" w:type="pct"/>
                  <w:vAlign w:val="center"/>
                </w:tcPr>
                <w:p w14:paraId="0D4BA29D">
                  <w:pPr>
                    <w:pStyle w:val="63"/>
                    <w:rPr>
                      <w:rFonts w:ascii="Times New Roman" w:hAnsi="Times New Roman" w:eastAsiaTheme="minorEastAsia"/>
                      <w:sz w:val="21"/>
                      <w:szCs w:val="21"/>
                    </w:rPr>
                  </w:pPr>
                  <w:r>
                    <w:rPr>
                      <w:rFonts w:hint="eastAsia" w:ascii="Times New Roman" w:hAnsi="Times New Roman" w:eastAsiaTheme="minorEastAsia"/>
                      <w:sz w:val="21"/>
                      <w:szCs w:val="21"/>
                    </w:rPr>
                    <w:t>10</w:t>
                  </w:r>
                </w:p>
              </w:tc>
            </w:tr>
            <w:tr w14:paraId="339D3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706D2DFA">
                  <w:pPr>
                    <w:pStyle w:val="63"/>
                    <w:rPr>
                      <w:rFonts w:ascii="Times New Roman" w:hAnsi="Times New Roman" w:eastAsiaTheme="minorEastAsia"/>
                      <w:b/>
                      <w:sz w:val="21"/>
                      <w:szCs w:val="21"/>
                    </w:rPr>
                  </w:pPr>
                </w:p>
              </w:tc>
              <w:tc>
                <w:tcPr>
                  <w:tcW w:w="508" w:type="pct"/>
                  <w:vMerge w:val="continue"/>
                  <w:vAlign w:val="center"/>
                </w:tcPr>
                <w:p w14:paraId="4FD4A04B">
                  <w:pPr>
                    <w:adjustRightInd w:val="0"/>
                    <w:snapToGrid w:val="0"/>
                    <w:jc w:val="center"/>
                    <w:rPr>
                      <w:rFonts w:eastAsiaTheme="minorEastAsia"/>
                    </w:rPr>
                  </w:pPr>
                </w:p>
              </w:tc>
              <w:tc>
                <w:tcPr>
                  <w:tcW w:w="2781" w:type="pct"/>
                  <w:gridSpan w:val="2"/>
                  <w:vAlign w:val="center"/>
                </w:tcPr>
                <w:p w14:paraId="7B456095">
                  <w:pPr>
                    <w:adjustRightInd w:val="0"/>
                    <w:snapToGrid w:val="0"/>
                    <w:jc w:val="center"/>
                    <w:rPr>
                      <w:rFonts w:eastAsiaTheme="minorEastAsia"/>
                    </w:rPr>
                  </w:pPr>
                  <w:r>
                    <w:rPr>
                      <w:rFonts w:hint="eastAsia" w:eastAsiaTheme="minorEastAsia"/>
                    </w:rPr>
                    <w:t>车间密闭，在车间顶部安装抽排风系统</w:t>
                  </w:r>
                </w:p>
              </w:tc>
              <w:tc>
                <w:tcPr>
                  <w:tcW w:w="892" w:type="pct"/>
                  <w:vAlign w:val="center"/>
                </w:tcPr>
                <w:p w14:paraId="77886C79">
                  <w:pPr>
                    <w:pStyle w:val="63"/>
                    <w:rPr>
                      <w:rFonts w:ascii="Times New Roman" w:hAnsi="Times New Roman" w:eastAsiaTheme="minorEastAsia"/>
                      <w:sz w:val="21"/>
                      <w:szCs w:val="21"/>
                    </w:rPr>
                  </w:pPr>
                  <w:r>
                    <w:rPr>
                      <w:rFonts w:hint="eastAsia" w:ascii="Times New Roman" w:hAnsi="Times New Roman" w:eastAsiaTheme="minorEastAsia"/>
                      <w:sz w:val="21"/>
                      <w:szCs w:val="21"/>
                    </w:rPr>
                    <w:t>1套</w:t>
                  </w:r>
                </w:p>
              </w:tc>
              <w:tc>
                <w:tcPr>
                  <w:tcW w:w="550" w:type="pct"/>
                  <w:vAlign w:val="center"/>
                </w:tcPr>
                <w:p w14:paraId="30082E2E">
                  <w:pPr>
                    <w:pStyle w:val="63"/>
                    <w:rPr>
                      <w:rFonts w:ascii="Times New Roman" w:hAnsi="Times New Roman" w:eastAsiaTheme="minorEastAsia"/>
                      <w:sz w:val="21"/>
                      <w:szCs w:val="21"/>
                    </w:rPr>
                  </w:pPr>
                  <w:r>
                    <w:rPr>
                      <w:rFonts w:hint="eastAsia" w:ascii="Times New Roman" w:hAnsi="Times New Roman" w:eastAsiaTheme="minorEastAsia"/>
                      <w:sz w:val="21"/>
                      <w:szCs w:val="21"/>
                    </w:rPr>
                    <w:t>5</w:t>
                  </w:r>
                </w:p>
              </w:tc>
            </w:tr>
            <w:tr w14:paraId="1569B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265" w:type="pct"/>
                  <w:vMerge w:val="continue"/>
                  <w:vAlign w:val="center"/>
                </w:tcPr>
                <w:p w14:paraId="44F34613">
                  <w:pPr>
                    <w:pStyle w:val="63"/>
                    <w:rPr>
                      <w:rFonts w:ascii="Times New Roman" w:hAnsi="Times New Roman" w:eastAsiaTheme="minorEastAsia"/>
                      <w:b/>
                      <w:sz w:val="21"/>
                      <w:szCs w:val="21"/>
                    </w:rPr>
                  </w:pPr>
                </w:p>
              </w:tc>
              <w:tc>
                <w:tcPr>
                  <w:tcW w:w="508" w:type="pct"/>
                  <w:vMerge w:val="continue"/>
                  <w:vAlign w:val="center"/>
                </w:tcPr>
                <w:p w14:paraId="35048A03">
                  <w:pPr>
                    <w:adjustRightInd w:val="0"/>
                    <w:snapToGrid w:val="0"/>
                    <w:jc w:val="center"/>
                    <w:rPr>
                      <w:rFonts w:eastAsiaTheme="minorEastAsia"/>
                    </w:rPr>
                  </w:pPr>
                </w:p>
              </w:tc>
              <w:tc>
                <w:tcPr>
                  <w:tcW w:w="2781" w:type="pct"/>
                  <w:gridSpan w:val="2"/>
                  <w:vAlign w:val="center"/>
                </w:tcPr>
                <w:p w14:paraId="5EF3852C">
                  <w:pPr>
                    <w:jc w:val="center"/>
                    <w:rPr>
                      <w:rFonts w:eastAsiaTheme="minorEastAsia"/>
                      <w:bCs/>
                      <w:kern w:val="0"/>
                    </w:rPr>
                  </w:pPr>
                  <w:r>
                    <w:rPr>
                      <w:rFonts w:hint="eastAsia" w:eastAsiaTheme="minorEastAsia"/>
                      <w:bCs/>
                      <w:kern w:val="0"/>
                    </w:rPr>
                    <w:t>发酵过程中喷洒生物除臭剂除臭，配制喷洒设备</w:t>
                  </w:r>
                </w:p>
              </w:tc>
              <w:tc>
                <w:tcPr>
                  <w:tcW w:w="892" w:type="pct"/>
                  <w:vAlign w:val="center"/>
                </w:tcPr>
                <w:p w14:paraId="1A2F1ABB">
                  <w:pPr>
                    <w:jc w:val="center"/>
                    <w:rPr>
                      <w:rFonts w:eastAsiaTheme="minorEastAsia"/>
                    </w:rPr>
                  </w:pPr>
                  <w:r>
                    <w:rPr>
                      <w:rFonts w:eastAsiaTheme="minorEastAsia"/>
                    </w:rPr>
                    <w:t>1套</w:t>
                  </w:r>
                </w:p>
              </w:tc>
              <w:tc>
                <w:tcPr>
                  <w:tcW w:w="550" w:type="pct"/>
                  <w:vAlign w:val="center"/>
                </w:tcPr>
                <w:p w14:paraId="37D288A7">
                  <w:pPr>
                    <w:pStyle w:val="63"/>
                    <w:rPr>
                      <w:rFonts w:ascii="Times New Roman" w:hAnsi="Times New Roman" w:eastAsiaTheme="minorEastAsia"/>
                      <w:sz w:val="21"/>
                      <w:szCs w:val="21"/>
                    </w:rPr>
                  </w:pPr>
                  <w:r>
                    <w:rPr>
                      <w:rFonts w:hint="eastAsia" w:ascii="Times New Roman" w:hAnsi="Times New Roman" w:eastAsiaTheme="minorEastAsia"/>
                      <w:sz w:val="21"/>
                      <w:szCs w:val="21"/>
                    </w:rPr>
                    <w:t>1.2</w:t>
                  </w:r>
                </w:p>
              </w:tc>
            </w:tr>
            <w:tr w14:paraId="1CF0C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70DBF74">
                  <w:pPr>
                    <w:pStyle w:val="63"/>
                    <w:rPr>
                      <w:rFonts w:ascii="Times New Roman" w:hAnsi="Times New Roman" w:eastAsiaTheme="minorEastAsia"/>
                      <w:b/>
                      <w:sz w:val="21"/>
                      <w:szCs w:val="21"/>
                    </w:rPr>
                  </w:pPr>
                </w:p>
              </w:tc>
              <w:tc>
                <w:tcPr>
                  <w:tcW w:w="508" w:type="pct"/>
                  <w:vAlign w:val="center"/>
                </w:tcPr>
                <w:p w14:paraId="61B350F1">
                  <w:pPr>
                    <w:adjustRightInd w:val="0"/>
                    <w:snapToGrid w:val="0"/>
                    <w:jc w:val="center"/>
                    <w:rPr>
                      <w:rFonts w:eastAsiaTheme="minorEastAsia"/>
                    </w:rPr>
                  </w:pPr>
                  <w:r>
                    <w:rPr>
                      <w:rFonts w:hint="eastAsia" w:eastAsiaTheme="minorEastAsia"/>
                    </w:rPr>
                    <w:t>噪声</w:t>
                  </w:r>
                </w:p>
              </w:tc>
              <w:tc>
                <w:tcPr>
                  <w:tcW w:w="3674" w:type="pct"/>
                  <w:gridSpan w:val="3"/>
                  <w:vAlign w:val="center"/>
                </w:tcPr>
                <w:p w14:paraId="38D70B6A">
                  <w:pPr>
                    <w:jc w:val="center"/>
                    <w:rPr>
                      <w:rFonts w:eastAsiaTheme="minorEastAsia"/>
                    </w:rPr>
                  </w:pPr>
                  <w:r>
                    <w:rPr>
                      <w:rFonts w:eastAsiaTheme="minorEastAsia"/>
                    </w:rPr>
                    <w:t>设备减震、降噪</w:t>
                  </w:r>
                </w:p>
              </w:tc>
              <w:tc>
                <w:tcPr>
                  <w:tcW w:w="550" w:type="pct"/>
                  <w:vAlign w:val="center"/>
                </w:tcPr>
                <w:p w14:paraId="73EDD794">
                  <w:pPr>
                    <w:pStyle w:val="63"/>
                    <w:rPr>
                      <w:rFonts w:ascii="Times New Roman" w:hAnsi="Times New Roman" w:eastAsiaTheme="minorEastAsia"/>
                      <w:sz w:val="21"/>
                      <w:szCs w:val="21"/>
                    </w:rPr>
                  </w:pPr>
                  <w:r>
                    <w:rPr>
                      <w:rFonts w:hint="eastAsia" w:ascii="Times New Roman" w:hAnsi="Times New Roman" w:eastAsiaTheme="minorEastAsia"/>
                      <w:sz w:val="21"/>
                      <w:szCs w:val="21"/>
                    </w:rPr>
                    <w:t>8.5</w:t>
                  </w:r>
                </w:p>
              </w:tc>
            </w:tr>
            <w:tr w14:paraId="31773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4AE4321A">
                  <w:pPr>
                    <w:pStyle w:val="63"/>
                    <w:rPr>
                      <w:rFonts w:ascii="Times New Roman" w:hAnsi="Times New Roman" w:eastAsiaTheme="minorEastAsia"/>
                      <w:b/>
                      <w:sz w:val="21"/>
                      <w:szCs w:val="21"/>
                    </w:rPr>
                  </w:pPr>
                </w:p>
              </w:tc>
              <w:tc>
                <w:tcPr>
                  <w:tcW w:w="508" w:type="pct"/>
                  <w:vMerge w:val="restart"/>
                  <w:vAlign w:val="center"/>
                </w:tcPr>
                <w:p w14:paraId="29FA98B2">
                  <w:pPr>
                    <w:pStyle w:val="63"/>
                    <w:rPr>
                      <w:rFonts w:ascii="Times New Roman" w:hAnsi="Times New Roman" w:eastAsiaTheme="minorEastAsia"/>
                      <w:sz w:val="21"/>
                      <w:szCs w:val="21"/>
                    </w:rPr>
                  </w:pPr>
                  <w:r>
                    <w:rPr>
                      <w:rFonts w:ascii="Times New Roman" w:hAnsi="Times New Roman" w:eastAsiaTheme="minorEastAsia"/>
                      <w:sz w:val="21"/>
                      <w:szCs w:val="21"/>
                    </w:rPr>
                    <w:t>固废</w:t>
                  </w:r>
                </w:p>
              </w:tc>
              <w:tc>
                <w:tcPr>
                  <w:tcW w:w="2781" w:type="pct"/>
                  <w:gridSpan w:val="2"/>
                  <w:vAlign w:val="center"/>
                </w:tcPr>
                <w:p w14:paraId="1D8872A4">
                  <w:pPr>
                    <w:pStyle w:val="63"/>
                    <w:rPr>
                      <w:rFonts w:ascii="Times New Roman" w:hAnsi="Times New Roman" w:eastAsiaTheme="minorEastAsia"/>
                      <w:sz w:val="21"/>
                      <w:szCs w:val="21"/>
                    </w:rPr>
                  </w:pPr>
                  <w:r>
                    <w:rPr>
                      <w:rFonts w:ascii="Times New Roman" w:hAnsi="Times New Roman" w:eastAsiaTheme="minorEastAsia"/>
                      <w:sz w:val="21"/>
                      <w:szCs w:val="21"/>
                    </w:rPr>
                    <w:t>垃圾桶</w:t>
                  </w:r>
                </w:p>
              </w:tc>
              <w:tc>
                <w:tcPr>
                  <w:tcW w:w="892" w:type="pct"/>
                  <w:vAlign w:val="center"/>
                </w:tcPr>
                <w:p w14:paraId="1C9A879A">
                  <w:pPr>
                    <w:pStyle w:val="63"/>
                    <w:rPr>
                      <w:rFonts w:ascii="Times New Roman" w:hAnsi="Times New Roman" w:eastAsiaTheme="minorEastAsia"/>
                      <w:sz w:val="21"/>
                      <w:szCs w:val="21"/>
                    </w:rPr>
                  </w:pPr>
                  <w:r>
                    <w:rPr>
                      <w:rFonts w:hint="eastAsia" w:ascii="Times New Roman" w:hAnsi="Times New Roman" w:eastAsiaTheme="minorEastAsia"/>
                      <w:sz w:val="21"/>
                      <w:szCs w:val="21"/>
                    </w:rPr>
                    <w:t>5</w:t>
                  </w:r>
                </w:p>
              </w:tc>
              <w:tc>
                <w:tcPr>
                  <w:tcW w:w="550" w:type="pct"/>
                  <w:vAlign w:val="center"/>
                </w:tcPr>
                <w:p w14:paraId="5835F22C">
                  <w:pPr>
                    <w:pStyle w:val="63"/>
                    <w:rPr>
                      <w:rFonts w:ascii="Times New Roman" w:hAnsi="Times New Roman" w:eastAsiaTheme="minorEastAsia"/>
                      <w:sz w:val="21"/>
                      <w:szCs w:val="21"/>
                    </w:rPr>
                  </w:pPr>
                  <w:r>
                    <w:rPr>
                      <w:rFonts w:ascii="Times New Roman" w:hAnsi="Times New Roman" w:eastAsiaTheme="minorEastAsia"/>
                      <w:sz w:val="21"/>
                      <w:szCs w:val="21"/>
                    </w:rPr>
                    <w:t>0.</w:t>
                  </w:r>
                  <w:r>
                    <w:rPr>
                      <w:rFonts w:hint="eastAsia" w:ascii="Times New Roman" w:hAnsi="Times New Roman" w:eastAsiaTheme="minorEastAsia"/>
                      <w:sz w:val="21"/>
                      <w:szCs w:val="21"/>
                    </w:rPr>
                    <w:t>05</w:t>
                  </w:r>
                </w:p>
              </w:tc>
            </w:tr>
            <w:tr w14:paraId="3B68D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35E0DDF">
                  <w:pPr>
                    <w:pStyle w:val="63"/>
                    <w:rPr>
                      <w:rFonts w:ascii="Times New Roman" w:hAnsi="Times New Roman" w:eastAsiaTheme="minorEastAsia"/>
                      <w:b/>
                      <w:sz w:val="21"/>
                      <w:szCs w:val="21"/>
                    </w:rPr>
                  </w:pPr>
                </w:p>
              </w:tc>
              <w:tc>
                <w:tcPr>
                  <w:tcW w:w="508" w:type="pct"/>
                  <w:vMerge w:val="continue"/>
                  <w:vAlign w:val="center"/>
                </w:tcPr>
                <w:p w14:paraId="1E4140E0">
                  <w:pPr>
                    <w:pStyle w:val="63"/>
                    <w:rPr>
                      <w:rFonts w:ascii="Times New Roman" w:hAnsi="Times New Roman" w:eastAsiaTheme="minorEastAsia"/>
                      <w:sz w:val="21"/>
                      <w:szCs w:val="21"/>
                    </w:rPr>
                  </w:pPr>
                </w:p>
              </w:tc>
              <w:tc>
                <w:tcPr>
                  <w:tcW w:w="2781" w:type="pct"/>
                  <w:gridSpan w:val="2"/>
                  <w:vAlign w:val="center"/>
                </w:tcPr>
                <w:p w14:paraId="4836A4D4">
                  <w:pPr>
                    <w:pStyle w:val="63"/>
                    <w:rPr>
                      <w:rFonts w:ascii="Times New Roman" w:hAnsi="Times New Roman" w:eastAsiaTheme="minorEastAsia"/>
                      <w:sz w:val="21"/>
                      <w:szCs w:val="21"/>
                    </w:rPr>
                  </w:pPr>
                  <w:r>
                    <w:rPr>
                      <w:rFonts w:hint="eastAsia" w:ascii="Times New Roman" w:hAnsi="Times New Roman" w:eastAsiaTheme="minorEastAsia"/>
                      <w:sz w:val="21"/>
                      <w:szCs w:val="21"/>
                    </w:rPr>
                    <w:t>一般固废暂存库</w:t>
                  </w:r>
                </w:p>
              </w:tc>
              <w:tc>
                <w:tcPr>
                  <w:tcW w:w="892" w:type="pct"/>
                  <w:vAlign w:val="center"/>
                </w:tcPr>
                <w:p w14:paraId="40B5CFB5">
                  <w:pPr>
                    <w:pStyle w:val="63"/>
                    <w:rPr>
                      <w:rFonts w:ascii="Times New Roman" w:hAnsi="Times New Roman" w:eastAsiaTheme="minorEastAsia"/>
                      <w:sz w:val="21"/>
                      <w:szCs w:val="21"/>
                    </w:rPr>
                  </w:pPr>
                  <w:r>
                    <w:rPr>
                      <w:rFonts w:ascii="Times New Roman" w:hAnsi="Times New Roman" w:eastAsiaTheme="minorEastAsia"/>
                      <w:sz w:val="21"/>
                      <w:szCs w:val="21"/>
                    </w:rPr>
                    <w:t>1间，</w:t>
                  </w:r>
                  <w:r>
                    <w:rPr>
                      <w:rFonts w:hint="eastAsia" w:ascii="Times New Roman" w:hAnsi="Times New Roman" w:eastAsiaTheme="minorEastAsia"/>
                      <w:sz w:val="21"/>
                      <w:szCs w:val="21"/>
                    </w:rPr>
                    <w:t>5</w:t>
                  </w:r>
                  <w:r>
                    <w:rPr>
                      <w:rFonts w:ascii="Times New Roman" w:hAnsi="Times New Roman" w:eastAsiaTheme="minorEastAsia"/>
                      <w:sz w:val="21"/>
                      <w:szCs w:val="21"/>
                    </w:rPr>
                    <w:t>m</w:t>
                  </w:r>
                  <w:r>
                    <w:rPr>
                      <w:rFonts w:ascii="Times New Roman" w:hAnsi="Times New Roman" w:eastAsiaTheme="minorEastAsia"/>
                      <w:sz w:val="21"/>
                      <w:szCs w:val="21"/>
                      <w:vertAlign w:val="superscript"/>
                    </w:rPr>
                    <w:t>2</w:t>
                  </w:r>
                </w:p>
              </w:tc>
              <w:tc>
                <w:tcPr>
                  <w:tcW w:w="550" w:type="pct"/>
                  <w:vAlign w:val="center"/>
                </w:tcPr>
                <w:p w14:paraId="31A022BC">
                  <w:pPr>
                    <w:pStyle w:val="63"/>
                    <w:rPr>
                      <w:rFonts w:ascii="Times New Roman" w:hAnsi="Times New Roman" w:eastAsiaTheme="minorEastAsia"/>
                      <w:sz w:val="21"/>
                      <w:szCs w:val="21"/>
                    </w:rPr>
                  </w:pPr>
                  <w:r>
                    <w:rPr>
                      <w:rFonts w:hint="eastAsia" w:ascii="Times New Roman" w:hAnsi="Times New Roman" w:eastAsiaTheme="minorEastAsia"/>
                      <w:sz w:val="21"/>
                      <w:szCs w:val="21"/>
                    </w:rPr>
                    <w:t>1</w:t>
                  </w:r>
                </w:p>
              </w:tc>
            </w:tr>
            <w:tr w14:paraId="595B0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792E0779">
                  <w:pPr>
                    <w:pStyle w:val="63"/>
                    <w:rPr>
                      <w:rFonts w:ascii="Times New Roman" w:hAnsi="Times New Roman" w:eastAsiaTheme="minorEastAsia"/>
                      <w:b/>
                      <w:sz w:val="21"/>
                      <w:szCs w:val="21"/>
                    </w:rPr>
                  </w:pPr>
                </w:p>
              </w:tc>
              <w:tc>
                <w:tcPr>
                  <w:tcW w:w="508" w:type="pct"/>
                  <w:vMerge w:val="continue"/>
                  <w:vAlign w:val="center"/>
                </w:tcPr>
                <w:p w14:paraId="56BB27AC">
                  <w:pPr>
                    <w:pStyle w:val="63"/>
                    <w:rPr>
                      <w:rFonts w:ascii="Times New Roman" w:hAnsi="Times New Roman" w:eastAsiaTheme="minorEastAsia"/>
                      <w:sz w:val="21"/>
                      <w:szCs w:val="21"/>
                    </w:rPr>
                  </w:pPr>
                </w:p>
              </w:tc>
              <w:tc>
                <w:tcPr>
                  <w:tcW w:w="2781" w:type="pct"/>
                  <w:gridSpan w:val="2"/>
                  <w:vAlign w:val="center"/>
                </w:tcPr>
                <w:p w14:paraId="365E1388">
                  <w:pPr>
                    <w:pStyle w:val="63"/>
                    <w:rPr>
                      <w:rFonts w:ascii="Times New Roman" w:hAnsi="Times New Roman" w:eastAsiaTheme="minorEastAsia"/>
                      <w:sz w:val="21"/>
                      <w:szCs w:val="21"/>
                    </w:rPr>
                  </w:pPr>
                  <w:r>
                    <w:rPr>
                      <w:rFonts w:hint="eastAsia" w:ascii="Times New Roman" w:hAnsi="Times New Roman" w:eastAsiaTheme="minorEastAsia"/>
                      <w:sz w:val="21"/>
                      <w:szCs w:val="21"/>
                    </w:rPr>
                    <w:t>危废暂存库</w:t>
                  </w:r>
                </w:p>
              </w:tc>
              <w:tc>
                <w:tcPr>
                  <w:tcW w:w="892" w:type="pct"/>
                  <w:vAlign w:val="center"/>
                </w:tcPr>
                <w:p w14:paraId="0C447712">
                  <w:pPr>
                    <w:pStyle w:val="63"/>
                    <w:rPr>
                      <w:rFonts w:ascii="Times New Roman" w:hAnsi="Times New Roman" w:eastAsiaTheme="minorEastAsia"/>
                      <w:sz w:val="21"/>
                      <w:szCs w:val="21"/>
                    </w:rPr>
                  </w:pPr>
                  <w:r>
                    <w:rPr>
                      <w:rFonts w:ascii="Times New Roman" w:hAnsi="Times New Roman" w:eastAsiaTheme="minorEastAsia"/>
                      <w:sz w:val="21"/>
                      <w:szCs w:val="21"/>
                    </w:rPr>
                    <w:t>1间，</w:t>
                  </w:r>
                  <w:r>
                    <w:rPr>
                      <w:rFonts w:hint="eastAsia" w:ascii="Times New Roman" w:hAnsi="Times New Roman" w:eastAsiaTheme="minorEastAsia"/>
                      <w:sz w:val="21"/>
                      <w:szCs w:val="21"/>
                    </w:rPr>
                    <w:t>5</w:t>
                  </w:r>
                  <w:r>
                    <w:rPr>
                      <w:rFonts w:ascii="Times New Roman" w:hAnsi="Times New Roman" w:eastAsiaTheme="minorEastAsia"/>
                      <w:sz w:val="21"/>
                      <w:szCs w:val="21"/>
                    </w:rPr>
                    <w:t>m</w:t>
                  </w:r>
                  <w:r>
                    <w:rPr>
                      <w:rFonts w:ascii="Times New Roman" w:hAnsi="Times New Roman" w:eastAsiaTheme="minorEastAsia"/>
                      <w:sz w:val="21"/>
                      <w:szCs w:val="21"/>
                      <w:vertAlign w:val="superscript"/>
                    </w:rPr>
                    <w:t>2</w:t>
                  </w:r>
                </w:p>
              </w:tc>
              <w:tc>
                <w:tcPr>
                  <w:tcW w:w="550" w:type="pct"/>
                  <w:vAlign w:val="center"/>
                </w:tcPr>
                <w:p w14:paraId="43729046">
                  <w:pPr>
                    <w:pStyle w:val="63"/>
                    <w:rPr>
                      <w:rFonts w:ascii="Times New Roman" w:hAnsi="Times New Roman" w:eastAsiaTheme="minorEastAsia"/>
                      <w:sz w:val="21"/>
                      <w:szCs w:val="21"/>
                    </w:rPr>
                  </w:pPr>
                  <w:r>
                    <w:rPr>
                      <w:rFonts w:hint="eastAsia" w:ascii="Times New Roman" w:hAnsi="Times New Roman" w:eastAsiaTheme="minorEastAsia"/>
                      <w:sz w:val="21"/>
                      <w:szCs w:val="21"/>
                    </w:rPr>
                    <w:t>2</w:t>
                  </w:r>
                </w:p>
              </w:tc>
            </w:tr>
            <w:tr w14:paraId="5EA9C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2FCD1740">
                  <w:pPr>
                    <w:pStyle w:val="8"/>
                    <w:tabs>
                      <w:tab w:val="left" w:pos="5220"/>
                    </w:tabs>
                    <w:jc w:val="center"/>
                    <w:outlineLvl w:val="1"/>
                    <w:rPr>
                      <w:rFonts w:eastAsiaTheme="minorEastAsia"/>
                      <w:szCs w:val="21"/>
                    </w:rPr>
                  </w:pPr>
                </w:p>
              </w:tc>
              <w:tc>
                <w:tcPr>
                  <w:tcW w:w="508" w:type="pct"/>
                  <w:vAlign w:val="center"/>
                </w:tcPr>
                <w:p w14:paraId="4E7E0C2D">
                  <w:pPr>
                    <w:pStyle w:val="8"/>
                    <w:tabs>
                      <w:tab w:val="left" w:pos="5220"/>
                    </w:tabs>
                    <w:jc w:val="center"/>
                    <w:outlineLvl w:val="1"/>
                    <w:rPr>
                      <w:rFonts w:eastAsiaTheme="minorEastAsia"/>
                      <w:sz w:val="21"/>
                      <w:szCs w:val="21"/>
                    </w:rPr>
                  </w:pPr>
                  <w:r>
                    <w:rPr>
                      <w:rFonts w:eastAsiaTheme="minorEastAsia"/>
                      <w:sz w:val="21"/>
                      <w:szCs w:val="21"/>
                    </w:rPr>
                    <w:t>环境保护管理</w:t>
                  </w:r>
                </w:p>
              </w:tc>
              <w:tc>
                <w:tcPr>
                  <w:tcW w:w="3674" w:type="pct"/>
                  <w:gridSpan w:val="3"/>
                  <w:vAlign w:val="center"/>
                </w:tcPr>
                <w:p w14:paraId="5DA45938">
                  <w:pPr>
                    <w:pStyle w:val="8"/>
                    <w:tabs>
                      <w:tab w:val="left" w:pos="5220"/>
                    </w:tabs>
                    <w:jc w:val="center"/>
                    <w:outlineLvl w:val="1"/>
                    <w:rPr>
                      <w:rFonts w:eastAsiaTheme="minorEastAsia"/>
                      <w:sz w:val="21"/>
                      <w:szCs w:val="21"/>
                    </w:rPr>
                  </w:pPr>
                  <w:r>
                    <w:rPr>
                      <w:rFonts w:eastAsiaTheme="minorEastAsia"/>
                      <w:sz w:val="21"/>
                      <w:szCs w:val="21"/>
                    </w:rPr>
                    <w:t>运行维护和</w:t>
                  </w:r>
                  <w:r>
                    <w:rPr>
                      <w:rFonts w:hint="eastAsia" w:eastAsiaTheme="minorEastAsia"/>
                      <w:sz w:val="21"/>
                      <w:szCs w:val="21"/>
                    </w:rPr>
                    <w:t>监测</w:t>
                  </w:r>
                  <w:r>
                    <w:rPr>
                      <w:rFonts w:eastAsiaTheme="minorEastAsia"/>
                      <w:sz w:val="21"/>
                      <w:szCs w:val="21"/>
                    </w:rPr>
                    <w:t>等费用</w:t>
                  </w:r>
                </w:p>
              </w:tc>
              <w:tc>
                <w:tcPr>
                  <w:tcW w:w="550" w:type="pct"/>
                  <w:vAlign w:val="center"/>
                </w:tcPr>
                <w:p w14:paraId="1BEB7AE0">
                  <w:pPr>
                    <w:widowControl/>
                    <w:jc w:val="center"/>
                    <w:textAlignment w:val="center"/>
                    <w:rPr>
                      <w:rFonts w:eastAsiaTheme="minorEastAsia"/>
                      <w:kern w:val="0"/>
                      <w:szCs w:val="21"/>
                    </w:rPr>
                  </w:pPr>
                  <w:r>
                    <w:rPr>
                      <w:rFonts w:eastAsiaTheme="minorEastAsia"/>
                      <w:kern w:val="0"/>
                      <w:szCs w:val="21"/>
                    </w:rPr>
                    <w:t>4</w:t>
                  </w:r>
                </w:p>
              </w:tc>
            </w:tr>
            <w:tr w14:paraId="42C61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449" w:type="pct"/>
                  <w:gridSpan w:val="5"/>
                  <w:vAlign w:val="center"/>
                </w:tcPr>
                <w:p w14:paraId="1B969927">
                  <w:pPr>
                    <w:pStyle w:val="63"/>
                    <w:rPr>
                      <w:rFonts w:ascii="Times New Roman" w:hAnsi="Times New Roman" w:eastAsiaTheme="minorEastAsia"/>
                      <w:b/>
                      <w:sz w:val="21"/>
                      <w:szCs w:val="21"/>
                    </w:rPr>
                  </w:pPr>
                  <w:r>
                    <w:rPr>
                      <w:rFonts w:ascii="Times New Roman" w:hAnsi="Times New Roman" w:eastAsiaTheme="minorEastAsia"/>
                    </w:rPr>
                    <w:t>合计</w:t>
                  </w:r>
                </w:p>
              </w:tc>
              <w:tc>
                <w:tcPr>
                  <w:tcW w:w="550" w:type="pct"/>
                  <w:vAlign w:val="center"/>
                </w:tcPr>
                <w:p w14:paraId="78D54506">
                  <w:pPr>
                    <w:pStyle w:val="64"/>
                    <w:rPr>
                      <w:rFonts w:ascii="Times New Roman" w:hAnsi="Times New Roman" w:eastAsiaTheme="minorEastAsia"/>
                    </w:rPr>
                  </w:pPr>
                  <w:r>
                    <w:rPr>
                      <w:rFonts w:hint="eastAsia" w:ascii="Times New Roman" w:hAnsi="Times New Roman" w:eastAsiaTheme="minorEastAsia"/>
                    </w:rPr>
                    <w:t>47.05</w:t>
                  </w:r>
                </w:p>
              </w:tc>
            </w:tr>
          </w:tbl>
          <w:p w14:paraId="567C8161">
            <w:pPr>
              <w:jc w:val="center"/>
              <w:rPr>
                <w:bCs/>
                <w:szCs w:val="21"/>
              </w:rPr>
            </w:pPr>
          </w:p>
        </w:tc>
      </w:tr>
      <w:tr w14:paraId="730B9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823" w:type="dxa"/>
            <w:vAlign w:val="center"/>
          </w:tcPr>
          <w:p w14:paraId="447A5B91">
            <w:pPr>
              <w:pStyle w:val="19"/>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工艺流程和产排污环节</w:t>
            </w:r>
          </w:p>
        </w:tc>
        <w:tc>
          <w:tcPr>
            <w:tcW w:w="8161" w:type="dxa"/>
          </w:tcPr>
          <w:p w14:paraId="06051B63">
            <w:pPr>
              <w:numPr>
                <w:ilvl w:val="0"/>
                <w:numId w:val="3"/>
              </w:numPr>
              <w:adjustRightInd w:val="0"/>
              <w:snapToGrid w:val="0"/>
              <w:spacing w:line="360" w:lineRule="auto"/>
              <w:rPr>
                <w:b/>
                <w:bCs/>
                <w:sz w:val="24"/>
              </w:rPr>
            </w:pPr>
            <w:r>
              <w:rPr>
                <w:rFonts w:hint="eastAsia"/>
                <w:b/>
                <w:bCs/>
                <w:sz w:val="24"/>
              </w:rPr>
              <w:t>施工期</w:t>
            </w:r>
          </w:p>
          <w:p w14:paraId="33B9695D">
            <w:pPr>
              <w:spacing w:line="360" w:lineRule="auto"/>
              <w:ind w:firstLine="480" w:firstLineChars="200"/>
              <w:jc w:val="left"/>
              <w:rPr>
                <w:rFonts w:eastAsiaTheme="minorEastAsia"/>
                <w:sz w:val="24"/>
              </w:rPr>
            </w:pPr>
            <w:r>
              <w:rPr>
                <w:rFonts w:hint="eastAsia"/>
                <w:sz w:val="24"/>
              </w:rPr>
              <w:t>根据现场踏勘，项目租用云南建工云岭水泥有限公司已建厂房进行建设，施工期主要对现有厂房进行改造，并配套安装生产设备和环保设施等，</w:t>
            </w:r>
            <w:r>
              <w:rPr>
                <w:rFonts w:eastAsiaTheme="minorEastAsia"/>
                <w:sz w:val="24"/>
              </w:rPr>
              <w:t>施工期工艺流程及产污节点见图</w:t>
            </w:r>
            <w:r>
              <w:rPr>
                <w:rFonts w:hint="eastAsia" w:eastAsiaTheme="minorEastAsia"/>
                <w:sz w:val="24"/>
              </w:rPr>
              <w:t>2-4</w:t>
            </w:r>
            <w:r>
              <w:rPr>
                <w:rFonts w:eastAsiaTheme="minorEastAsia"/>
                <w:sz w:val="24"/>
              </w:rPr>
              <w:t>。</w:t>
            </w:r>
          </w:p>
          <w:p w14:paraId="7D1B8639">
            <w:pPr>
              <w:pStyle w:val="3"/>
              <w:spacing w:before="0" w:after="0" w:line="360" w:lineRule="auto"/>
              <w:ind w:left="1928" w:hanging="1928" w:hangingChars="600"/>
              <w:rPr>
                <w:rFonts w:eastAsiaTheme="minorEastAsia"/>
                <w:sz w:val="21"/>
                <w:szCs w:val="21"/>
              </w:rPr>
            </w:pPr>
            <w:r>
              <w:object>
                <v:shape id="_x0000_i1027" o:spt="75" type="#_x0000_t75" style="height:77.8pt;width:397.1pt;" o:ole="t" filled="f" o:preferrelative="t" stroked="f" coordsize="21600,21600">
                  <v:path/>
                  <v:fill on="f" focussize="0,0"/>
                  <v:stroke on="f" joinstyle="miter"/>
                  <v:imagedata r:id="rId17" o:title=""/>
                  <o:lock v:ext="edit" aspectratio="f"/>
                  <w10:wrap type="none"/>
                  <w10:anchorlock/>
                </v:shape>
                <o:OLEObject Type="Embed" ProgID="Visio.Drawing.11" ShapeID="_x0000_i1027" DrawAspect="Content" ObjectID="_1468075727" r:id="rId16">
                  <o:LockedField>false</o:LockedField>
                </o:OLEObject>
              </w:object>
            </w:r>
            <w:r>
              <w:rPr>
                <w:rFonts w:hint="eastAsia"/>
              </w:rPr>
              <w:t xml:space="preserve"> </w:t>
            </w:r>
            <w:r>
              <w:rPr>
                <w:rFonts w:eastAsiaTheme="minorEastAsia"/>
                <w:sz w:val="18"/>
                <w:szCs w:val="21"/>
              </w:rPr>
              <w:t>图</w:t>
            </w:r>
            <w:r>
              <w:rPr>
                <w:rFonts w:hint="eastAsia" w:eastAsiaTheme="minorEastAsia"/>
                <w:sz w:val="21"/>
                <w:szCs w:val="21"/>
              </w:rPr>
              <w:t xml:space="preserve">2-4 </w:t>
            </w:r>
            <w:r>
              <w:rPr>
                <w:rFonts w:eastAsiaTheme="minorEastAsia"/>
                <w:sz w:val="21"/>
                <w:szCs w:val="21"/>
              </w:rPr>
              <w:t xml:space="preserve"> 施工期工艺流程及产污环节图  </w:t>
            </w:r>
          </w:p>
          <w:p w14:paraId="5DCCEB76">
            <w:pPr>
              <w:adjustRightInd w:val="0"/>
              <w:snapToGrid w:val="0"/>
              <w:spacing w:line="360" w:lineRule="auto"/>
              <w:rPr>
                <w:rFonts w:eastAsiaTheme="minorEastAsia"/>
                <w:sz w:val="24"/>
              </w:rPr>
            </w:pPr>
            <w:r>
              <w:rPr>
                <w:rFonts w:eastAsiaTheme="minorEastAsia"/>
                <w:sz w:val="24"/>
              </w:rPr>
              <w:t>施工期污染因素分析：</w:t>
            </w:r>
          </w:p>
          <w:p w14:paraId="501EF1E8">
            <w:pPr>
              <w:spacing w:line="360" w:lineRule="auto"/>
              <w:ind w:firstLine="480" w:firstLineChars="200"/>
              <w:rPr>
                <w:rFonts w:eastAsiaTheme="minorEastAsia"/>
                <w:bCs/>
                <w:sz w:val="24"/>
              </w:rPr>
            </w:pPr>
            <w:r>
              <w:rPr>
                <w:rFonts w:eastAsiaTheme="minorEastAsia"/>
                <w:bCs/>
                <w:sz w:val="24"/>
              </w:rPr>
              <w:t>（1）废气</w:t>
            </w:r>
          </w:p>
          <w:p w14:paraId="764D16F1">
            <w:pPr>
              <w:spacing w:line="360" w:lineRule="auto"/>
              <w:ind w:firstLine="480" w:firstLineChars="200"/>
              <w:jc w:val="left"/>
              <w:rPr>
                <w:rFonts w:eastAsiaTheme="minorEastAsia"/>
                <w:bCs/>
                <w:sz w:val="24"/>
              </w:rPr>
            </w:pPr>
            <w:r>
              <w:rPr>
                <w:rFonts w:eastAsiaTheme="minorEastAsia"/>
                <w:bCs/>
                <w:sz w:val="24"/>
              </w:rPr>
              <w:t>项目施工期废气包括施工扬尘、运输扬尘和汽车尾气及机械废气。</w:t>
            </w:r>
          </w:p>
          <w:p w14:paraId="0F636FB6">
            <w:pPr>
              <w:spacing w:line="360" w:lineRule="auto"/>
              <w:ind w:firstLine="480" w:firstLineChars="200"/>
              <w:rPr>
                <w:rFonts w:eastAsiaTheme="minorEastAsia"/>
                <w:bCs/>
                <w:sz w:val="24"/>
              </w:rPr>
            </w:pPr>
            <w:r>
              <w:rPr>
                <w:rFonts w:eastAsiaTheme="minorEastAsia"/>
                <w:bCs/>
                <w:sz w:val="24"/>
              </w:rPr>
              <w:t>（2）废水</w:t>
            </w:r>
          </w:p>
          <w:p w14:paraId="7F87AD83">
            <w:pPr>
              <w:spacing w:line="360" w:lineRule="auto"/>
              <w:ind w:firstLine="480" w:firstLineChars="200"/>
              <w:rPr>
                <w:rFonts w:eastAsiaTheme="minorEastAsia"/>
                <w:bCs/>
                <w:sz w:val="24"/>
              </w:rPr>
            </w:pPr>
            <w:r>
              <w:rPr>
                <w:rFonts w:eastAsiaTheme="minorEastAsia"/>
                <w:bCs/>
                <w:sz w:val="24"/>
              </w:rPr>
              <w:t>项目施工期废水主要为施工废水、施工人员生活废水。</w:t>
            </w:r>
          </w:p>
          <w:p w14:paraId="6E96CC3E">
            <w:pPr>
              <w:spacing w:line="360" w:lineRule="auto"/>
              <w:ind w:firstLine="480" w:firstLineChars="200"/>
              <w:rPr>
                <w:rFonts w:eastAsiaTheme="minorEastAsia"/>
                <w:bCs/>
                <w:sz w:val="24"/>
              </w:rPr>
            </w:pPr>
            <w:r>
              <w:rPr>
                <w:rFonts w:eastAsiaTheme="minorEastAsia"/>
                <w:bCs/>
                <w:sz w:val="24"/>
              </w:rPr>
              <w:t>（3）噪声</w:t>
            </w:r>
          </w:p>
          <w:p w14:paraId="61434D44">
            <w:pPr>
              <w:spacing w:line="360" w:lineRule="auto"/>
              <w:ind w:firstLine="480" w:firstLineChars="200"/>
              <w:rPr>
                <w:rFonts w:eastAsiaTheme="minorEastAsia"/>
                <w:bCs/>
                <w:sz w:val="24"/>
              </w:rPr>
            </w:pPr>
            <w:r>
              <w:rPr>
                <w:rFonts w:eastAsiaTheme="minorEastAsia"/>
                <w:bCs/>
                <w:sz w:val="24"/>
                <w:szCs w:val="22"/>
              </w:rPr>
              <w:t>项目施工期的噪声主要为机械噪声、施工作业噪声和施工车辆噪声。</w:t>
            </w:r>
          </w:p>
          <w:p w14:paraId="17779505">
            <w:pPr>
              <w:spacing w:line="360" w:lineRule="auto"/>
              <w:ind w:firstLine="480" w:firstLineChars="200"/>
              <w:rPr>
                <w:rFonts w:eastAsiaTheme="minorEastAsia"/>
                <w:bCs/>
                <w:sz w:val="24"/>
              </w:rPr>
            </w:pPr>
            <w:r>
              <w:rPr>
                <w:rFonts w:eastAsiaTheme="minorEastAsia"/>
                <w:bCs/>
                <w:sz w:val="24"/>
              </w:rPr>
              <w:t xml:space="preserve">（4）固废  </w:t>
            </w:r>
          </w:p>
          <w:p w14:paraId="6D88B85E">
            <w:pPr>
              <w:pStyle w:val="19"/>
              <w:autoSpaceDE w:val="0"/>
              <w:autoSpaceDN w:val="0"/>
              <w:adjustRightInd w:val="0"/>
              <w:snapToGrid w:val="0"/>
              <w:spacing w:before="0" w:beforeAutospacing="0" w:after="0" w:afterAutospacing="0" w:line="360" w:lineRule="auto"/>
              <w:ind w:firstLine="480" w:firstLineChars="200"/>
              <w:jc w:val="both"/>
              <w:rPr>
                <w:rFonts w:ascii="Times New Roman" w:hAnsi="Times New Roman"/>
                <w:szCs w:val="24"/>
                <w:lang w:bidi="ar"/>
              </w:rPr>
            </w:pPr>
            <w:r>
              <w:rPr>
                <w:rFonts w:eastAsiaTheme="minorEastAsia"/>
                <w:szCs w:val="22"/>
              </w:rPr>
              <w:t>施工期固废主要为建筑垃圾、施工人员生活垃圾。</w:t>
            </w:r>
          </w:p>
          <w:p w14:paraId="1693D7E0">
            <w:pPr>
              <w:numPr>
                <w:ilvl w:val="0"/>
                <w:numId w:val="3"/>
              </w:numPr>
              <w:adjustRightInd w:val="0"/>
              <w:snapToGrid w:val="0"/>
              <w:spacing w:line="360" w:lineRule="auto"/>
              <w:rPr>
                <w:b/>
                <w:bCs/>
                <w:sz w:val="24"/>
              </w:rPr>
            </w:pPr>
            <w:r>
              <w:rPr>
                <w:rFonts w:hint="eastAsia"/>
                <w:b/>
                <w:bCs/>
                <w:sz w:val="24"/>
              </w:rPr>
              <w:t>运营期</w:t>
            </w:r>
          </w:p>
          <w:p w14:paraId="65F428F0">
            <w:pPr>
              <w:adjustRightInd w:val="0"/>
              <w:snapToGrid w:val="0"/>
              <w:spacing w:line="360" w:lineRule="auto"/>
              <w:rPr>
                <w:b/>
                <w:bCs/>
                <w:sz w:val="24"/>
              </w:rPr>
            </w:pPr>
            <w:r>
              <w:rPr>
                <w:rFonts w:hint="eastAsia"/>
                <w:b/>
                <w:bCs/>
                <w:sz w:val="24"/>
              </w:rPr>
              <w:t>（一）</w:t>
            </w:r>
            <w:r>
              <w:rPr>
                <w:b/>
                <w:bCs/>
                <w:sz w:val="24"/>
              </w:rPr>
              <w:t>工艺流程</w:t>
            </w:r>
          </w:p>
          <w:p w14:paraId="65019731">
            <w:pPr>
              <w:adjustRightInd w:val="0"/>
              <w:snapToGrid w:val="0"/>
              <w:spacing w:line="360" w:lineRule="auto"/>
              <w:ind w:firstLine="480" w:firstLineChars="200"/>
              <w:rPr>
                <w:sz w:val="24"/>
              </w:rPr>
            </w:pPr>
            <w:r>
              <w:rPr>
                <w:sz w:val="24"/>
              </w:rPr>
              <w:t xml:space="preserve">本项目建设 </w:t>
            </w:r>
            <w:r>
              <w:rPr>
                <w:rFonts w:hint="eastAsia"/>
                <w:sz w:val="24"/>
              </w:rPr>
              <w:t>1</w:t>
            </w:r>
            <w:r>
              <w:rPr>
                <w:sz w:val="24"/>
              </w:rPr>
              <w:t>条生产线，</w:t>
            </w:r>
            <w:r>
              <w:rPr>
                <w:rFonts w:hint="eastAsia"/>
                <w:sz w:val="24"/>
              </w:rPr>
              <w:t>低变质褐煤、锯木屑、尿素添加发酵菌剂进行发酵后产品为有机肥，有机肥添加尾矿后的产品为中量元素有机肥。有机肥发酵后直接包装入库待售，</w:t>
            </w:r>
            <w:r>
              <w:rPr>
                <w:sz w:val="24"/>
              </w:rPr>
              <w:t>中量元素有机肥</w:t>
            </w:r>
            <w:r>
              <w:rPr>
                <w:rFonts w:hint="eastAsia"/>
                <w:sz w:val="24"/>
              </w:rPr>
              <w:t>发酵后与尾矿按比例进行混合后再包装入库待售。</w:t>
            </w:r>
            <w:r>
              <w:rPr>
                <w:rFonts w:hint="eastAsia"/>
                <w:b/>
                <w:sz w:val="24"/>
              </w:rPr>
              <w:t xml:space="preserve"> </w:t>
            </w:r>
            <w:r>
              <w:rPr>
                <w:rFonts w:hint="eastAsia"/>
                <w:bCs/>
                <w:sz w:val="24"/>
              </w:rPr>
              <w:t>本项目采购的原料可满足生产需求，不需要进行破碎、烘干等环节，产品符合</w:t>
            </w:r>
            <w:r>
              <w:rPr>
                <w:bCs/>
                <w:sz w:val="24"/>
              </w:rPr>
              <w:t>《有机肥料》（NY/T525-2021）</w:t>
            </w:r>
            <w:r>
              <w:rPr>
                <w:rFonts w:hint="eastAsia"/>
                <w:bCs/>
                <w:sz w:val="24"/>
              </w:rPr>
              <w:t>、</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0）标准，且具有一定含水率，不需要进行造粒，直接采用包装袋承装</w:t>
            </w:r>
            <w:r>
              <w:rPr>
                <w:rFonts w:hint="eastAsia"/>
                <w:sz w:val="24"/>
              </w:rPr>
              <w:t>入库待售</w:t>
            </w:r>
            <w:r>
              <w:rPr>
                <w:rFonts w:hint="eastAsia"/>
                <w:bCs/>
                <w:sz w:val="24"/>
              </w:rPr>
              <w:t>；产品的质量检测每批次定期委托相应的检测机构进行，项目区不设置实验室和检测仪器。</w:t>
            </w:r>
            <w:r>
              <w:rPr>
                <w:sz w:val="24"/>
              </w:rPr>
              <w:t>生产工艺及产污节点图详见下图。</w:t>
            </w:r>
          </w:p>
          <w:p w14:paraId="1E35213A">
            <w:pPr>
              <w:pStyle w:val="15"/>
              <w:adjustRightInd w:val="0"/>
              <w:jc w:val="center"/>
              <w:rPr>
                <w:rFonts w:hint="eastAsia"/>
                <w:b/>
                <w:bCs/>
                <w:sz w:val="21"/>
                <w:szCs w:val="21"/>
              </w:rPr>
            </w:pPr>
          </w:p>
          <w:p w14:paraId="6D512D6B">
            <w:pPr>
              <w:pStyle w:val="15"/>
              <w:adjustRightInd w:val="0"/>
              <w:jc w:val="center"/>
              <w:rPr>
                <w:rFonts w:hint="eastAsia"/>
                <w:b/>
                <w:bCs/>
                <w:sz w:val="21"/>
                <w:szCs w:val="21"/>
              </w:rPr>
            </w:pPr>
          </w:p>
          <w:p w14:paraId="5DACF38B">
            <w:pPr>
              <w:pStyle w:val="15"/>
              <w:adjustRightInd w:val="0"/>
              <w:jc w:val="center"/>
              <w:rPr>
                <w:rFonts w:hint="eastAsia"/>
                <w:b/>
                <w:bCs/>
                <w:sz w:val="21"/>
                <w:szCs w:val="21"/>
              </w:rPr>
            </w:pPr>
          </w:p>
          <w:p w14:paraId="14BBDB2B">
            <w:pPr>
              <w:pStyle w:val="15"/>
              <w:adjustRightInd w:val="0"/>
              <w:jc w:val="center"/>
              <w:rPr>
                <w:rFonts w:hint="eastAsia"/>
                <w:b/>
                <w:bCs/>
                <w:sz w:val="21"/>
                <w:szCs w:val="21"/>
              </w:rPr>
            </w:pPr>
          </w:p>
          <w:p w14:paraId="327E7952">
            <w:pPr>
              <w:pStyle w:val="15"/>
              <w:adjustRightInd w:val="0"/>
              <w:jc w:val="center"/>
              <w:rPr>
                <w:rFonts w:hint="eastAsia"/>
                <w:b/>
                <w:bCs/>
                <w:sz w:val="21"/>
                <w:szCs w:val="21"/>
              </w:rPr>
            </w:pPr>
          </w:p>
          <w:p w14:paraId="2BD1E741">
            <w:pPr>
              <w:pStyle w:val="15"/>
              <w:adjustRightInd w:val="0"/>
              <w:jc w:val="center"/>
              <w:rPr>
                <w:rFonts w:hint="eastAsia"/>
                <w:b/>
                <w:bCs/>
                <w:sz w:val="21"/>
                <w:szCs w:val="21"/>
              </w:rPr>
            </w:pPr>
          </w:p>
          <w:p w14:paraId="6E9B7234">
            <w:pPr>
              <w:pStyle w:val="15"/>
              <w:adjustRightInd w:val="0"/>
              <w:jc w:val="center"/>
              <w:rPr>
                <w:rFonts w:hint="eastAsia"/>
                <w:b/>
                <w:bCs/>
                <w:sz w:val="21"/>
                <w:szCs w:val="21"/>
              </w:rPr>
            </w:pPr>
          </w:p>
          <w:p w14:paraId="259D1713">
            <w:pPr>
              <w:pStyle w:val="15"/>
              <w:adjustRightInd w:val="0"/>
              <w:jc w:val="center"/>
              <w:rPr>
                <w:rFonts w:hint="eastAsia"/>
                <w:b/>
                <w:bCs/>
                <w:sz w:val="21"/>
                <w:szCs w:val="21"/>
              </w:rPr>
            </w:pPr>
          </w:p>
          <w:p w14:paraId="44BEB050">
            <w:pPr>
              <w:pStyle w:val="15"/>
              <w:adjustRightInd w:val="0"/>
              <w:jc w:val="center"/>
              <w:rPr>
                <w:b/>
                <w:bCs/>
                <w:sz w:val="21"/>
                <w:szCs w:val="21"/>
              </w:rPr>
            </w:pPr>
          </w:p>
          <w:p w14:paraId="08C9C0A1">
            <w:pPr>
              <w:pStyle w:val="15"/>
              <w:adjustRightInd w:val="0"/>
              <w:jc w:val="center"/>
              <w:rPr>
                <w:b/>
                <w:bCs/>
                <w:sz w:val="21"/>
                <w:szCs w:val="21"/>
              </w:rPr>
            </w:pPr>
            <w:r>
              <w:rPr>
                <w:b/>
                <w:bCs/>
                <w:sz w:val="21"/>
                <w:szCs w:val="21"/>
              </w:rPr>
              <w:object>
                <v:shape id="_x0000_i1028" o:spt="75" type="#_x0000_t75" style="height:338.9pt;width:389.8pt;" o:ole="t" filled="f" o:preferrelative="t" stroked="f" coordsize="21600,21600">
                  <v:path/>
                  <v:fill on="f" focussize="0,0"/>
                  <v:stroke on="f" joinstyle="miter"/>
                  <v:imagedata r:id="rId19" o:title=""/>
                  <o:lock v:ext="edit" aspectratio="f"/>
                  <w10:wrap type="none"/>
                  <w10:anchorlock/>
                </v:shape>
                <o:OLEObject Type="Embed" ProgID="Visio.Drawing.11" ShapeID="_x0000_i1028" DrawAspect="Content" ObjectID="_1468075728" r:id="rId18">
                  <o:LockedField>false</o:LockedField>
                </o:OLEObject>
              </w:object>
            </w:r>
            <w:r>
              <w:rPr>
                <w:b/>
                <w:bCs/>
                <w:sz w:val="21"/>
                <w:szCs w:val="21"/>
              </w:rPr>
              <w:t>图2-</w:t>
            </w:r>
            <w:r>
              <w:rPr>
                <w:rFonts w:hint="eastAsia"/>
                <w:b/>
                <w:bCs/>
                <w:sz w:val="21"/>
                <w:szCs w:val="21"/>
              </w:rPr>
              <w:t>5</w:t>
            </w:r>
            <w:r>
              <w:rPr>
                <w:b/>
                <w:bCs/>
                <w:sz w:val="21"/>
                <w:szCs w:val="21"/>
              </w:rPr>
              <w:t xml:space="preserve">  </w:t>
            </w:r>
            <w:r>
              <w:rPr>
                <w:rFonts w:hint="eastAsia"/>
                <w:b/>
                <w:bCs/>
                <w:sz w:val="21"/>
                <w:szCs w:val="21"/>
              </w:rPr>
              <w:t>有机肥</w:t>
            </w:r>
            <w:r>
              <w:rPr>
                <w:b/>
                <w:bCs/>
                <w:sz w:val="21"/>
                <w:szCs w:val="21"/>
              </w:rPr>
              <w:t>生产工艺流程及产污节点图</w:t>
            </w:r>
          </w:p>
          <w:p w14:paraId="3BD8B729">
            <w:pPr>
              <w:pStyle w:val="15"/>
              <w:adjustRightInd w:val="0"/>
              <w:spacing w:line="360" w:lineRule="auto"/>
              <w:ind w:firstLine="480" w:firstLineChars="200"/>
              <w:rPr>
                <w:sz w:val="24"/>
                <w:szCs w:val="24"/>
              </w:rPr>
            </w:pPr>
            <w:r>
              <w:rPr>
                <w:sz w:val="24"/>
                <w:szCs w:val="24"/>
              </w:rPr>
              <w:t>生产工序简述：</w:t>
            </w:r>
          </w:p>
          <w:p w14:paraId="0D0EEBB7">
            <w:pPr>
              <w:pStyle w:val="15"/>
              <w:adjustRightInd w:val="0"/>
              <w:spacing w:line="360" w:lineRule="auto"/>
              <w:ind w:firstLine="480" w:firstLineChars="200"/>
              <w:rPr>
                <w:sz w:val="24"/>
                <w:szCs w:val="24"/>
              </w:rPr>
            </w:pPr>
            <w:r>
              <w:rPr>
                <w:sz w:val="24"/>
                <w:szCs w:val="24"/>
              </w:rPr>
              <w:t>本项目有机肥生产工艺主要分为</w:t>
            </w:r>
            <w:r>
              <w:rPr>
                <w:rFonts w:hint="eastAsia"/>
                <w:sz w:val="24"/>
                <w:szCs w:val="24"/>
              </w:rPr>
              <w:t>原料混合</w:t>
            </w:r>
            <w:r>
              <w:rPr>
                <w:sz w:val="24"/>
                <w:szCs w:val="24"/>
              </w:rPr>
              <w:t>、堆肥发酵、</w:t>
            </w:r>
            <w:r>
              <w:rPr>
                <w:rFonts w:hint="eastAsia"/>
                <w:sz w:val="24"/>
                <w:szCs w:val="24"/>
              </w:rPr>
              <w:t>配料、</w:t>
            </w:r>
            <w:r>
              <w:rPr>
                <w:sz w:val="24"/>
                <w:szCs w:val="24"/>
              </w:rPr>
              <w:t>计量包装。</w:t>
            </w:r>
          </w:p>
          <w:p w14:paraId="52FA4F33">
            <w:pPr>
              <w:pStyle w:val="15"/>
              <w:adjustRightInd w:val="0"/>
              <w:spacing w:line="360" w:lineRule="auto"/>
              <w:ind w:firstLine="482" w:firstLineChars="200"/>
              <w:rPr>
                <w:b/>
                <w:bCs/>
                <w:sz w:val="24"/>
                <w:szCs w:val="24"/>
              </w:rPr>
            </w:pPr>
            <w:r>
              <w:rPr>
                <w:rFonts w:hint="eastAsia"/>
                <w:b/>
                <w:bCs/>
                <w:sz w:val="24"/>
                <w:szCs w:val="24"/>
              </w:rPr>
              <w:t>1、原料混合</w:t>
            </w:r>
          </w:p>
          <w:p w14:paraId="1DD8EAA2">
            <w:pPr>
              <w:pStyle w:val="15"/>
              <w:adjustRightInd w:val="0"/>
              <w:spacing w:line="360" w:lineRule="auto"/>
              <w:ind w:firstLine="480" w:firstLineChars="200"/>
              <w:rPr>
                <w:sz w:val="24"/>
                <w:szCs w:val="24"/>
              </w:rPr>
            </w:pPr>
            <w:r>
              <w:rPr>
                <w:sz w:val="24"/>
                <w:szCs w:val="24"/>
              </w:rPr>
              <w:t>项目采购的原料均为经过分选、破碎、筛分后的原料，不需在厂内进行单独的分选、破碎、筛分。</w:t>
            </w:r>
          </w:p>
          <w:p w14:paraId="3D2A9837">
            <w:pPr>
              <w:pStyle w:val="15"/>
              <w:adjustRightInd w:val="0"/>
              <w:spacing w:line="360" w:lineRule="auto"/>
              <w:ind w:firstLine="480" w:firstLineChars="200"/>
              <w:rPr>
                <w:sz w:val="24"/>
                <w:szCs w:val="24"/>
              </w:rPr>
            </w:pPr>
            <w:r>
              <w:rPr>
                <w:sz w:val="24"/>
                <w:szCs w:val="24"/>
              </w:rPr>
              <w:t>根据生产产品对应的配比外购原料，采用车辆把项目所需的袋装原料（</w:t>
            </w:r>
            <w:r>
              <w:rPr>
                <w:rFonts w:hint="eastAsia"/>
                <w:sz w:val="24"/>
                <w:szCs w:val="24"/>
              </w:rPr>
              <w:t>低变质褐煤</w:t>
            </w:r>
            <w:r>
              <w:rPr>
                <w:sz w:val="24"/>
                <w:szCs w:val="24"/>
              </w:rPr>
              <w:t>、</w:t>
            </w:r>
            <w:r>
              <w:rPr>
                <w:rFonts w:hint="eastAsia"/>
                <w:sz w:val="24"/>
                <w:szCs w:val="24"/>
              </w:rPr>
              <w:t>锯木屑</w:t>
            </w:r>
            <w:r>
              <w:rPr>
                <w:sz w:val="24"/>
                <w:szCs w:val="24"/>
              </w:rPr>
              <w:t>）</w:t>
            </w:r>
            <w:r>
              <w:rPr>
                <w:rFonts w:hint="eastAsia"/>
                <w:sz w:val="24"/>
                <w:szCs w:val="24"/>
              </w:rPr>
              <w:t>从原料库</w:t>
            </w:r>
            <w:r>
              <w:rPr>
                <w:sz w:val="24"/>
                <w:szCs w:val="24"/>
              </w:rPr>
              <w:t>运至</w:t>
            </w:r>
            <w:r>
              <w:rPr>
                <w:rFonts w:hint="eastAsia"/>
                <w:sz w:val="24"/>
                <w:szCs w:val="24"/>
              </w:rPr>
              <w:t>拌合</w:t>
            </w:r>
            <w:r>
              <w:rPr>
                <w:sz w:val="24"/>
                <w:szCs w:val="24"/>
              </w:rPr>
              <w:t>区进行拆袋，使用装载机将物料在</w:t>
            </w:r>
            <w:r>
              <w:rPr>
                <w:rFonts w:hint="eastAsia"/>
                <w:sz w:val="24"/>
                <w:szCs w:val="24"/>
              </w:rPr>
              <w:t>拌合</w:t>
            </w:r>
            <w:r>
              <w:rPr>
                <w:sz w:val="24"/>
                <w:szCs w:val="24"/>
              </w:rPr>
              <w:t>区防渗处理的地面上充分混合均匀，</w:t>
            </w:r>
            <w:r>
              <w:rPr>
                <w:rFonts w:hint="eastAsia"/>
                <w:sz w:val="24"/>
                <w:szCs w:val="24"/>
              </w:rPr>
              <w:t>拌合过程中会</w:t>
            </w:r>
            <w:r>
              <w:rPr>
                <w:sz w:val="24"/>
                <w:szCs w:val="24"/>
              </w:rPr>
              <w:t>产生粉尘</w:t>
            </w:r>
            <w:r>
              <w:rPr>
                <w:rFonts w:hint="eastAsia"/>
                <w:sz w:val="24"/>
                <w:szCs w:val="24"/>
              </w:rPr>
              <w:t>，通过车间密闭，并设置1台雾炮机进行喷雾降尘</w:t>
            </w:r>
            <w:r>
              <w:rPr>
                <w:sz w:val="24"/>
                <w:szCs w:val="24"/>
              </w:rPr>
              <w:t>。此外项目使用的原辅料不含畜禽粪便，发酵前无明显异味产生。物料混合环节产生噪声、</w:t>
            </w:r>
            <w:r>
              <w:rPr>
                <w:rFonts w:hint="eastAsia"/>
                <w:sz w:val="24"/>
                <w:szCs w:val="24"/>
              </w:rPr>
              <w:t>粉尘、</w:t>
            </w:r>
            <w:r>
              <w:rPr>
                <w:sz w:val="24"/>
                <w:szCs w:val="24"/>
              </w:rPr>
              <w:t>废编织袋 。</w:t>
            </w:r>
          </w:p>
          <w:p w14:paraId="61AFCB49">
            <w:pPr>
              <w:pStyle w:val="15"/>
              <w:adjustRightInd w:val="0"/>
              <w:spacing w:line="360" w:lineRule="auto"/>
              <w:ind w:firstLine="482" w:firstLineChars="200"/>
              <w:rPr>
                <w:b/>
                <w:bCs/>
                <w:sz w:val="24"/>
                <w:szCs w:val="24"/>
              </w:rPr>
            </w:pPr>
            <w:r>
              <w:rPr>
                <w:rFonts w:hint="eastAsia"/>
                <w:b/>
                <w:bCs/>
                <w:sz w:val="24"/>
                <w:szCs w:val="24"/>
              </w:rPr>
              <w:t>2、</w:t>
            </w:r>
            <w:r>
              <w:rPr>
                <w:b/>
                <w:bCs/>
                <w:sz w:val="24"/>
                <w:szCs w:val="24"/>
              </w:rPr>
              <w:t>堆肥发酵</w:t>
            </w:r>
          </w:p>
          <w:p w14:paraId="0B7AAD6B">
            <w:pPr>
              <w:pStyle w:val="15"/>
              <w:adjustRightInd w:val="0"/>
              <w:spacing w:line="360" w:lineRule="auto"/>
              <w:ind w:firstLine="480" w:firstLineChars="200"/>
              <w:rPr>
                <w:sz w:val="24"/>
                <w:szCs w:val="24"/>
              </w:rPr>
            </w:pPr>
            <w:r>
              <w:rPr>
                <w:rFonts w:hint="eastAsia"/>
                <w:sz w:val="24"/>
                <w:szCs w:val="24"/>
              </w:rPr>
              <w:t>混合搅拌后的物料由装载机送至发酵区</w:t>
            </w:r>
            <w:r>
              <w:rPr>
                <w:sz w:val="24"/>
                <w:szCs w:val="24"/>
              </w:rPr>
              <w:t>进行好氧-条垛式发酵。物料混合后以条垛状堆置，可以排列成多条平行的条垛，条垛的断面形状通常为三角形或梯形，高度1.5-2.0m，宽4-6m。混合后</w:t>
            </w:r>
            <w:r>
              <w:rPr>
                <w:rFonts w:hint="eastAsia"/>
                <w:sz w:val="24"/>
                <w:szCs w:val="24"/>
              </w:rPr>
              <w:t>的物料添加尿素水溶液、发酵菌剂，并喷洒水使发酵时</w:t>
            </w:r>
            <w:r>
              <w:rPr>
                <w:sz w:val="24"/>
                <w:szCs w:val="24"/>
              </w:rPr>
              <w:t>堆料的含水率</w:t>
            </w:r>
            <w:r>
              <w:rPr>
                <w:rFonts w:hint="eastAsia"/>
                <w:sz w:val="24"/>
                <w:szCs w:val="24"/>
              </w:rPr>
              <w:t>控制在50</w:t>
            </w:r>
            <w:r>
              <w:rPr>
                <w:sz w:val="24"/>
                <w:szCs w:val="24"/>
              </w:rPr>
              <w:t>%。</w:t>
            </w:r>
          </w:p>
          <w:p w14:paraId="315DD083">
            <w:pPr>
              <w:pStyle w:val="15"/>
              <w:adjustRightInd w:val="0"/>
              <w:spacing w:line="360" w:lineRule="auto"/>
              <w:ind w:firstLine="480" w:firstLineChars="200"/>
              <w:rPr>
                <w:sz w:val="24"/>
                <w:szCs w:val="24"/>
              </w:rPr>
            </w:pPr>
            <w:r>
              <w:rPr>
                <w:rFonts w:hint="eastAsia"/>
                <w:sz w:val="24"/>
                <w:szCs w:val="24"/>
              </w:rPr>
              <w:t>堆肥发酵</w:t>
            </w:r>
            <w:r>
              <w:rPr>
                <w:sz w:val="24"/>
                <w:szCs w:val="24"/>
              </w:rPr>
              <w:t>要想达到满意的发酵效果，须满足包括含水率、碳氮比、氧气浓度、颗粒直径和酸碱度等在内的发酵条件，其中原料含水率和碳氮比尤为关键。</w:t>
            </w:r>
          </w:p>
          <w:p w14:paraId="1FB88889">
            <w:pPr>
              <w:pStyle w:val="15"/>
              <w:adjustRightInd w:val="0"/>
              <w:spacing w:line="360" w:lineRule="auto"/>
              <w:ind w:firstLine="480" w:firstLineChars="200"/>
              <w:rPr>
                <w:sz w:val="24"/>
                <w:szCs w:val="24"/>
              </w:rPr>
            </w:pPr>
            <w:r>
              <w:rPr>
                <w:rFonts w:hint="eastAsia"/>
                <w:sz w:val="24"/>
                <w:szCs w:val="24"/>
              </w:rPr>
              <w:t>含水率：</w:t>
            </w:r>
            <w:r>
              <w:rPr>
                <w:sz w:val="24"/>
                <w:szCs w:val="24"/>
              </w:rPr>
              <w:t>堆肥过程中保持适宜的水分含量，是堆肥制作成功的首要条件。堆肥发酵合理的含水率为40~60%，以50~60%为好，若含水率过高，有碍于通风，温度难</w:t>
            </w:r>
            <w:r>
              <w:rPr>
                <w:rFonts w:hint="eastAsia"/>
                <w:sz w:val="24"/>
                <w:szCs w:val="24"/>
                <w:lang w:eastAsia="zh-CN"/>
              </w:rPr>
              <w:t>以</w:t>
            </w:r>
            <w:r>
              <w:rPr>
                <w:sz w:val="24"/>
                <w:szCs w:val="24"/>
              </w:rPr>
              <w:t>上升。分解速度明显降低，造成厌氧状态后不利于好氧微生物生长并易产生恶臭气体。含水率过低不能满足微生物生长需要，有机物难于分解。</w:t>
            </w:r>
            <w:r>
              <w:rPr>
                <w:rFonts w:hint="eastAsia"/>
                <w:b/>
                <w:bCs/>
                <w:sz w:val="24"/>
                <w:szCs w:val="24"/>
              </w:rPr>
              <w:t>项目在发酵前，为保持含水率的要求，将发酵菌剂、尿素按照比例溶解在水中，溶解后的溶液一次性喷洒在发酵物料上，同时进行翻抛，使发酵物料之间均匀的混合，保持发酵堆体的含水率控制在理想的范围之内。发酵过程中定期需要对物料进行翻抛，每次堆肥发酵期间需进行约6次翻抛，翻抛时喷洒水分以保证物料的含水率控制在理想的范围之内。</w:t>
            </w:r>
          </w:p>
          <w:p w14:paraId="39589910">
            <w:pPr>
              <w:pStyle w:val="15"/>
              <w:adjustRightInd w:val="0"/>
              <w:spacing w:line="360" w:lineRule="auto"/>
              <w:ind w:firstLine="480" w:firstLineChars="200"/>
              <w:rPr>
                <w:sz w:val="24"/>
                <w:szCs w:val="24"/>
              </w:rPr>
            </w:pPr>
            <w:r>
              <w:rPr>
                <w:rFonts w:hint="eastAsia"/>
                <w:sz w:val="24"/>
                <w:szCs w:val="24"/>
              </w:rPr>
              <w:t>碳氮比：</w:t>
            </w:r>
            <w:r>
              <w:rPr>
                <w:sz w:val="24"/>
                <w:szCs w:val="24"/>
              </w:rPr>
              <w:t>合理调节堆肥原料中的碳氮比，是加快堆肥腐熟、提高腐殖化系数的有效途径。一般情况下碳氮比(C/N)的范围为25：1~30:1，合理的范围为20:1~40:1，若C/N过高，微生物生长繁殖所需要的氮元素来源受到限制，微生物繁殖速度低，有机物分解速度慢，发酵时间长</w:t>
            </w:r>
            <w:r>
              <w:rPr>
                <w:rFonts w:hint="eastAsia"/>
                <w:sz w:val="24"/>
                <w:szCs w:val="24"/>
              </w:rPr>
              <w:t>；</w:t>
            </w:r>
            <w:r>
              <w:rPr>
                <w:sz w:val="24"/>
                <w:szCs w:val="24"/>
              </w:rPr>
              <w:t>若C/N过低，微生物生长繁殖所需的能量来源受到限制，发酵温度上升缓慢，氮过量并以氨气的形势释放，有机氮损失大，还会散发难闻的气味。</w:t>
            </w:r>
            <w:r>
              <w:rPr>
                <w:rFonts w:hint="eastAsia"/>
                <w:sz w:val="24"/>
                <w:szCs w:val="24"/>
              </w:rPr>
              <w:t>本项目低变质褐煤和锯木屑提供C源，尿素溶解液提供N源，通过合理配比控制发酵物料的</w:t>
            </w:r>
            <w:r>
              <w:rPr>
                <w:sz w:val="24"/>
                <w:szCs w:val="24"/>
              </w:rPr>
              <w:t>C/N</w:t>
            </w:r>
            <w:r>
              <w:rPr>
                <w:rFonts w:hint="eastAsia"/>
                <w:sz w:val="24"/>
                <w:szCs w:val="24"/>
              </w:rPr>
              <w:t>。</w:t>
            </w:r>
          </w:p>
          <w:p w14:paraId="6381C32F">
            <w:pPr>
              <w:pStyle w:val="15"/>
              <w:adjustRightInd w:val="0"/>
              <w:spacing w:line="360" w:lineRule="auto"/>
              <w:ind w:firstLine="482" w:firstLineChars="200"/>
              <w:rPr>
                <w:sz w:val="24"/>
                <w:szCs w:val="24"/>
              </w:rPr>
            </w:pPr>
            <w:r>
              <w:rPr>
                <w:b/>
                <w:bCs/>
                <w:sz w:val="24"/>
                <w:szCs w:val="24"/>
              </w:rPr>
              <w:t>发酵原理：</w:t>
            </w:r>
            <w:r>
              <w:rPr>
                <w:sz w:val="24"/>
                <w:szCs w:val="24"/>
              </w:rPr>
              <w:t>在好氧条件下，好氧细菌对有机物进行吸收、氧化、分解。微生物通过自身的生命活动，把一部分被吸收的有机物氧化成简单的无机物，同时释放出可供微生物生长活动所需的能量，而另一部分有机物则被合成新的细胞质，使微生物不断生长</w:t>
            </w:r>
            <w:r>
              <w:rPr>
                <w:rFonts w:hint="eastAsia"/>
                <w:sz w:val="24"/>
                <w:szCs w:val="24"/>
              </w:rPr>
              <w:t>繁殖</w:t>
            </w:r>
            <w:r>
              <w:rPr>
                <w:sz w:val="24"/>
                <w:szCs w:val="24"/>
              </w:rPr>
              <w:t>，产生更多的生物体的过程。在有机物生化降解的同时，伴有热量产生，因堆肥工艺中该热能不会全部散发到环境中，就必然造成堆肥物料的温度升高，这样，就会使一些不耐高温的微生物死亡，耐高温的细菌快速繁殖。整个好氧堆肥过程伴随着两次发酵：</w:t>
            </w:r>
          </w:p>
          <w:p w14:paraId="2C7CA451">
            <w:pPr>
              <w:pStyle w:val="15"/>
              <w:adjustRightInd w:val="0"/>
              <w:spacing w:line="360" w:lineRule="auto"/>
              <w:ind w:firstLine="480" w:firstLineChars="200"/>
              <w:rPr>
                <w:sz w:val="24"/>
                <w:szCs w:val="24"/>
              </w:rPr>
            </w:pPr>
            <w:r>
              <w:rPr>
                <w:sz w:val="24"/>
                <w:szCs w:val="24"/>
              </w:rPr>
              <w:t>第一次发酵（11 天）：</w:t>
            </w:r>
          </w:p>
          <w:p w14:paraId="7264E635">
            <w:pPr>
              <w:pStyle w:val="15"/>
              <w:adjustRightInd w:val="0"/>
              <w:spacing w:line="360" w:lineRule="auto"/>
              <w:ind w:firstLine="480" w:firstLineChars="200"/>
              <w:rPr>
                <w:sz w:val="24"/>
                <w:szCs w:val="24"/>
              </w:rPr>
            </w:pPr>
            <w:r>
              <w:rPr>
                <w:sz w:val="24"/>
                <w:szCs w:val="24"/>
              </w:rPr>
              <w:t>①第 1-3 天（升温阶段）</w:t>
            </w:r>
          </w:p>
          <w:p w14:paraId="3C94FF7C">
            <w:pPr>
              <w:pStyle w:val="15"/>
              <w:adjustRightInd w:val="0"/>
              <w:spacing w:line="360" w:lineRule="auto"/>
              <w:ind w:firstLine="480" w:firstLineChars="200"/>
              <w:rPr>
                <w:sz w:val="24"/>
                <w:szCs w:val="24"/>
              </w:rPr>
            </w:pPr>
            <w:r>
              <w:rPr>
                <w:sz w:val="24"/>
                <w:szCs w:val="24"/>
              </w:rPr>
              <w:t>发酵持续几小时后微生物活动能力开始增强， 产热量逐渐增加，此阶段微生物以中温、需氧型为主，种类较多，其中最主要的有细菌、真菌和放线菌，它们利用好氧发酵中可溶性有机物进行微生物繁殖，在转换和利用化学能的过程中，有一部分变成热能，使温度不断上升。当温度处于 25-45℃时，中温菌微生物比较活跃，堆温上升非常迅速，温度可达 45℃。</w:t>
            </w:r>
          </w:p>
          <w:p w14:paraId="2A55B8A4">
            <w:pPr>
              <w:pStyle w:val="15"/>
              <w:adjustRightInd w:val="0"/>
              <w:spacing w:line="360" w:lineRule="auto"/>
              <w:ind w:firstLine="480" w:firstLineChars="200"/>
              <w:rPr>
                <w:sz w:val="24"/>
                <w:szCs w:val="24"/>
              </w:rPr>
            </w:pPr>
            <w:r>
              <w:rPr>
                <w:sz w:val="24"/>
                <w:szCs w:val="24"/>
              </w:rPr>
              <w:t>②第 4-11 天（高温阶段）</w:t>
            </w:r>
          </w:p>
          <w:p w14:paraId="495A2892">
            <w:pPr>
              <w:pStyle w:val="15"/>
              <w:adjustRightInd w:val="0"/>
              <w:spacing w:line="360" w:lineRule="auto"/>
              <w:ind w:firstLine="480" w:firstLineChars="200"/>
              <w:rPr>
                <w:sz w:val="24"/>
                <w:szCs w:val="24"/>
              </w:rPr>
            </w:pPr>
            <w:r>
              <w:rPr>
                <w:sz w:val="24"/>
                <w:szCs w:val="24"/>
              </w:rPr>
              <w:t>随着堆体热量的积累，温度逐渐上升到 50℃以上，即进入了高温阶段。耐高温细菌迅速繁植，在有氧条件下，大部分难降解的蛋白质、纤维等继续被氧化分解，同时</w:t>
            </w:r>
            <w:r>
              <w:rPr>
                <w:rFonts w:hint="eastAsia"/>
                <w:sz w:val="24"/>
                <w:szCs w:val="24"/>
                <w:lang w:eastAsia="zh-CN"/>
              </w:rPr>
              <w:t>释</w:t>
            </w:r>
            <w:r>
              <w:rPr>
                <w:sz w:val="24"/>
                <w:szCs w:val="24"/>
              </w:rPr>
              <w:t>放出大量热能，使温度上升至 60-70℃，此时，好热性的微生物如纤维素分解氧化菌逐渐代替了中温微生物的活动，堆体中残留的有机物继续被分解氧化，一些复杂的有机物如纤维素等也开始得到分解，病原菌、寄生虫卵与病毒被杀灭。堆肥温度上升到 60℃度以上，保持 48 小时后开始翻抛（但当温度超过 70℃时，须立即翻堆，堆爬温度不宜超过 70℃，否则就会造成有益微生物菌的休眠甚或死亡)，翻堆时务必均匀彻底，将低层物料尽量翻入堆中上部，以便充分腐熟，视物料腐熟过程确定翻堆次数。翻抛的目的主要为：①排出水分：在温度作用下，水会变成水蒸气，温度越高汽化量越大，通过翻抛，将水分带出，减少堆肥物料中的含水率。否则，水蒸气会变成液态水存在物料中，含水率高，密度增加，透气性就差，氧气含量减少，使处理过程变为厌氧状态；② 通风供氧：物料越疏松空隙越大，含气体的量越大，相应的氧含量也越大，通过翻抛，加大置换面积，减少置换阻力，可有效的排除</w:t>
            </w:r>
            <w:r>
              <w:rPr>
                <w:rFonts w:hint="eastAsia"/>
                <w:sz w:val="24"/>
                <w:szCs w:val="24"/>
              </w:rPr>
              <w:t>恶臭</w:t>
            </w:r>
            <w:r>
              <w:rPr>
                <w:sz w:val="24"/>
                <w:szCs w:val="24"/>
              </w:rPr>
              <w:t>气体，并补入新鲜空气。</w:t>
            </w:r>
          </w:p>
          <w:p w14:paraId="6345D93C">
            <w:pPr>
              <w:pStyle w:val="15"/>
              <w:adjustRightInd w:val="0"/>
              <w:spacing w:line="360" w:lineRule="auto"/>
              <w:ind w:firstLine="480" w:firstLineChars="200"/>
              <w:rPr>
                <w:sz w:val="24"/>
                <w:szCs w:val="24"/>
              </w:rPr>
            </w:pPr>
            <w:r>
              <w:rPr>
                <w:sz w:val="24"/>
                <w:szCs w:val="24"/>
              </w:rPr>
              <w:t>第二次发酵（陈化阶段，12-15 天）：</w:t>
            </w:r>
          </w:p>
          <w:p w14:paraId="423E0C63">
            <w:pPr>
              <w:pStyle w:val="15"/>
              <w:adjustRightInd w:val="0"/>
              <w:spacing w:line="360" w:lineRule="auto"/>
              <w:ind w:firstLine="480" w:firstLineChars="200"/>
              <w:rPr>
                <w:sz w:val="24"/>
                <w:szCs w:val="24"/>
              </w:rPr>
            </w:pPr>
            <w:r>
              <w:rPr>
                <w:sz w:val="24"/>
                <w:szCs w:val="24"/>
              </w:rPr>
              <w:t>当有机物基本降解完，噬热菌因缺乏养料而停止生长，产热随之停止。堆体的温度逐渐下降，当温度稳定在 40℃，堆肥基本达到稳定，形成腐植质。持续12-13 天。也叫二次堆肥，在内源呼吸后期，只剩下部分较难分解及难分解的有机物和新形成的腐植质，此时，微生物活性下降，产热量减少，温度下降，在此阶段嗜温微生物又占优势，残余较难分解的有机物可进一步分解，腐植质不断增多且趋于稳定，发酵物孔隙增大，二次堆肥 12-15 天后，完成有机物完全降解工作，转变为稳定的腐植质，异味消失，含水率降为 30%，好氧发酵已完全腐熟，形成腐殖质。发酵后的半成品转移至半成品堆放区待用。</w:t>
            </w:r>
          </w:p>
          <w:p w14:paraId="713932F0">
            <w:pPr>
              <w:pStyle w:val="15"/>
              <w:adjustRightInd w:val="0"/>
              <w:spacing w:line="360" w:lineRule="auto"/>
              <w:ind w:firstLine="480" w:firstLineChars="200"/>
              <w:rPr>
                <w:sz w:val="24"/>
                <w:szCs w:val="24"/>
              </w:rPr>
            </w:pPr>
            <w:r>
              <w:rPr>
                <w:sz w:val="24"/>
                <w:szCs w:val="24"/>
              </w:rPr>
              <w:t>腐熟的有机堆肥的表现特征为：堆肥后期温度天然下降，不再招引苍蝇，无臭味，质地松软，体积缩小，呈深褐色或黑褐色，虫卵死亡；以粪大肠菌群为评价指标，粪大肠菌值为 0.1-0.01 时病原菌存在的可能性也很小，含水率 40%以下。</w:t>
            </w:r>
          </w:p>
          <w:p w14:paraId="3AD4CE05">
            <w:pPr>
              <w:pStyle w:val="15"/>
              <w:adjustRightInd w:val="0"/>
              <w:spacing w:line="360" w:lineRule="auto"/>
              <w:ind w:firstLine="480" w:firstLineChars="200"/>
              <w:rPr>
                <w:sz w:val="24"/>
                <w:szCs w:val="24"/>
              </w:rPr>
            </w:pPr>
            <w:r>
              <w:rPr>
                <w:sz w:val="24"/>
                <w:szCs w:val="24"/>
              </w:rPr>
              <w:t>项目发酵在车间内进行，非露天发酵，</w:t>
            </w:r>
            <w:r>
              <w:rPr>
                <w:rFonts w:hint="eastAsia"/>
                <w:sz w:val="24"/>
                <w:szCs w:val="24"/>
              </w:rPr>
              <w:t>发酵期</w:t>
            </w:r>
            <w:r>
              <w:rPr>
                <w:sz w:val="24"/>
                <w:szCs w:val="24"/>
              </w:rPr>
              <w:t>物料</w:t>
            </w:r>
            <w:r>
              <w:rPr>
                <w:rFonts w:hint="eastAsia"/>
                <w:sz w:val="24"/>
                <w:szCs w:val="24"/>
              </w:rPr>
              <w:t>最高</w:t>
            </w:r>
            <w:r>
              <w:rPr>
                <w:sz w:val="24"/>
                <w:szCs w:val="24"/>
              </w:rPr>
              <w:t>含水率约 50%，不使用含水率</w:t>
            </w:r>
            <w:r>
              <w:rPr>
                <w:rFonts w:hint="eastAsia"/>
                <w:sz w:val="24"/>
                <w:szCs w:val="24"/>
              </w:rPr>
              <w:t>更</w:t>
            </w:r>
            <w:r>
              <w:rPr>
                <w:sz w:val="24"/>
                <w:szCs w:val="24"/>
              </w:rPr>
              <w:t>高的禽畜粪便，渗滤液</w:t>
            </w:r>
            <w:r>
              <w:rPr>
                <w:rFonts w:hint="eastAsia"/>
                <w:sz w:val="24"/>
                <w:szCs w:val="24"/>
              </w:rPr>
              <w:t>产生量较少，经收集后回用于生产</w:t>
            </w:r>
            <w:r>
              <w:rPr>
                <w:sz w:val="24"/>
                <w:szCs w:val="24"/>
              </w:rPr>
              <w:t>。</w:t>
            </w:r>
            <w:r>
              <w:rPr>
                <w:rFonts w:hint="eastAsia"/>
                <w:sz w:val="24"/>
                <w:szCs w:val="24"/>
              </w:rPr>
              <w:t>低变质褐煤中主要成分为有机质和腐殖酸，根据查阅相关资料，腐殖酸大分子的基本结构是芳环和脂环组成，环上连有羟基、羧基、羰基、甲氧基等官能团，并含有一定量的自由基，具有生理活性，和锯木屑在堆肥发酵过程中会产生少量的异味，通过严格控制每次发酵时尿素的用量、车间密闭和发酵期间喷洒生物除臭剂措施进行控制，此外</w:t>
            </w:r>
            <w:r>
              <w:rPr>
                <w:sz w:val="24"/>
                <w:szCs w:val="24"/>
              </w:rPr>
              <w:t>发酵过程中产生除臭剂废包装容器</w:t>
            </w:r>
            <w:r>
              <w:rPr>
                <w:rFonts w:hint="eastAsia"/>
                <w:sz w:val="24"/>
                <w:szCs w:val="24"/>
              </w:rPr>
              <w:t>和噪声</w:t>
            </w:r>
            <w:r>
              <w:rPr>
                <w:sz w:val="24"/>
                <w:szCs w:val="24"/>
              </w:rPr>
              <w:t>。</w:t>
            </w:r>
          </w:p>
          <w:p w14:paraId="3FA25506">
            <w:pPr>
              <w:pStyle w:val="15"/>
              <w:adjustRightInd w:val="0"/>
              <w:spacing w:line="360" w:lineRule="auto"/>
              <w:ind w:firstLine="482" w:firstLineChars="200"/>
              <w:rPr>
                <w:b/>
                <w:bCs/>
                <w:sz w:val="24"/>
                <w:szCs w:val="24"/>
              </w:rPr>
            </w:pPr>
            <w:r>
              <w:rPr>
                <w:rFonts w:hint="eastAsia"/>
                <w:b/>
                <w:bCs/>
                <w:sz w:val="24"/>
                <w:szCs w:val="24"/>
              </w:rPr>
              <w:t>3、配料</w:t>
            </w:r>
          </w:p>
          <w:p w14:paraId="3079A926">
            <w:pPr>
              <w:pStyle w:val="15"/>
              <w:adjustRightInd w:val="0"/>
              <w:spacing w:line="360" w:lineRule="auto"/>
              <w:ind w:firstLine="480" w:firstLineChars="200"/>
              <w:rPr>
                <w:sz w:val="24"/>
                <w:szCs w:val="24"/>
              </w:rPr>
            </w:pPr>
            <w:r>
              <w:rPr>
                <w:rFonts w:hint="eastAsia"/>
                <w:sz w:val="24"/>
                <w:szCs w:val="24"/>
              </w:rPr>
              <w:t>经发酵腐熟后的物料即为有机肥，部分有机肥直接进行包装；而中量元素有机肥需要将有机肥与尾矿进行配料生产。</w:t>
            </w:r>
          </w:p>
          <w:p w14:paraId="4D6DC199">
            <w:pPr>
              <w:spacing w:line="360" w:lineRule="auto"/>
              <w:ind w:firstLine="480" w:firstLineChars="200"/>
              <w:jc w:val="left"/>
            </w:pPr>
            <w:r>
              <w:rPr>
                <w:rFonts w:hint="eastAsia"/>
                <w:sz w:val="24"/>
              </w:rPr>
              <w:t>由尾矿的成分监测结果可看出，主要的元素构成为</w:t>
            </w:r>
            <w:r>
              <w:rPr>
                <w:rFonts w:hint="eastAsia"/>
                <w:bCs/>
                <w:sz w:val="24"/>
              </w:rPr>
              <w:t>P、Mg、Ca、K、Na等元素，其中Ca最多，其次为Mg、P、Na，可为有机肥料中补充植物生产所需的其他养分元素。</w:t>
            </w:r>
            <w:r>
              <w:rPr>
                <w:rFonts w:hint="eastAsia"/>
                <w:sz w:val="24"/>
              </w:rPr>
              <w:t>尾矿</w:t>
            </w:r>
            <w:r>
              <w:rPr>
                <w:rFonts w:hint="eastAsia"/>
                <w:bCs/>
                <w:sz w:val="24"/>
              </w:rPr>
              <w:t>成分中的重金属含量较低，最高的为Pb，其含量为44.8mg/kg，其次为Cr、As、Cd、Tl、Hg，尾矿中各重金属的含量均低于《有机无机复混肥料》（GB/T18877-2020）中的技术指标要求。</w:t>
            </w:r>
          </w:p>
          <w:p w14:paraId="79D6189B">
            <w:pPr>
              <w:pStyle w:val="15"/>
              <w:adjustRightInd w:val="0"/>
              <w:spacing w:line="360" w:lineRule="auto"/>
              <w:ind w:firstLine="480" w:firstLineChars="200"/>
              <w:rPr>
                <w:sz w:val="24"/>
                <w:szCs w:val="24"/>
              </w:rPr>
            </w:pPr>
            <w:r>
              <w:rPr>
                <w:sz w:val="24"/>
                <w:szCs w:val="24"/>
              </w:rPr>
              <w:t>将</w:t>
            </w:r>
            <w:r>
              <w:rPr>
                <w:rFonts w:hint="eastAsia"/>
                <w:sz w:val="24"/>
                <w:szCs w:val="24"/>
              </w:rPr>
              <w:t>发酵</w:t>
            </w:r>
            <w:r>
              <w:rPr>
                <w:sz w:val="24"/>
                <w:szCs w:val="24"/>
              </w:rPr>
              <w:t>后的物料经</w:t>
            </w:r>
            <w:r>
              <w:rPr>
                <w:rFonts w:hint="eastAsia"/>
                <w:sz w:val="24"/>
                <w:szCs w:val="24"/>
              </w:rPr>
              <w:t>装载机运输至混合区</w:t>
            </w:r>
            <w:r>
              <w:rPr>
                <w:sz w:val="24"/>
                <w:szCs w:val="24"/>
              </w:rPr>
              <w:t>，</w:t>
            </w:r>
            <w:r>
              <w:rPr>
                <w:rFonts w:hint="eastAsia"/>
                <w:sz w:val="24"/>
                <w:szCs w:val="24"/>
              </w:rPr>
              <w:t>按照比例添加尾矿进行混合，混合过程中进行洒水降尘</w:t>
            </w:r>
            <w:r>
              <w:rPr>
                <w:sz w:val="24"/>
                <w:szCs w:val="24"/>
              </w:rPr>
              <w:t>。</w:t>
            </w:r>
            <w:r>
              <w:rPr>
                <w:rFonts w:hint="eastAsia"/>
                <w:sz w:val="24"/>
                <w:szCs w:val="24"/>
              </w:rPr>
              <w:t>配料工序产生噪声和粉尘。</w:t>
            </w:r>
          </w:p>
          <w:p w14:paraId="121FFE22">
            <w:pPr>
              <w:pStyle w:val="15"/>
              <w:adjustRightInd w:val="0"/>
              <w:spacing w:line="360" w:lineRule="auto"/>
              <w:ind w:firstLine="482" w:firstLineChars="200"/>
              <w:rPr>
                <w:b/>
                <w:bCs/>
                <w:sz w:val="24"/>
                <w:szCs w:val="24"/>
              </w:rPr>
            </w:pPr>
            <w:r>
              <w:rPr>
                <w:rFonts w:hint="eastAsia"/>
                <w:b/>
                <w:bCs/>
                <w:sz w:val="24"/>
                <w:szCs w:val="24"/>
              </w:rPr>
              <w:t>4、</w:t>
            </w:r>
            <w:r>
              <w:rPr>
                <w:b/>
                <w:bCs/>
                <w:sz w:val="24"/>
                <w:szCs w:val="24"/>
              </w:rPr>
              <w:t>计量包装</w:t>
            </w:r>
          </w:p>
          <w:p w14:paraId="7497FB5C">
            <w:pPr>
              <w:pStyle w:val="15"/>
              <w:adjustRightInd w:val="0"/>
              <w:spacing w:line="360" w:lineRule="auto"/>
              <w:ind w:left="-840" w:leftChars="-400" w:firstLine="480" w:firstLineChars="200"/>
            </w:pPr>
            <w:r>
              <w:rPr>
                <w:rFonts w:hint="eastAsia"/>
                <w:sz w:val="24"/>
                <w:szCs w:val="24"/>
              </w:rPr>
              <w:t>造    配料后的物料由密闭</w:t>
            </w:r>
            <w:r>
              <w:rPr>
                <w:sz w:val="24"/>
                <w:szCs w:val="24"/>
              </w:rPr>
              <w:t>皮带输送至全自动计量包装机，封装后送入成品库。</w:t>
            </w:r>
            <w:r>
              <w:rPr>
                <w:rFonts w:hint="eastAsia"/>
                <w:sz w:val="24"/>
                <w:szCs w:val="24"/>
              </w:rPr>
              <w:t>该过程产生噪声、粉尘和废编织袋。</w:t>
            </w:r>
          </w:p>
        </w:tc>
      </w:tr>
      <w:tr w14:paraId="3C0E3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14:paraId="725A744E">
            <w:pPr>
              <w:pStyle w:val="19"/>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Cs w:val="24"/>
              </w:rPr>
              <w:t>与项目有关的原有环境污染问题</w:t>
            </w:r>
          </w:p>
        </w:tc>
        <w:tc>
          <w:tcPr>
            <w:tcW w:w="8161" w:type="dxa"/>
          </w:tcPr>
          <w:p w14:paraId="5C6F0415">
            <w:pPr>
              <w:adjustRightInd w:val="0"/>
              <w:snapToGrid w:val="0"/>
              <w:spacing w:line="360" w:lineRule="auto"/>
              <w:rPr>
                <w:b/>
                <w:bCs/>
                <w:sz w:val="24"/>
              </w:rPr>
            </w:pPr>
            <w:r>
              <w:rPr>
                <w:b/>
                <w:bCs/>
                <w:sz w:val="24"/>
              </w:rPr>
              <w:t>一、云南建工云岭水泥有限公司环保手续</w:t>
            </w:r>
            <w:r>
              <w:rPr>
                <w:rFonts w:hint="eastAsia"/>
                <w:b/>
                <w:bCs/>
                <w:sz w:val="24"/>
              </w:rPr>
              <w:t>办理</w:t>
            </w:r>
            <w:r>
              <w:rPr>
                <w:b/>
                <w:bCs/>
                <w:sz w:val="24"/>
              </w:rPr>
              <w:t>情况</w:t>
            </w:r>
          </w:p>
          <w:p w14:paraId="2DDFFAA9">
            <w:pPr>
              <w:adjustRightInd w:val="0"/>
              <w:snapToGrid w:val="0"/>
              <w:spacing w:line="360" w:lineRule="auto"/>
              <w:ind w:firstLine="420"/>
              <w:rPr>
                <w:sz w:val="24"/>
              </w:rPr>
            </w:pPr>
            <w:r>
              <w:rPr>
                <w:rFonts w:hint="eastAsia"/>
                <w:sz w:val="24"/>
              </w:rPr>
              <w:t>本项目租用云南建工云岭水泥有限公司已建厂房进行建设。</w:t>
            </w:r>
          </w:p>
          <w:p w14:paraId="072B6491">
            <w:pPr>
              <w:adjustRightInd w:val="0"/>
              <w:snapToGrid w:val="0"/>
              <w:spacing w:line="360" w:lineRule="auto"/>
              <w:ind w:firstLine="480" w:firstLineChars="200"/>
              <w:rPr>
                <w:sz w:val="24"/>
              </w:rPr>
            </w:pPr>
            <w:r>
              <w:rPr>
                <w:rFonts w:hint="eastAsia"/>
                <w:sz w:val="24"/>
              </w:rPr>
              <w:t>云南建工云岭水泥有限公司始建于2006年，前身是云南南磷集团云岭建材有限公司。2008年1月，省环科院编制了《2000吨/天综合利用电石渣新型干法水泥熟料生产线环境影响报告书》；2008年5月7日，云南省环境保护局以云环许准〔2008〕135号文同意建设；2010年10月30日，省环保厅以云环验〔2010〕60号文同意项目环保竣工验收。 2016年12月22日取得寻甸县环境保护局出具的烟气脱硝设施（SNCR）技术改造项目环境影响评价报告表批复，脱硝设施验收于2017年6月23日由寻甸县环保局组织开展竣工验收，于2017年10月20日取得寻甸县环保局出具的烟气脱硝技术改造工程项目竣工环保验收批复；2020年12月1日取得昆明市环境保护局核发的云南省污染物排放许可证（91530129676551443E001P），有效期至2020年12月27日至2025年12月26日止。2021年11月28日因水泥市场环境不景气等原因一直停产至今未进行生产，根据2023年10月30日云南建工云岭水泥有限公司出具的情况说明，公司以后将不组织生产，计划将产能、设备等依法进行处置，不再生产。</w:t>
            </w:r>
          </w:p>
          <w:p w14:paraId="3F7C5391">
            <w:pPr>
              <w:adjustRightInd w:val="0"/>
              <w:snapToGrid w:val="0"/>
              <w:spacing w:line="360" w:lineRule="auto"/>
              <w:rPr>
                <w:sz w:val="24"/>
              </w:rPr>
            </w:pPr>
            <w:r>
              <w:rPr>
                <w:rFonts w:hint="eastAsia"/>
                <w:b/>
                <w:bCs/>
                <w:sz w:val="24"/>
              </w:rPr>
              <w:t>二、</w:t>
            </w:r>
            <w:r>
              <w:rPr>
                <w:b/>
                <w:bCs/>
                <w:sz w:val="24"/>
              </w:rPr>
              <w:t>云南建工云岭水泥有限公司</w:t>
            </w:r>
            <w:r>
              <w:rPr>
                <w:rFonts w:hint="eastAsia"/>
                <w:b/>
                <w:bCs/>
                <w:sz w:val="24"/>
              </w:rPr>
              <w:t>现状</w:t>
            </w:r>
          </w:p>
          <w:p w14:paraId="61F9E31D">
            <w:pPr>
              <w:adjustRightInd w:val="0"/>
              <w:snapToGrid w:val="0"/>
              <w:spacing w:line="360" w:lineRule="auto"/>
              <w:ind w:firstLine="480" w:firstLineChars="200"/>
              <w:rPr>
                <w:sz w:val="24"/>
              </w:rPr>
            </w:pPr>
            <w:r>
              <w:rPr>
                <w:rFonts w:hint="eastAsia"/>
                <w:sz w:val="24"/>
              </w:rPr>
              <w:t>根据现场踏勘，云南建工云岭水泥有限公司2000吨/天综合利用电石渣新型干法水泥熟料生产线自2021年11月28日开始至今未进行生产。本项目租贷的西面厂房原为粘土-铜渣棚，东面厂房原为煤堆棚，生产期间厂房建设为四周密闭，上有顶棚，地面经过硬化防渗处理，满足物料堆存需求。现状已为空置的厂房，地面硬化无裂缝，无原有项目的污染痕迹。</w:t>
            </w:r>
          </w:p>
          <w:p w14:paraId="142A6778">
            <w:pPr>
              <w:adjustRightInd w:val="0"/>
              <w:snapToGrid w:val="0"/>
              <w:spacing w:line="360" w:lineRule="auto"/>
              <w:ind w:firstLine="480" w:firstLineChars="200"/>
              <w:rPr>
                <w:sz w:val="24"/>
              </w:rPr>
            </w:pPr>
            <w:r>
              <w:rPr>
                <w:rFonts w:hint="eastAsia"/>
                <w:sz w:val="24"/>
              </w:rPr>
              <w:t>云南建工云岭水泥有限公司目前有员工办公，宿舍、食堂和办公楼正常使用，生活污水总产生量约为11m</w:t>
            </w:r>
            <w:r>
              <w:rPr>
                <w:rFonts w:hint="eastAsia"/>
                <w:sz w:val="24"/>
                <w:vertAlign w:val="superscript"/>
              </w:rPr>
              <w:t>3</w:t>
            </w:r>
            <w:r>
              <w:rPr>
                <w:rFonts w:hint="eastAsia"/>
                <w:sz w:val="24"/>
              </w:rPr>
              <w:t>/d，经化粪池预处理后排入污水处理站（处理规模为120m</w:t>
            </w:r>
            <w:r>
              <w:rPr>
                <w:rFonts w:hint="eastAsia"/>
                <w:sz w:val="24"/>
                <w:vertAlign w:val="superscript"/>
              </w:rPr>
              <w:t>3</w:t>
            </w:r>
            <w:r>
              <w:rPr>
                <w:rFonts w:hint="eastAsia"/>
                <w:sz w:val="24"/>
              </w:rPr>
              <w:t>/d）处理，达标后排至200m</w:t>
            </w:r>
            <w:r>
              <w:rPr>
                <w:rFonts w:hint="eastAsia"/>
                <w:sz w:val="24"/>
                <w:vertAlign w:val="superscript"/>
              </w:rPr>
              <w:t>3</w:t>
            </w:r>
            <w:r>
              <w:rPr>
                <w:rFonts w:hint="eastAsia"/>
                <w:sz w:val="24"/>
              </w:rPr>
              <w:t>的蓄水池储存，用于厂区的绿化和洒水降尘。</w:t>
            </w:r>
          </w:p>
          <w:p w14:paraId="0807545A">
            <w:pPr>
              <w:pStyle w:val="15"/>
              <w:adjustRightInd w:val="0"/>
              <w:spacing w:line="360" w:lineRule="auto"/>
              <w:rPr>
                <w:b/>
                <w:bCs/>
                <w:sz w:val="24"/>
                <w:szCs w:val="28"/>
              </w:rPr>
            </w:pPr>
            <w:r>
              <w:rPr>
                <w:rFonts w:hint="eastAsia"/>
                <w:b/>
                <w:bCs/>
                <w:sz w:val="24"/>
                <w:szCs w:val="28"/>
              </w:rPr>
              <w:t>三</w:t>
            </w:r>
            <w:r>
              <w:rPr>
                <w:b/>
                <w:bCs/>
                <w:sz w:val="24"/>
                <w:szCs w:val="28"/>
              </w:rPr>
              <w:t>、</w:t>
            </w:r>
            <w:r>
              <w:rPr>
                <w:rFonts w:hint="eastAsia"/>
                <w:b/>
                <w:bCs/>
                <w:sz w:val="24"/>
                <w:szCs w:val="28"/>
              </w:rPr>
              <w:t>与项目有关的原有问题</w:t>
            </w:r>
          </w:p>
          <w:p w14:paraId="7C7ADBE6">
            <w:pPr>
              <w:pStyle w:val="15"/>
              <w:adjustRightInd w:val="0"/>
              <w:spacing w:line="360" w:lineRule="auto"/>
              <w:ind w:firstLine="480" w:firstLineChars="200"/>
              <w:rPr>
                <w:sz w:val="24"/>
                <w:szCs w:val="24"/>
              </w:rPr>
            </w:pPr>
            <w:r>
              <w:rPr>
                <w:rFonts w:hint="eastAsia"/>
                <w:sz w:val="24"/>
                <w:szCs w:val="24"/>
              </w:rPr>
              <w:t>本项目为新建项目，租贷的已建厂房目前为空置状态，地面均进行了硬化处理，未发现现场遗漏的环境问题，无与项目有关的原有问题存在。</w:t>
            </w:r>
          </w:p>
          <w:p w14:paraId="2A1B41C2">
            <w:pPr>
              <w:pStyle w:val="15"/>
              <w:adjustRightInd w:val="0"/>
              <w:spacing w:line="360" w:lineRule="auto"/>
              <w:ind w:firstLine="480" w:firstLineChars="200"/>
              <w:rPr>
                <w:sz w:val="24"/>
                <w:szCs w:val="24"/>
              </w:rPr>
            </w:pPr>
          </w:p>
          <w:p w14:paraId="5369D0E5">
            <w:pPr>
              <w:pStyle w:val="15"/>
              <w:rPr>
                <w:rFonts w:hint="eastAsia"/>
              </w:rPr>
            </w:pPr>
          </w:p>
          <w:p w14:paraId="6692D03D">
            <w:pPr>
              <w:pStyle w:val="15"/>
              <w:rPr>
                <w:rFonts w:hint="eastAsia"/>
              </w:rPr>
            </w:pPr>
          </w:p>
          <w:p w14:paraId="4F0AD767">
            <w:pPr>
              <w:pStyle w:val="15"/>
              <w:rPr>
                <w:rFonts w:hint="eastAsia"/>
              </w:rPr>
            </w:pPr>
          </w:p>
          <w:p w14:paraId="634B912F">
            <w:pPr>
              <w:pStyle w:val="15"/>
              <w:rPr>
                <w:rFonts w:hint="eastAsia"/>
              </w:rPr>
            </w:pPr>
          </w:p>
          <w:p w14:paraId="3AB1C03F">
            <w:pPr>
              <w:pStyle w:val="15"/>
              <w:rPr>
                <w:rFonts w:hint="eastAsia"/>
              </w:rPr>
            </w:pPr>
          </w:p>
          <w:p w14:paraId="4F014A7C">
            <w:pPr>
              <w:pStyle w:val="15"/>
              <w:rPr>
                <w:rFonts w:hint="eastAsia"/>
              </w:rPr>
            </w:pPr>
          </w:p>
          <w:p w14:paraId="1B147597">
            <w:pPr>
              <w:pStyle w:val="15"/>
              <w:rPr>
                <w:rFonts w:hint="eastAsia"/>
              </w:rPr>
            </w:pPr>
          </w:p>
          <w:p w14:paraId="0DF63CFE">
            <w:pPr>
              <w:pStyle w:val="15"/>
              <w:rPr>
                <w:rFonts w:hint="eastAsia"/>
              </w:rPr>
            </w:pPr>
          </w:p>
          <w:p w14:paraId="183655EE">
            <w:pPr>
              <w:pStyle w:val="15"/>
              <w:rPr>
                <w:rFonts w:hint="eastAsia"/>
              </w:rPr>
            </w:pPr>
          </w:p>
          <w:p w14:paraId="5BF4B8F1">
            <w:pPr>
              <w:pStyle w:val="15"/>
              <w:rPr>
                <w:rFonts w:hint="eastAsia"/>
              </w:rPr>
            </w:pPr>
          </w:p>
          <w:p w14:paraId="70926DED">
            <w:pPr>
              <w:pStyle w:val="15"/>
              <w:rPr>
                <w:rFonts w:hint="eastAsia"/>
              </w:rPr>
            </w:pPr>
          </w:p>
          <w:p w14:paraId="149B9A18">
            <w:pPr>
              <w:pStyle w:val="15"/>
              <w:rPr>
                <w:rFonts w:hint="eastAsia"/>
              </w:rPr>
            </w:pPr>
          </w:p>
          <w:p w14:paraId="2102E394">
            <w:pPr>
              <w:pStyle w:val="15"/>
              <w:rPr>
                <w:rFonts w:hint="eastAsia"/>
              </w:rPr>
            </w:pPr>
          </w:p>
          <w:p w14:paraId="2F87B463">
            <w:pPr>
              <w:pStyle w:val="15"/>
              <w:rPr>
                <w:rFonts w:hint="eastAsia"/>
              </w:rPr>
            </w:pPr>
          </w:p>
          <w:p w14:paraId="3BB307C8">
            <w:pPr>
              <w:pStyle w:val="15"/>
              <w:rPr>
                <w:rFonts w:hint="eastAsia"/>
              </w:rPr>
            </w:pPr>
          </w:p>
          <w:p w14:paraId="5622E130">
            <w:pPr>
              <w:pStyle w:val="15"/>
              <w:rPr>
                <w:rFonts w:hint="eastAsia"/>
              </w:rPr>
            </w:pPr>
          </w:p>
          <w:p w14:paraId="7396E31C">
            <w:pPr>
              <w:pStyle w:val="15"/>
              <w:rPr>
                <w:rFonts w:hint="eastAsia"/>
              </w:rPr>
            </w:pPr>
          </w:p>
          <w:p w14:paraId="0B51B811">
            <w:pPr>
              <w:pStyle w:val="15"/>
              <w:rPr>
                <w:rFonts w:hint="eastAsia"/>
              </w:rPr>
            </w:pPr>
          </w:p>
          <w:p w14:paraId="1B678835">
            <w:pPr>
              <w:pStyle w:val="15"/>
              <w:rPr>
                <w:rFonts w:hint="eastAsia"/>
              </w:rPr>
            </w:pPr>
          </w:p>
          <w:p w14:paraId="665CB4C8">
            <w:pPr>
              <w:pStyle w:val="15"/>
              <w:rPr>
                <w:rFonts w:hint="eastAsia"/>
              </w:rPr>
            </w:pPr>
          </w:p>
          <w:p w14:paraId="3DCAE5F4">
            <w:pPr>
              <w:pStyle w:val="15"/>
              <w:rPr>
                <w:rFonts w:hint="eastAsia"/>
              </w:rPr>
            </w:pPr>
          </w:p>
          <w:p w14:paraId="1C7F1342">
            <w:pPr>
              <w:pStyle w:val="15"/>
              <w:rPr>
                <w:rFonts w:hint="eastAsia"/>
              </w:rPr>
            </w:pPr>
          </w:p>
          <w:p w14:paraId="7F9A311E">
            <w:pPr>
              <w:pStyle w:val="15"/>
              <w:rPr>
                <w:rFonts w:hint="eastAsia"/>
              </w:rPr>
            </w:pPr>
          </w:p>
          <w:p w14:paraId="6150565A">
            <w:pPr>
              <w:pStyle w:val="15"/>
              <w:rPr>
                <w:rFonts w:hint="eastAsia"/>
              </w:rPr>
            </w:pPr>
          </w:p>
          <w:p w14:paraId="5EECCE7C">
            <w:pPr>
              <w:pStyle w:val="15"/>
              <w:rPr>
                <w:rFonts w:hint="eastAsia"/>
              </w:rPr>
            </w:pPr>
          </w:p>
          <w:p w14:paraId="20386405">
            <w:pPr>
              <w:pStyle w:val="15"/>
              <w:rPr>
                <w:rFonts w:hint="eastAsia"/>
              </w:rPr>
            </w:pPr>
          </w:p>
          <w:p w14:paraId="6AC2460B">
            <w:pPr>
              <w:pStyle w:val="15"/>
              <w:rPr>
                <w:rFonts w:hint="eastAsia"/>
              </w:rPr>
            </w:pPr>
          </w:p>
          <w:p w14:paraId="2685808C">
            <w:pPr>
              <w:pStyle w:val="15"/>
              <w:rPr>
                <w:rFonts w:hint="eastAsia"/>
              </w:rPr>
            </w:pPr>
          </w:p>
          <w:p w14:paraId="02D52A24">
            <w:pPr>
              <w:pStyle w:val="15"/>
              <w:rPr>
                <w:rFonts w:hint="eastAsia"/>
              </w:rPr>
            </w:pPr>
          </w:p>
          <w:p w14:paraId="6C717943">
            <w:pPr>
              <w:pStyle w:val="15"/>
              <w:rPr>
                <w:rFonts w:hint="eastAsia"/>
              </w:rPr>
            </w:pPr>
          </w:p>
          <w:p w14:paraId="71387198">
            <w:pPr>
              <w:pStyle w:val="15"/>
              <w:rPr>
                <w:rFonts w:hint="eastAsia"/>
              </w:rPr>
            </w:pPr>
          </w:p>
          <w:p w14:paraId="7ACD12EA">
            <w:pPr>
              <w:pStyle w:val="15"/>
              <w:rPr>
                <w:rFonts w:hint="eastAsia"/>
              </w:rPr>
            </w:pPr>
          </w:p>
          <w:p w14:paraId="19C642EB">
            <w:pPr>
              <w:pStyle w:val="15"/>
              <w:rPr>
                <w:rFonts w:hint="eastAsia"/>
              </w:rPr>
            </w:pPr>
          </w:p>
          <w:p w14:paraId="04D2AA3F">
            <w:pPr>
              <w:pStyle w:val="15"/>
              <w:rPr>
                <w:rFonts w:hint="eastAsia"/>
              </w:rPr>
            </w:pPr>
          </w:p>
          <w:p w14:paraId="1B89F9AA">
            <w:pPr>
              <w:pStyle w:val="15"/>
              <w:rPr>
                <w:rFonts w:hint="eastAsia"/>
              </w:rPr>
            </w:pPr>
          </w:p>
          <w:p w14:paraId="747AC95C">
            <w:pPr>
              <w:pStyle w:val="15"/>
              <w:rPr>
                <w:rFonts w:hint="eastAsia"/>
              </w:rPr>
            </w:pPr>
          </w:p>
          <w:p w14:paraId="19CFEEE7">
            <w:pPr>
              <w:pStyle w:val="15"/>
              <w:rPr>
                <w:rFonts w:hint="eastAsia"/>
              </w:rPr>
            </w:pPr>
          </w:p>
          <w:p w14:paraId="4FE49FCA">
            <w:pPr>
              <w:pStyle w:val="15"/>
              <w:rPr>
                <w:rFonts w:hint="eastAsia"/>
              </w:rPr>
            </w:pPr>
          </w:p>
          <w:p w14:paraId="207F1AAF">
            <w:pPr>
              <w:pStyle w:val="15"/>
              <w:rPr>
                <w:rFonts w:hint="eastAsia"/>
              </w:rPr>
            </w:pPr>
          </w:p>
          <w:p w14:paraId="52AEB432">
            <w:pPr>
              <w:pStyle w:val="15"/>
              <w:rPr>
                <w:rFonts w:hint="eastAsia"/>
              </w:rPr>
            </w:pPr>
          </w:p>
          <w:p w14:paraId="25D7FF3F">
            <w:pPr>
              <w:pStyle w:val="15"/>
              <w:rPr>
                <w:rFonts w:hint="eastAsia"/>
              </w:rPr>
            </w:pPr>
          </w:p>
          <w:p w14:paraId="7D9D1B62">
            <w:pPr>
              <w:pStyle w:val="15"/>
              <w:rPr>
                <w:rFonts w:hint="eastAsia"/>
              </w:rPr>
            </w:pPr>
          </w:p>
          <w:p w14:paraId="71FD9FA5">
            <w:pPr>
              <w:pStyle w:val="15"/>
              <w:rPr>
                <w:rFonts w:hint="eastAsia"/>
              </w:rPr>
            </w:pPr>
          </w:p>
          <w:p w14:paraId="02CDDCB4">
            <w:pPr>
              <w:pStyle w:val="15"/>
              <w:rPr>
                <w:rFonts w:hint="eastAsia"/>
              </w:rPr>
            </w:pPr>
          </w:p>
          <w:p w14:paraId="53B54B47">
            <w:pPr>
              <w:pStyle w:val="15"/>
              <w:rPr>
                <w:rFonts w:hint="eastAsia"/>
              </w:rPr>
            </w:pPr>
          </w:p>
          <w:p w14:paraId="39494BE9">
            <w:pPr>
              <w:pStyle w:val="15"/>
              <w:rPr>
                <w:rFonts w:hint="eastAsia"/>
              </w:rPr>
            </w:pPr>
          </w:p>
          <w:p w14:paraId="3F1EAA84">
            <w:pPr>
              <w:pStyle w:val="15"/>
              <w:rPr>
                <w:rFonts w:hint="eastAsia"/>
              </w:rPr>
            </w:pPr>
          </w:p>
          <w:p w14:paraId="24F9FD03">
            <w:pPr>
              <w:pStyle w:val="15"/>
              <w:rPr>
                <w:rFonts w:hint="eastAsia"/>
              </w:rPr>
            </w:pPr>
          </w:p>
          <w:p w14:paraId="6DCB42F3">
            <w:pPr>
              <w:pStyle w:val="15"/>
              <w:rPr>
                <w:rFonts w:hint="eastAsia"/>
              </w:rPr>
            </w:pPr>
          </w:p>
          <w:p w14:paraId="1040CE20">
            <w:pPr>
              <w:pStyle w:val="15"/>
              <w:rPr>
                <w:rFonts w:hint="eastAsia"/>
              </w:rPr>
            </w:pPr>
          </w:p>
          <w:p w14:paraId="3A5DB22D">
            <w:pPr>
              <w:pStyle w:val="15"/>
              <w:rPr>
                <w:rFonts w:hint="eastAsia"/>
              </w:rPr>
            </w:pPr>
          </w:p>
          <w:p w14:paraId="4C365C9B">
            <w:pPr>
              <w:pStyle w:val="15"/>
              <w:rPr>
                <w:rFonts w:hint="eastAsia"/>
              </w:rPr>
            </w:pPr>
          </w:p>
          <w:p w14:paraId="08768AF9">
            <w:pPr>
              <w:pStyle w:val="15"/>
            </w:pPr>
          </w:p>
        </w:tc>
      </w:tr>
    </w:tbl>
    <w:p w14:paraId="08EBAC1D">
      <w:pPr>
        <w:pStyle w:val="19"/>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14:paraId="622C9DAC">
      <w:pPr>
        <w:pStyle w:val="19"/>
        <w:adjustRightInd w:val="0"/>
        <w:snapToGrid w:val="0"/>
        <w:spacing w:before="0" w:beforeAutospacing="0" w:after="0" w:afterAutospacing="0" w:line="14" w:lineRule="auto"/>
        <w:jc w:val="center"/>
        <w:rPr>
          <w:rFonts w:ascii="Times New Roman" w:hAnsi="Times New Roman" w:eastAsia="黑体"/>
          <w:snapToGrid w:val="0"/>
          <w:sz w:val="30"/>
          <w:szCs w:val="30"/>
        </w:rPr>
      </w:pPr>
    </w:p>
    <w:p w14:paraId="577E2ECD">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25" w:name="_Toc24964"/>
      <w:r>
        <w:rPr>
          <w:rFonts w:ascii="Times New Roman" w:hAnsi="Times New Roman" w:eastAsia="黑体"/>
          <w:snapToGrid w:val="0"/>
          <w:sz w:val="30"/>
          <w:szCs w:val="30"/>
        </w:rPr>
        <w:t>三、区域环境质量现状、环境保护目标及评价标准</w:t>
      </w:r>
      <w:bookmarkEnd w:id="2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BAAB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00" w:type="dxa"/>
            <w:vAlign w:val="center"/>
          </w:tcPr>
          <w:p w14:paraId="02765066">
            <w:pPr>
              <w:adjustRightInd w:val="0"/>
              <w:snapToGrid w:val="0"/>
              <w:jc w:val="center"/>
              <w:rPr>
                <w:kern w:val="0"/>
                <w:sz w:val="24"/>
              </w:rPr>
            </w:pPr>
            <w:r>
              <w:rPr>
                <w:kern w:val="0"/>
                <w:sz w:val="24"/>
              </w:rPr>
              <w:t>区域</w:t>
            </w:r>
          </w:p>
          <w:p w14:paraId="33C75992">
            <w:pPr>
              <w:adjustRightInd w:val="0"/>
              <w:snapToGrid w:val="0"/>
              <w:jc w:val="center"/>
              <w:rPr>
                <w:kern w:val="0"/>
                <w:sz w:val="24"/>
              </w:rPr>
            </w:pPr>
            <w:r>
              <w:rPr>
                <w:kern w:val="0"/>
                <w:sz w:val="24"/>
              </w:rPr>
              <w:t>环境</w:t>
            </w:r>
          </w:p>
          <w:p w14:paraId="1C62D0F7">
            <w:pPr>
              <w:adjustRightInd w:val="0"/>
              <w:snapToGrid w:val="0"/>
              <w:jc w:val="center"/>
              <w:rPr>
                <w:kern w:val="0"/>
                <w:sz w:val="24"/>
              </w:rPr>
            </w:pPr>
            <w:r>
              <w:rPr>
                <w:kern w:val="0"/>
                <w:sz w:val="24"/>
              </w:rPr>
              <w:t>质量</w:t>
            </w:r>
          </w:p>
          <w:p w14:paraId="004B49CB">
            <w:pPr>
              <w:adjustRightInd w:val="0"/>
              <w:snapToGrid w:val="0"/>
              <w:jc w:val="center"/>
              <w:rPr>
                <w:kern w:val="0"/>
                <w:szCs w:val="21"/>
              </w:rPr>
            </w:pPr>
            <w:r>
              <w:rPr>
                <w:kern w:val="0"/>
                <w:sz w:val="24"/>
              </w:rPr>
              <w:t>现状</w:t>
            </w:r>
          </w:p>
        </w:tc>
        <w:tc>
          <w:tcPr>
            <w:tcW w:w="8190" w:type="dxa"/>
            <w:vAlign w:val="center"/>
          </w:tcPr>
          <w:p w14:paraId="259DA060">
            <w:pPr>
              <w:spacing w:line="360" w:lineRule="auto"/>
              <w:ind w:firstLine="482" w:firstLineChars="200"/>
              <w:rPr>
                <w:b/>
                <w:bCs/>
                <w:sz w:val="24"/>
              </w:rPr>
            </w:pPr>
            <w:r>
              <w:rPr>
                <w:rFonts w:hint="eastAsia"/>
                <w:b/>
                <w:bCs/>
                <w:sz w:val="24"/>
              </w:rPr>
              <w:t>1、环境空气质量现状</w:t>
            </w:r>
          </w:p>
          <w:p w14:paraId="7699CA69">
            <w:pPr>
              <w:spacing w:line="360" w:lineRule="auto"/>
              <w:ind w:firstLine="480" w:firstLineChars="200"/>
              <w:rPr>
                <w:sz w:val="24"/>
              </w:rPr>
            </w:pPr>
            <w:r>
              <w:rPr>
                <w:rFonts w:hint="eastAsia"/>
                <w:sz w:val="24"/>
              </w:rPr>
              <w:t>本项目位于云南寻甸产业园区金所片区金所组团内，该区域环境空气质量功能区划为二类区，执行《环境空气质量标准》（GB3095-2026）二级标准。</w:t>
            </w:r>
          </w:p>
          <w:p w14:paraId="0D31EF6F">
            <w:pPr>
              <w:spacing w:line="360" w:lineRule="auto"/>
              <w:ind w:firstLine="240" w:firstLineChars="100"/>
              <w:rPr>
                <w:sz w:val="24"/>
              </w:rPr>
            </w:pPr>
            <w:r>
              <w:rPr>
                <w:rFonts w:hint="eastAsia"/>
                <w:sz w:val="24"/>
              </w:rPr>
              <w:t>（1）区域基本污染物环境质量现状</w:t>
            </w:r>
          </w:p>
          <w:p w14:paraId="6D586C8A">
            <w:pPr>
              <w:spacing w:line="360" w:lineRule="auto"/>
              <w:ind w:firstLine="480" w:firstLineChars="200"/>
              <w:rPr>
                <w:sz w:val="24"/>
              </w:rPr>
            </w:pPr>
            <w:r>
              <w:rPr>
                <w:rFonts w:hint="eastAsia"/>
                <w:sz w:val="24"/>
              </w:rPr>
              <w:t>根据《2024年度昆明市生态环境状况公报》可知，2024年昆明市主城区外所辖的8个县（市）、区环境空气质量总体保持良好，各项污染物平均浓度均达到二级标准。因此，项目所在区域为环境空气质量达标区。</w:t>
            </w:r>
          </w:p>
          <w:p w14:paraId="0F8C578F">
            <w:pPr>
              <w:spacing w:line="360" w:lineRule="auto"/>
              <w:ind w:firstLine="240" w:firstLineChars="100"/>
              <w:rPr>
                <w:sz w:val="24"/>
              </w:rPr>
            </w:pPr>
            <w:r>
              <w:rPr>
                <w:rFonts w:hint="eastAsia"/>
                <w:sz w:val="24"/>
              </w:rPr>
              <w:t>（2）特征因子环境质量现状</w:t>
            </w:r>
          </w:p>
          <w:p w14:paraId="7302C823">
            <w:pPr>
              <w:spacing w:line="360" w:lineRule="auto"/>
              <w:ind w:firstLine="480" w:firstLineChars="200"/>
              <w:rPr>
                <w:sz w:val="24"/>
              </w:rPr>
            </w:pPr>
            <w:r>
              <w:rPr>
                <w:rFonts w:hint="eastAsia"/>
                <w:sz w:val="24"/>
              </w:rPr>
              <w:t>本项目涉及的特征因子为TSP、臭气浓度。根据《建设项目环境影响报告表内容、格式及编制技术指南常见问题解答》：“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w:t>
            </w:r>
          </w:p>
          <w:p w14:paraId="5F69D605">
            <w:pPr>
              <w:spacing w:line="360" w:lineRule="auto"/>
              <w:ind w:firstLine="480" w:firstLineChars="200"/>
              <w:rPr>
                <w:sz w:val="24"/>
              </w:rPr>
            </w:pPr>
            <w:r>
              <w:rPr>
                <w:rFonts w:hint="eastAsia"/>
                <w:sz w:val="24"/>
              </w:rPr>
              <w:t>故项目区TSP引用现有的监测数据，臭气浓度在国家、地方环境空气质量标准中无限值要求，不进行现状环境质量评价。</w:t>
            </w:r>
          </w:p>
          <w:p w14:paraId="671626C6">
            <w:pPr>
              <w:spacing w:line="360" w:lineRule="auto"/>
              <w:ind w:firstLine="480" w:firstLineChars="200"/>
              <w:rPr>
                <w:sz w:val="24"/>
              </w:rPr>
            </w:pPr>
            <w:r>
              <w:rPr>
                <w:rFonts w:hint="eastAsia"/>
                <w:sz w:val="24"/>
              </w:rPr>
              <w:t>TSP环境空气质量现状评价引用云南鼎祺检测有限公司于2023年11月30日至12月06日对《云南南磷集团电化有限公司30万吨/年聚氯乙烯及配套原料烧碱项目（二期）及2×25MW综合利用自备电厂环境影响后评价》中公司办公区监测点位（G2）的空气质量现状监测数据，引用监测点位（公司办公区）位于项目区西南侧700m。本项目引用的现状监测点具备类比条件，数据在技术指南要求的“近三年”时限内，且监测至今区域环境未发生较大变化，属于有效数据，故本项目空气质量现状评价引用的数据具有时效性和代表性引用项目监测点位布设见表3-1，本项目与引用监测点位位置关系如下图3-1。</w:t>
            </w:r>
          </w:p>
          <w:p w14:paraId="785DD34E">
            <w:pPr>
              <w:pStyle w:val="56"/>
            </w:pPr>
            <w:r>
              <w:rPr>
                <w:rFonts w:hint="eastAsia"/>
              </w:rPr>
              <w:t>表3-1 监测点位基本信息</w:t>
            </w:r>
          </w:p>
          <w:tbl>
            <w:tblPr>
              <w:tblStyle w:val="23"/>
              <w:tblW w:w="783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007"/>
              <w:gridCol w:w="1059"/>
              <w:gridCol w:w="1126"/>
              <w:gridCol w:w="1266"/>
              <w:gridCol w:w="1119"/>
              <w:gridCol w:w="1155"/>
              <w:gridCol w:w="1103"/>
            </w:tblGrid>
            <w:tr w14:paraId="3FAC2F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 w:hRule="atLeast"/>
              </w:trPr>
              <w:tc>
                <w:tcPr>
                  <w:tcW w:w="642" w:type="pct"/>
                  <w:vMerge w:val="restart"/>
                  <w:tcBorders>
                    <w:tl2br w:val="nil"/>
                    <w:tr2bl w:val="nil"/>
                  </w:tcBorders>
                  <w:vAlign w:val="center"/>
                </w:tcPr>
                <w:p w14:paraId="11898A8F">
                  <w:pPr>
                    <w:pStyle w:val="72"/>
                    <w:rPr>
                      <w:b w:val="0"/>
                      <w:color w:val="auto"/>
                    </w:rPr>
                  </w:pPr>
                  <w:r>
                    <w:rPr>
                      <w:b w:val="0"/>
                      <w:color w:val="auto"/>
                    </w:rPr>
                    <w:t>监测点名称</w:t>
                  </w:r>
                </w:p>
              </w:tc>
              <w:tc>
                <w:tcPr>
                  <w:tcW w:w="1393" w:type="pct"/>
                  <w:gridSpan w:val="2"/>
                  <w:tcBorders>
                    <w:tl2br w:val="nil"/>
                    <w:tr2bl w:val="nil"/>
                  </w:tcBorders>
                  <w:vAlign w:val="center"/>
                </w:tcPr>
                <w:p w14:paraId="7D5F2B62">
                  <w:pPr>
                    <w:pStyle w:val="72"/>
                    <w:rPr>
                      <w:b w:val="0"/>
                      <w:color w:val="auto"/>
                    </w:rPr>
                  </w:pPr>
                  <w:r>
                    <w:rPr>
                      <w:b w:val="0"/>
                      <w:color w:val="auto"/>
                    </w:rPr>
                    <w:t>监测点位坐标</w:t>
                  </w:r>
                </w:p>
              </w:tc>
              <w:tc>
                <w:tcPr>
                  <w:tcW w:w="807" w:type="pct"/>
                  <w:vMerge w:val="restart"/>
                  <w:tcBorders>
                    <w:tl2br w:val="nil"/>
                    <w:tr2bl w:val="nil"/>
                  </w:tcBorders>
                  <w:vAlign w:val="center"/>
                </w:tcPr>
                <w:p w14:paraId="18B07E93">
                  <w:pPr>
                    <w:pStyle w:val="72"/>
                    <w:rPr>
                      <w:b w:val="0"/>
                      <w:color w:val="auto"/>
                    </w:rPr>
                  </w:pPr>
                  <w:r>
                    <w:rPr>
                      <w:b w:val="0"/>
                      <w:color w:val="auto"/>
                    </w:rPr>
                    <w:t>监测因子</w:t>
                  </w:r>
                </w:p>
              </w:tc>
              <w:tc>
                <w:tcPr>
                  <w:tcW w:w="714" w:type="pct"/>
                  <w:vMerge w:val="restart"/>
                  <w:tcBorders>
                    <w:tl2br w:val="nil"/>
                    <w:tr2bl w:val="nil"/>
                  </w:tcBorders>
                  <w:vAlign w:val="center"/>
                </w:tcPr>
                <w:p w14:paraId="3EBA4ED8">
                  <w:pPr>
                    <w:pStyle w:val="72"/>
                    <w:rPr>
                      <w:b w:val="0"/>
                      <w:color w:val="auto"/>
                    </w:rPr>
                  </w:pPr>
                  <w:r>
                    <w:rPr>
                      <w:b w:val="0"/>
                      <w:color w:val="auto"/>
                    </w:rPr>
                    <w:t>监测时段</w:t>
                  </w:r>
                </w:p>
              </w:tc>
              <w:tc>
                <w:tcPr>
                  <w:tcW w:w="737" w:type="pct"/>
                  <w:vMerge w:val="restart"/>
                  <w:tcBorders>
                    <w:tl2br w:val="nil"/>
                    <w:tr2bl w:val="nil"/>
                  </w:tcBorders>
                  <w:vAlign w:val="center"/>
                </w:tcPr>
                <w:p w14:paraId="7FF98648">
                  <w:pPr>
                    <w:pStyle w:val="72"/>
                    <w:rPr>
                      <w:b w:val="0"/>
                      <w:color w:val="auto"/>
                    </w:rPr>
                  </w:pPr>
                  <w:r>
                    <w:rPr>
                      <w:b w:val="0"/>
                      <w:color w:val="auto"/>
                    </w:rPr>
                    <w:t>相对</w:t>
                  </w:r>
                  <w:r>
                    <w:rPr>
                      <w:rFonts w:hint="eastAsia"/>
                      <w:b w:val="0"/>
                      <w:color w:val="auto"/>
                    </w:rPr>
                    <w:t>本项目</w:t>
                  </w:r>
                  <w:r>
                    <w:rPr>
                      <w:b w:val="0"/>
                      <w:color w:val="auto"/>
                    </w:rPr>
                    <w:t>厂址方位</w:t>
                  </w:r>
                </w:p>
              </w:tc>
              <w:tc>
                <w:tcPr>
                  <w:tcW w:w="704" w:type="pct"/>
                  <w:vMerge w:val="restart"/>
                  <w:tcBorders>
                    <w:tl2br w:val="nil"/>
                    <w:tr2bl w:val="nil"/>
                  </w:tcBorders>
                  <w:vAlign w:val="center"/>
                </w:tcPr>
                <w:p w14:paraId="040C5270">
                  <w:pPr>
                    <w:pStyle w:val="72"/>
                    <w:rPr>
                      <w:b w:val="0"/>
                      <w:color w:val="auto"/>
                    </w:rPr>
                  </w:pPr>
                  <w:r>
                    <w:rPr>
                      <w:b w:val="0"/>
                      <w:color w:val="auto"/>
                    </w:rPr>
                    <w:t>相对</w:t>
                  </w:r>
                  <w:r>
                    <w:rPr>
                      <w:rFonts w:hint="eastAsia"/>
                      <w:b w:val="0"/>
                      <w:color w:val="auto"/>
                    </w:rPr>
                    <w:t>本项目</w:t>
                  </w:r>
                  <w:r>
                    <w:rPr>
                      <w:b w:val="0"/>
                      <w:color w:val="auto"/>
                    </w:rPr>
                    <w:t>厂界距离/m</w:t>
                  </w:r>
                </w:p>
              </w:tc>
            </w:tr>
            <w:tr w14:paraId="09D46A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 w:hRule="atLeast"/>
              </w:trPr>
              <w:tc>
                <w:tcPr>
                  <w:tcW w:w="642" w:type="pct"/>
                  <w:vMerge w:val="continue"/>
                  <w:tcBorders>
                    <w:tl2br w:val="nil"/>
                    <w:tr2bl w:val="nil"/>
                  </w:tcBorders>
                  <w:shd w:val="clear" w:color="auto" w:fill="auto"/>
                  <w:vAlign w:val="center"/>
                </w:tcPr>
                <w:p w14:paraId="1BE7F0C6">
                  <w:pPr>
                    <w:pStyle w:val="72"/>
                    <w:rPr>
                      <w:b w:val="0"/>
                      <w:color w:val="auto"/>
                    </w:rPr>
                  </w:pPr>
                </w:p>
              </w:tc>
              <w:tc>
                <w:tcPr>
                  <w:tcW w:w="675" w:type="pct"/>
                  <w:tcBorders>
                    <w:tl2br w:val="nil"/>
                    <w:tr2bl w:val="nil"/>
                  </w:tcBorders>
                  <w:shd w:val="clear" w:color="auto" w:fill="auto"/>
                  <w:vAlign w:val="center"/>
                </w:tcPr>
                <w:p w14:paraId="42989F91">
                  <w:pPr>
                    <w:pStyle w:val="72"/>
                    <w:rPr>
                      <w:b w:val="0"/>
                      <w:color w:val="auto"/>
                    </w:rPr>
                  </w:pPr>
                  <w:r>
                    <w:rPr>
                      <w:b w:val="0"/>
                      <w:color w:val="auto"/>
                    </w:rPr>
                    <w:t>E</w:t>
                  </w:r>
                </w:p>
              </w:tc>
              <w:tc>
                <w:tcPr>
                  <w:tcW w:w="717" w:type="pct"/>
                  <w:tcBorders>
                    <w:tl2br w:val="nil"/>
                    <w:tr2bl w:val="nil"/>
                  </w:tcBorders>
                  <w:shd w:val="clear" w:color="auto" w:fill="auto"/>
                  <w:vAlign w:val="center"/>
                </w:tcPr>
                <w:p w14:paraId="63530F3B">
                  <w:pPr>
                    <w:pStyle w:val="72"/>
                    <w:rPr>
                      <w:b w:val="0"/>
                      <w:color w:val="auto"/>
                    </w:rPr>
                  </w:pPr>
                  <w:r>
                    <w:rPr>
                      <w:b w:val="0"/>
                      <w:color w:val="auto"/>
                    </w:rPr>
                    <w:t>N</w:t>
                  </w:r>
                </w:p>
              </w:tc>
              <w:tc>
                <w:tcPr>
                  <w:tcW w:w="807" w:type="pct"/>
                  <w:vMerge w:val="continue"/>
                  <w:tcBorders>
                    <w:tl2br w:val="nil"/>
                    <w:tr2bl w:val="nil"/>
                  </w:tcBorders>
                  <w:shd w:val="clear" w:color="auto" w:fill="auto"/>
                  <w:vAlign w:val="center"/>
                </w:tcPr>
                <w:p w14:paraId="7AE6F04B">
                  <w:pPr>
                    <w:pStyle w:val="72"/>
                    <w:rPr>
                      <w:b w:val="0"/>
                      <w:color w:val="auto"/>
                    </w:rPr>
                  </w:pPr>
                </w:p>
              </w:tc>
              <w:tc>
                <w:tcPr>
                  <w:tcW w:w="714" w:type="pct"/>
                  <w:vMerge w:val="continue"/>
                  <w:tcBorders>
                    <w:tl2br w:val="nil"/>
                    <w:tr2bl w:val="nil"/>
                  </w:tcBorders>
                  <w:shd w:val="clear" w:color="auto" w:fill="auto"/>
                  <w:vAlign w:val="center"/>
                </w:tcPr>
                <w:p w14:paraId="32CB59B0">
                  <w:pPr>
                    <w:pStyle w:val="72"/>
                    <w:rPr>
                      <w:b w:val="0"/>
                      <w:color w:val="auto"/>
                    </w:rPr>
                  </w:pPr>
                </w:p>
              </w:tc>
              <w:tc>
                <w:tcPr>
                  <w:tcW w:w="737" w:type="pct"/>
                  <w:vMerge w:val="continue"/>
                  <w:tcBorders>
                    <w:tl2br w:val="nil"/>
                    <w:tr2bl w:val="nil"/>
                  </w:tcBorders>
                  <w:shd w:val="clear" w:color="000000" w:fill="FFFFFF"/>
                  <w:vAlign w:val="center"/>
                </w:tcPr>
                <w:p w14:paraId="69DD8D51">
                  <w:pPr>
                    <w:pStyle w:val="72"/>
                    <w:rPr>
                      <w:b w:val="0"/>
                      <w:color w:val="auto"/>
                    </w:rPr>
                  </w:pPr>
                </w:p>
              </w:tc>
              <w:tc>
                <w:tcPr>
                  <w:tcW w:w="704" w:type="pct"/>
                  <w:vMerge w:val="continue"/>
                  <w:tcBorders>
                    <w:tl2br w:val="nil"/>
                    <w:tr2bl w:val="nil"/>
                  </w:tcBorders>
                  <w:vAlign w:val="center"/>
                </w:tcPr>
                <w:p w14:paraId="523C65A3">
                  <w:pPr>
                    <w:pStyle w:val="72"/>
                    <w:rPr>
                      <w:b w:val="0"/>
                      <w:color w:val="auto"/>
                    </w:rPr>
                  </w:pPr>
                </w:p>
              </w:tc>
            </w:tr>
            <w:tr w14:paraId="4F608D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 w:hRule="atLeast"/>
              </w:trPr>
              <w:tc>
                <w:tcPr>
                  <w:tcW w:w="642" w:type="pct"/>
                  <w:tcBorders>
                    <w:tl2br w:val="nil"/>
                    <w:tr2bl w:val="nil"/>
                  </w:tcBorders>
                  <w:vAlign w:val="center"/>
                </w:tcPr>
                <w:p w14:paraId="057FE858">
                  <w:pPr>
                    <w:pStyle w:val="72"/>
                    <w:rPr>
                      <w:b w:val="0"/>
                      <w:color w:val="auto"/>
                    </w:rPr>
                  </w:pPr>
                  <w:r>
                    <w:rPr>
                      <w:rFonts w:hint="eastAsia"/>
                      <w:b w:val="0"/>
                      <w:color w:val="auto"/>
                    </w:rPr>
                    <w:t>引用项目公司办公区</w:t>
                  </w:r>
                  <w:r>
                    <w:rPr>
                      <w:b w:val="0"/>
                      <w:color w:val="auto"/>
                    </w:rPr>
                    <w:t>（G</w:t>
                  </w:r>
                  <w:r>
                    <w:rPr>
                      <w:rFonts w:hint="eastAsia"/>
                      <w:b w:val="0"/>
                      <w:color w:val="auto"/>
                    </w:rPr>
                    <w:t>2</w:t>
                  </w:r>
                  <w:r>
                    <w:rPr>
                      <w:b w:val="0"/>
                      <w:color w:val="auto"/>
                    </w:rPr>
                    <w:t>）</w:t>
                  </w:r>
                </w:p>
              </w:tc>
              <w:tc>
                <w:tcPr>
                  <w:tcW w:w="675" w:type="pct"/>
                  <w:tcBorders>
                    <w:tl2br w:val="nil"/>
                    <w:tr2bl w:val="nil"/>
                  </w:tcBorders>
                  <w:vAlign w:val="center"/>
                </w:tcPr>
                <w:p w14:paraId="0D60B228">
                  <w:pPr>
                    <w:pStyle w:val="72"/>
                    <w:rPr>
                      <w:b w:val="0"/>
                      <w:color w:val="auto"/>
                    </w:rPr>
                  </w:pPr>
                  <w:r>
                    <w:rPr>
                      <w:b w:val="0"/>
                      <w:color w:val="auto"/>
                    </w:rPr>
                    <w:t>103°11′10.574″</w:t>
                  </w:r>
                </w:p>
              </w:tc>
              <w:tc>
                <w:tcPr>
                  <w:tcW w:w="717" w:type="pct"/>
                  <w:tcBorders>
                    <w:tl2br w:val="nil"/>
                    <w:tr2bl w:val="nil"/>
                  </w:tcBorders>
                  <w:vAlign w:val="center"/>
                </w:tcPr>
                <w:p w14:paraId="03905422">
                  <w:pPr>
                    <w:pStyle w:val="72"/>
                    <w:rPr>
                      <w:b w:val="0"/>
                      <w:color w:val="auto"/>
                    </w:rPr>
                  </w:pPr>
                  <w:r>
                    <w:rPr>
                      <w:b w:val="0"/>
                      <w:color w:val="auto"/>
                    </w:rPr>
                    <w:t>25°33′33.457″</w:t>
                  </w:r>
                </w:p>
              </w:tc>
              <w:tc>
                <w:tcPr>
                  <w:tcW w:w="807" w:type="pct"/>
                  <w:tcBorders>
                    <w:tl2br w:val="nil"/>
                    <w:tr2bl w:val="nil"/>
                  </w:tcBorders>
                  <w:vAlign w:val="center"/>
                </w:tcPr>
                <w:p w14:paraId="72884CC6">
                  <w:pPr>
                    <w:pStyle w:val="72"/>
                    <w:rPr>
                      <w:b w:val="0"/>
                      <w:color w:val="auto"/>
                    </w:rPr>
                  </w:pPr>
                  <w:r>
                    <w:rPr>
                      <w:b w:val="0"/>
                      <w:color w:val="auto"/>
                    </w:rPr>
                    <w:t>TSP</w:t>
                  </w:r>
                </w:p>
              </w:tc>
              <w:tc>
                <w:tcPr>
                  <w:tcW w:w="714" w:type="pct"/>
                  <w:tcBorders>
                    <w:tl2br w:val="nil"/>
                    <w:tr2bl w:val="nil"/>
                  </w:tcBorders>
                  <w:vAlign w:val="center"/>
                </w:tcPr>
                <w:p w14:paraId="3D6C0A81">
                  <w:pPr>
                    <w:pStyle w:val="72"/>
                    <w:rPr>
                      <w:b w:val="0"/>
                      <w:color w:val="auto"/>
                    </w:rPr>
                  </w:pPr>
                  <w:r>
                    <w:rPr>
                      <w:rFonts w:hint="eastAsia"/>
                      <w:b w:val="0"/>
                      <w:color w:val="auto"/>
                    </w:rPr>
                    <w:t>2023.11.30</w:t>
                  </w:r>
                  <w:r>
                    <w:rPr>
                      <w:b w:val="0"/>
                      <w:color w:val="auto"/>
                    </w:rPr>
                    <w:t>~</w:t>
                  </w:r>
                  <w:r>
                    <w:rPr>
                      <w:rFonts w:hint="eastAsia"/>
                      <w:b w:val="0"/>
                      <w:color w:val="auto"/>
                    </w:rPr>
                    <w:t>2023.12.6</w:t>
                  </w:r>
                </w:p>
              </w:tc>
              <w:tc>
                <w:tcPr>
                  <w:tcW w:w="737" w:type="pct"/>
                  <w:tcBorders>
                    <w:tl2br w:val="nil"/>
                    <w:tr2bl w:val="nil"/>
                  </w:tcBorders>
                  <w:vAlign w:val="center"/>
                </w:tcPr>
                <w:p w14:paraId="18BC0849">
                  <w:pPr>
                    <w:pStyle w:val="72"/>
                    <w:rPr>
                      <w:b w:val="0"/>
                      <w:color w:val="auto"/>
                    </w:rPr>
                  </w:pPr>
                  <w:r>
                    <w:rPr>
                      <w:rFonts w:hint="eastAsia"/>
                      <w:b w:val="0"/>
                      <w:color w:val="auto"/>
                    </w:rPr>
                    <w:t>西南侧</w:t>
                  </w:r>
                </w:p>
              </w:tc>
              <w:tc>
                <w:tcPr>
                  <w:tcW w:w="704" w:type="pct"/>
                  <w:tcBorders>
                    <w:tl2br w:val="nil"/>
                    <w:tr2bl w:val="nil"/>
                  </w:tcBorders>
                  <w:vAlign w:val="center"/>
                </w:tcPr>
                <w:p w14:paraId="4D933293">
                  <w:pPr>
                    <w:pStyle w:val="72"/>
                    <w:rPr>
                      <w:b w:val="0"/>
                      <w:color w:val="auto"/>
                    </w:rPr>
                  </w:pPr>
                  <w:r>
                    <w:rPr>
                      <w:rFonts w:hint="eastAsia"/>
                      <w:b w:val="0"/>
                      <w:color w:val="auto"/>
                    </w:rPr>
                    <w:t>700</w:t>
                  </w:r>
                </w:p>
              </w:tc>
            </w:tr>
          </w:tbl>
          <w:p w14:paraId="4C40A840"/>
          <w:tbl>
            <w:tblPr>
              <w:tblStyle w:val="24"/>
              <w:tblW w:w="7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5"/>
            </w:tblGrid>
            <w:tr w14:paraId="2480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20" w:hRule="atLeast"/>
              </w:trPr>
              <w:tc>
                <w:tcPr>
                  <w:tcW w:w="4998" w:type="pct"/>
                  <w:vAlign w:val="center"/>
                </w:tcPr>
                <w:p w14:paraId="64D2B974">
                  <w:pPr>
                    <w:pStyle w:val="72"/>
                    <w:rPr>
                      <w:color w:val="auto"/>
                    </w:rPr>
                  </w:pPr>
                  <w:r>
                    <w:rPr>
                      <w:color w:val="auto"/>
                    </w:rPr>
                    <mc:AlternateContent>
                      <mc:Choice Requires="wps">
                        <w:drawing>
                          <wp:anchor distT="0" distB="0" distL="114300" distR="114300" simplePos="0" relativeHeight="251660288" behindDoc="0" locked="0" layoutInCell="1" allowOverlap="1">
                            <wp:simplePos x="0" y="0"/>
                            <wp:positionH relativeFrom="column">
                              <wp:posOffset>1779270</wp:posOffset>
                            </wp:positionH>
                            <wp:positionV relativeFrom="paragraph">
                              <wp:posOffset>1579245</wp:posOffset>
                            </wp:positionV>
                            <wp:extent cx="910590" cy="338455"/>
                            <wp:effectExtent l="0" t="0" r="0" b="0"/>
                            <wp:wrapNone/>
                            <wp:docPr id="8" name="文本框 8"/>
                            <wp:cNvGraphicFramePr/>
                            <a:graphic xmlns:a="http://schemas.openxmlformats.org/drawingml/2006/main">
                              <a:graphicData uri="http://schemas.microsoft.com/office/word/2010/wordprocessingShape">
                                <wps:wsp>
                                  <wps:cNvSpPr txBox="1"/>
                                  <wps:spPr>
                                    <a:xfrm>
                                      <a:off x="2982595" y="5492115"/>
                                      <a:ext cx="910590"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2A406">
                                        <w:pPr>
                                          <w:rPr>
                                            <w:color w:val="FF0000"/>
                                            <w:sz w:val="28"/>
                                            <w:szCs w:val="28"/>
                                          </w:rPr>
                                        </w:pPr>
                                        <w:r>
                                          <w:rPr>
                                            <w:rFonts w:hint="eastAsia"/>
                                            <w:color w:val="FF0000"/>
                                            <w:sz w:val="28"/>
                                            <w:szCs w:val="28"/>
                                          </w:rPr>
                                          <w:t>700m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pt;margin-top:124.35pt;height:26.65pt;width:71.7pt;z-index:251660288;mso-width-relative:page;mso-height-relative:page;" filled="f" stroked="f" coordsize="21600,21600" o:gfxdata="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05SFLcAAAACwEAAA8AAAAA&#10;AAAAAQAgAAAAIgAAAGRycy9kb3ducmV2LnhtbFBLAQIUABQAAAAIAIdO4kAs0m85SQIAAHEEAAAO&#10;AAAAAAAAAAEAIAAAACsBAABkcnMvZTJvRG9jLnhtbFBLBQYAAAAABgAGAFkBAADmBQAAAAA=&#10;">
                            <v:fill on="f" focussize="0,0"/>
                            <v:stroke on="f" weight="0.5pt"/>
                            <v:imagedata o:title=""/>
                            <o:lock v:ext="edit" aspectratio="f"/>
                            <v:textbox>
                              <w:txbxContent>
                                <w:p w14:paraId="1BF2A406">
                                  <w:pPr>
                                    <w:rPr>
                                      <w:color w:val="FF0000"/>
                                      <w:sz w:val="28"/>
                                      <w:szCs w:val="28"/>
                                    </w:rPr>
                                  </w:pPr>
                                  <w:r>
                                    <w:rPr>
                                      <w:rFonts w:hint="eastAsia"/>
                                      <w:color w:val="FF0000"/>
                                      <w:sz w:val="28"/>
                                      <w:szCs w:val="28"/>
                                    </w:rPr>
                                    <w:t>700m</w:t>
                                  </w:r>
                                </w:p>
                              </w:txbxContent>
                            </v:textbox>
                          </v:shape>
                        </w:pict>
                      </mc:Fallback>
                    </mc:AlternateContent>
                  </w:r>
                  <w:r>
                    <w:rPr>
                      <w:color w:val="auto"/>
                    </w:rPr>
                    <mc:AlternateContent>
                      <mc:Choice Requires="wps">
                        <w:drawing>
                          <wp:anchor distT="0" distB="0" distL="114300" distR="114300" simplePos="0" relativeHeight="251659264" behindDoc="0" locked="0" layoutInCell="1" allowOverlap="1">
                            <wp:simplePos x="0" y="0"/>
                            <wp:positionH relativeFrom="column">
                              <wp:posOffset>191770</wp:posOffset>
                            </wp:positionH>
                            <wp:positionV relativeFrom="paragraph">
                              <wp:posOffset>340360</wp:posOffset>
                            </wp:positionV>
                            <wp:extent cx="2740660" cy="3143250"/>
                            <wp:effectExtent l="9525" t="0" r="12065" b="19050"/>
                            <wp:wrapNone/>
                            <wp:docPr id="7" name="直接箭头连接符 7"/>
                            <wp:cNvGraphicFramePr/>
                            <a:graphic xmlns:a="http://schemas.openxmlformats.org/drawingml/2006/main">
                              <a:graphicData uri="http://schemas.microsoft.com/office/word/2010/wordprocessingShape">
                                <wps:wsp>
                                  <wps:cNvCnPr/>
                                  <wps:spPr>
                                    <a:xfrm flipV="1">
                                      <a:off x="1765935" y="4274820"/>
                                      <a:ext cx="2740660" cy="31432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1pt;margin-top:26.8pt;height:247.5pt;width:215.8pt;z-index:251659264;mso-width-relative:page;mso-height-relative:page;" filled="f" stroked="t" coordsize="21600,21600" o:gfxdata="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sYkMdgAAAAJAQAADwAAAAAA&#10;AAABACAAAAAiAAAAZHJzL2Rvd25yZXYueG1sUEsBAhQAFAAAAAgAh07iQF+XjXATAgAA5AMAAA4A&#10;AAAAAAAAAQAgAAAAJwEAAGRycy9lMm9Eb2MueG1sUEsFBgAAAAAGAAYAWQEAAKwFAAAAAA==&#10;">
                            <v:fill on="f" focussize="0,0"/>
                            <v:stroke weight="2pt" color="#FF0000 [3204]" joinstyle="round" endarrow="open"/>
                            <v:imagedata o:title=""/>
                            <o:lock v:ext="edit" aspectratio="f"/>
                          </v:shape>
                        </w:pict>
                      </mc:Fallback>
                    </mc:AlternateContent>
                  </w:r>
                  <w:r>
                    <w:rPr>
                      <w:rFonts w:hint="eastAsia"/>
                      <w:color w:val="auto"/>
                    </w:rPr>
                    <w:drawing>
                      <wp:inline distT="0" distB="0" distL="114300" distR="114300">
                        <wp:extent cx="4834890" cy="3898265"/>
                        <wp:effectExtent l="0" t="0" r="3810" b="6985"/>
                        <wp:docPr id="6" name="图片 6" descr="0099971d-eaa5-4b1f-8b06-8b0528f01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99971d-eaa5-4b1f-8b06-8b0528f01ee8"/>
                                <pic:cNvPicPr>
                                  <a:picLocks noChangeAspect="1"/>
                                </pic:cNvPicPr>
                              </pic:nvPicPr>
                              <pic:blipFill>
                                <a:blip r:embed="rId20"/>
                                <a:stretch>
                                  <a:fillRect/>
                                </a:stretch>
                              </pic:blipFill>
                              <pic:spPr>
                                <a:xfrm>
                                  <a:off x="0" y="0"/>
                                  <a:ext cx="4834890" cy="3898265"/>
                                </a:xfrm>
                                <a:prstGeom prst="rect">
                                  <a:avLst/>
                                </a:prstGeom>
                              </pic:spPr>
                            </pic:pic>
                          </a:graphicData>
                        </a:graphic>
                      </wp:inline>
                    </w:drawing>
                  </w:r>
                </w:p>
              </w:tc>
            </w:tr>
          </w:tbl>
          <w:p w14:paraId="5F537F98">
            <w:pPr>
              <w:pStyle w:val="56"/>
            </w:pPr>
            <w:r>
              <w:rPr>
                <w:rFonts w:hint="eastAsia"/>
              </w:rPr>
              <w:t>图3-1  引用环境空气监测点位与本项目位置关系</w:t>
            </w:r>
          </w:p>
          <w:p w14:paraId="4B13D539">
            <w:pPr>
              <w:spacing w:line="360" w:lineRule="auto"/>
              <w:ind w:firstLine="480" w:firstLineChars="200"/>
              <w:rPr>
                <w:sz w:val="24"/>
              </w:rPr>
            </w:pPr>
            <w:r>
              <w:rPr>
                <w:rFonts w:hint="eastAsia"/>
                <w:sz w:val="24"/>
              </w:rPr>
              <w:t>大气环境质量现状引用监测结果见下表。</w:t>
            </w:r>
          </w:p>
          <w:p w14:paraId="7DE5875D">
            <w:pPr>
              <w:pStyle w:val="56"/>
            </w:pPr>
            <w:r>
              <w:rPr>
                <w:rFonts w:hint="eastAsia"/>
              </w:rPr>
              <w:t>表3-2 TSP日均值现状监测结果   单位：ug/m</w:t>
            </w:r>
            <w:r>
              <w:rPr>
                <w:rFonts w:hint="eastAsia"/>
                <w:vertAlign w:val="superscript"/>
              </w:rPr>
              <w:t>3</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21"/>
              <w:gridCol w:w="1650"/>
              <w:gridCol w:w="1681"/>
              <w:gridCol w:w="1436"/>
              <w:gridCol w:w="962"/>
              <w:gridCol w:w="1111"/>
            </w:tblGrid>
            <w:tr w14:paraId="127D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2" w:hRule="atLeast"/>
              </w:trPr>
              <w:tc>
                <w:tcPr>
                  <w:tcW w:w="704" w:type="pct"/>
                  <w:tcMar>
                    <w:left w:w="57" w:type="dxa"/>
                    <w:right w:w="57" w:type="dxa"/>
                  </w:tcMar>
                  <w:vAlign w:val="center"/>
                </w:tcPr>
                <w:p w14:paraId="0FF0BC8E">
                  <w:pPr>
                    <w:pStyle w:val="72"/>
                    <w:rPr>
                      <w:b w:val="0"/>
                      <w:color w:val="auto"/>
                    </w:rPr>
                  </w:pPr>
                  <w:r>
                    <w:rPr>
                      <w:b w:val="0"/>
                      <w:color w:val="auto"/>
                    </w:rPr>
                    <w:t>检测点位</w:t>
                  </w:r>
                </w:p>
              </w:tc>
              <w:tc>
                <w:tcPr>
                  <w:tcW w:w="1035" w:type="pct"/>
                  <w:tcMar>
                    <w:left w:w="57" w:type="dxa"/>
                    <w:right w:w="57" w:type="dxa"/>
                  </w:tcMar>
                  <w:vAlign w:val="center"/>
                </w:tcPr>
                <w:p w14:paraId="224195AA">
                  <w:pPr>
                    <w:pStyle w:val="72"/>
                    <w:rPr>
                      <w:b w:val="0"/>
                      <w:color w:val="auto"/>
                    </w:rPr>
                  </w:pPr>
                  <w:r>
                    <w:rPr>
                      <w:b w:val="0"/>
                      <w:color w:val="auto"/>
                    </w:rPr>
                    <w:t>检测日期</w:t>
                  </w:r>
                </w:p>
              </w:tc>
              <w:tc>
                <w:tcPr>
                  <w:tcW w:w="1055" w:type="pct"/>
                  <w:tcMar>
                    <w:left w:w="57" w:type="dxa"/>
                    <w:right w:w="57" w:type="dxa"/>
                  </w:tcMar>
                  <w:vAlign w:val="center"/>
                </w:tcPr>
                <w:p w14:paraId="5A5C8474">
                  <w:pPr>
                    <w:pStyle w:val="72"/>
                    <w:rPr>
                      <w:b w:val="0"/>
                      <w:color w:val="auto"/>
                    </w:rPr>
                  </w:pPr>
                  <w:r>
                    <w:rPr>
                      <w:b w:val="0"/>
                      <w:color w:val="auto"/>
                    </w:rPr>
                    <w:t>采样</w:t>
                  </w:r>
                  <w:r>
                    <w:rPr>
                      <w:rFonts w:hint="eastAsia"/>
                      <w:b w:val="0"/>
                      <w:color w:val="auto"/>
                    </w:rPr>
                    <w:t>时间</w:t>
                  </w:r>
                </w:p>
              </w:tc>
              <w:tc>
                <w:tcPr>
                  <w:tcW w:w="901" w:type="pct"/>
                  <w:tcMar>
                    <w:left w:w="57" w:type="dxa"/>
                    <w:right w:w="57" w:type="dxa"/>
                  </w:tcMar>
                  <w:vAlign w:val="center"/>
                </w:tcPr>
                <w:p w14:paraId="1716D36A">
                  <w:pPr>
                    <w:pStyle w:val="72"/>
                    <w:rPr>
                      <w:b w:val="0"/>
                      <w:color w:val="auto"/>
                    </w:rPr>
                  </w:pPr>
                  <w:r>
                    <w:rPr>
                      <w:b w:val="0"/>
                      <w:color w:val="auto"/>
                    </w:rPr>
                    <w:t>检测结果</w:t>
                  </w:r>
                </w:p>
              </w:tc>
              <w:tc>
                <w:tcPr>
                  <w:tcW w:w="604" w:type="pct"/>
                  <w:tcMar>
                    <w:left w:w="57" w:type="dxa"/>
                    <w:right w:w="57" w:type="dxa"/>
                  </w:tcMar>
                  <w:vAlign w:val="center"/>
                </w:tcPr>
                <w:p w14:paraId="4BA3CB09">
                  <w:pPr>
                    <w:pStyle w:val="72"/>
                    <w:rPr>
                      <w:b w:val="0"/>
                      <w:color w:val="auto"/>
                    </w:rPr>
                  </w:pPr>
                  <w:r>
                    <w:rPr>
                      <w:rFonts w:hint="eastAsia"/>
                      <w:b w:val="0"/>
                      <w:color w:val="auto"/>
                    </w:rPr>
                    <w:t>标准</w:t>
                  </w:r>
                </w:p>
              </w:tc>
              <w:tc>
                <w:tcPr>
                  <w:tcW w:w="698" w:type="pct"/>
                  <w:tcMar>
                    <w:left w:w="57" w:type="dxa"/>
                    <w:right w:w="57" w:type="dxa"/>
                  </w:tcMar>
                  <w:vAlign w:val="center"/>
                </w:tcPr>
                <w:p w14:paraId="7D2AC7B8">
                  <w:pPr>
                    <w:pStyle w:val="72"/>
                    <w:rPr>
                      <w:b w:val="0"/>
                      <w:color w:val="auto"/>
                    </w:rPr>
                  </w:pPr>
                  <w:r>
                    <w:rPr>
                      <w:rFonts w:hint="eastAsia"/>
                      <w:b w:val="0"/>
                      <w:color w:val="auto"/>
                    </w:rPr>
                    <w:t>达标情况</w:t>
                  </w:r>
                </w:p>
              </w:tc>
            </w:tr>
            <w:tr w14:paraId="1887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restart"/>
                  <w:tcMar>
                    <w:left w:w="57" w:type="dxa"/>
                    <w:right w:w="57" w:type="dxa"/>
                  </w:tcMar>
                  <w:vAlign w:val="center"/>
                </w:tcPr>
                <w:p w14:paraId="0452C298">
                  <w:pPr>
                    <w:pStyle w:val="72"/>
                    <w:rPr>
                      <w:b w:val="0"/>
                      <w:color w:val="auto"/>
                    </w:rPr>
                  </w:pPr>
                  <w:r>
                    <w:rPr>
                      <w:rFonts w:hint="eastAsia"/>
                      <w:b w:val="0"/>
                      <w:color w:val="auto"/>
                    </w:rPr>
                    <w:t>G2：公司办公区</w:t>
                  </w:r>
                </w:p>
              </w:tc>
              <w:tc>
                <w:tcPr>
                  <w:tcW w:w="1035" w:type="pct"/>
                  <w:tcMar>
                    <w:left w:w="57" w:type="dxa"/>
                    <w:right w:w="57" w:type="dxa"/>
                  </w:tcMar>
                  <w:vAlign w:val="center"/>
                </w:tcPr>
                <w:p w14:paraId="34FF23B3">
                  <w:pPr>
                    <w:pStyle w:val="72"/>
                    <w:rPr>
                      <w:b w:val="0"/>
                      <w:color w:val="auto"/>
                    </w:rPr>
                  </w:pPr>
                  <w:r>
                    <w:rPr>
                      <w:rFonts w:hint="eastAsia"/>
                      <w:b w:val="0"/>
                      <w:color w:val="auto"/>
                    </w:rPr>
                    <w:t>2023-11-30</w:t>
                  </w:r>
                </w:p>
              </w:tc>
              <w:tc>
                <w:tcPr>
                  <w:tcW w:w="1055" w:type="pct"/>
                  <w:tcMar>
                    <w:left w:w="57" w:type="dxa"/>
                    <w:right w:w="57" w:type="dxa"/>
                  </w:tcMar>
                  <w:vAlign w:val="center"/>
                </w:tcPr>
                <w:p w14:paraId="39369F85">
                  <w:pPr>
                    <w:pStyle w:val="72"/>
                    <w:rPr>
                      <w:b w:val="0"/>
                      <w:color w:val="auto"/>
                    </w:rPr>
                  </w:pPr>
                  <w:r>
                    <w:rPr>
                      <w:rFonts w:hint="eastAsia"/>
                      <w:b w:val="0"/>
                      <w:color w:val="auto"/>
                    </w:rPr>
                    <w:t>00:00~24:00</w:t>
                  </w:r>
                </w:p>
              </w:tc>
              <w:tc>
                <w:tcPr>
                  <w:tcW w:w="901" w:type="pct"/>
                  <w:tcMar>
                    <w:left w:w="57" w:type="dxa"/>
                    <w:right w:w="57" w:type="dxa"/>
                  </w:tcMar>
                  <w:vAlign w:val="center"/>
                </w:tcPr>
                <w:p w14:paraId="23A7BF9B">
                  <w:pPr>
                    <w:pStyle w:val="72"/>
                    <w:rPr>
                      <w:b w:val="0"/>
                      <w:color w:val="auto"/>
                    </w:rPr>
                  </w:pPr>
                  <w:r>
                    <w:rPr>
                      <w:rFonts w:hint="eastAsia"/>
                      <w:b w:val="0"/>
                      <w:color w:val="auto"/>
                    </w:rPr>
                    <w:t>221</w:t>
                  </w:r>
                </w:p>
              </w:tc>
              <w:tc>
                <w:tcPr>
                  <w:tcW w:w="604" w:type="pct"/>
                  <w:tcMar>
                    <w:left w:w="57" w:type="dxa"/>
                    <w:right w:w="57" w:type="dxa"/>
                  </w:tcMar>
                  <w:vAlign w:val="center"/>
                </w:tcPr>
                <w:p w14:paraId="6392AF7B">
                  <w:pPr>
                    <w:pStyle w:val="72"/>
                    <w:rPr>
                      <w:b w:val="0"/>
                      <w:color w:val="auto"/>
                    </w:rPr>
                  </w:pPr>
                  <w:r>
                    <w:rPr>
                      <w:rFonts w:hint="eastAsia"/>
                      <w:b w:val="0"/>
                      <w:color w:val="auto"/>
                    </w:rPr>
                    <w:t>300</w:t>
                  </w:r>
                </w:p>
              </w:tc>
              <w:tc>
                <w:tcPr>
                  <w:tcW w:w="698" w:type="pct"/>
                  <w:tcMar>
                    <w:left w:w="57" w:type="dxa"/>
                    <w:right w:w="57" w:type="dxa"/>
                  </w:tcMar>
                  <w:vAlign w:val="center"/>
                </w:tcPr>
                <w:p w14:paraId="14386E18">
                  <w:pPr>
                    <w:pStyle w:val="72"/>
                    <w:rPr>
                      <w:b w:val="0"/>
                      <w:color w:val="auto"/>
                    </w:rPr>
                  </w:pPr>
                  <w:r>
                    <w:rPr>
                      <w:rFonts w:hint="eastAsia"/>
                      <w:b w:val="0"/>
                      <w:color w:val="auto"/>
                    </w:rPr>
                    <w:t>达标</w:t>
                  </w:r>
                </w:p>
              </w:tc>
            </w:tr>
            <w:tr w14:paraId="6B63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55EB3868">
                  <w:pPr>
                    <w:pStyle w:val="72"/>
                    <w:rPr>
                      <w:b w:val="0"/>
                      <w:color w:val="auto"/>
                    </w:rPr>
                  </w:pPr>
                </w:p>
              </w:tc>
              <w:tc>
                <w:tcPr>
                  <w:tcW w:w="1035" w:type="pct"/>
                  <w:tcMar>
                    <w:left w:w="57" w:type="dxa"/>
                    <w:right w:w="57" w:type="dxa"/>
                  </w:tcMar>
                  <w:vAlign w:val="center"/>
                </w:tcPr>
                <w:p w14:paraId="6567C134">
                  <w:pPr>
                    <w:pStyle w:val="72"/>
                    <w:rPr>
                      <w:b w:val="0"/>
                      <w:color w:val="auto"/>
                    </w:rPr>
                  </w:pPr>
                  <w:r>
                    <w:rPr>
                      <w:rFonts w:hint="eastAsia"/>
                      <w:b w:val="0"/>
                      <w:color w:val="auto"/>
                    </w:rPr>
                    <w:t>2023-12-01</w:t>
                  </w:r>
                </w:p>
              </w:tc>
              <w:tc>
                <w:tcPr>
                  <w:tcW w:w="1055" w:type="pct"/>
                  <w:tcMar>
                    <w:left w:w="57" w:type="dxa"/>
                    <w:right w:w="57" w:type="dxa"/>
                  </w:tcMar>
                  <w:vAlign w:val="center"/>
                </w:tcPr>
                <w:p w14:paraId="2D9029FC">
                  <w:pPr>
                    <w:pStyle w:val="72"/>
                    <w:rPr>
                      <w:b w:val="0"/>
                      <w:color w:val="auto"/>
                    </w:rPr>
                  </w:pPr>
                  <w:r>
                    <w:rPr>
                      <w:rFonts w:hint="eastAsia"/>
                      <w:b w:val="0"/>
                      <w:color w:val="auto"/>
                    </w:rPr>
                    <w:t>00:00~24:00</w:t>
                  </w:r>
                </w:p>
              </w:tc>
              <w:tc>
                <w:tcPr>
                  <w:tcW w:w="901" w:type="pct"/>
                  <w:tcMar>
                    <w:left w:w="57" w:type="dxa"/>
                    <w:right w:w="57" w:type="dxa"/>
                  </w:tcMar>
                  <w:vAlign w:val="center"/>
                </w:tcPr>
                <w:p w14:paraId="1BE757A7">
                  <w:pPr>
                    <w:pStyle w:val="72"/>
                    <w:rPr>
                      <w:b w:val="0"/>
                      <w:color w:val="auto"/>
                    </w:rPr>
                  </w:pPr>
                  <w:r>
                    <w:rPr>
                      <w:rFonts w:hint="eastAsia"/>
                      <w:b w:val="0"/>
                      <w:color w:val="auto"/>
                    </w:rPr>
                    <w:t>225</w:t>
                  </w:r>
                </w:p>
              </w:tc>
              <w:tc>
                <w:tcPr>
                  <w:tcW w:w="604" w:type="pct"/>
                  <w:tcMar>
                    <w:left w:w="57" w:type="dxa"/>
                    <w:right w:w="57" w:type="dxa"/>
                  </w:tcMar>
                  <w:vAlign w:val="center"/>
                </w:tcPr>
                <w:p w14:paraId="1E0A268F">
                  <w:pPr>
                    <w:pStyle w:val="72"/>
                    <w:rPr>
                      <w:b w:val="0"/>
                      <w:color w:val="auto"/>
                    </w:rPr>
                  </w:pPr>
                  <w:r>
                    <w:rPr>
                      <w:rFonts w:hint="eastAsia"/>
                      <w:b w:val="0"/>
                      <w:color w:val="auto"/>
                    </w:rPr>
                    <w:t>300</w:t>
                  </w:r>
                </w:p>
              </w:tc>
              <w:tc>
                <w:tcPr>
                  <w:tcW w:w="698" w:type="pct"/>
                  <w:tcMar>
                    <w:left w:w="57" w:type="dxa"/>
                    <w:right w:w="57" w:type="dxa"/>
                  </w:tcMar>
                  <w:vAlign w:val="center"/>
                </w:tcPr>
                <w:p w14:paraId="49B06156">
                  <w:pPr>
                    <w:pStyle w:val="72"/>
                    <w:rPr>
                      <w:b w:val="0"/>
                      <w:color w:val="auto"/>
                    </w:rPr>
                  </w:pPr>
                  <w:r>
                    <w:rPr>
                      <w:rFonts w:hint="eastAsia"/>
                      <w:b w:val="0"/>
                      <w:color w:val="auto"/>
                    </w:rPr>
                    <w:t>达标</w:t>
                  </w:r>
                </w:p>
              </w:tc>
            </w:tr>
            <w:tr w14:paraId="179A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5CA9E9D6">
                  <w:pPr>
                    <w:pStyle w:val="72"/>
                    <w:rPr>
                      <w:b w:val="0"/>
                      <w:color w:val="auto"/>
                    </w:rPr>
                  </w:pPr>
                </w:p>
              </w:tc>
              <w:tc>
                <w:tcPr>
                  <w:tcW w:w="1035" w:type="pct"/>
                  <w:tcMar>
                    <w:left w:w="57" w:type="dxa"/>
                    <w:right w:w="57" w:type="dxa"/>
                  </w:tcMar>
                  <w:vAlign w:val="center"/>
                </w:tcPr>
                <w:p w14:paraId="22980B27">
                  <w:pPr>
                    <w:pStyle w:val="72"/>
                    <w:rPr>
                      <w:b w:val="0"/>
                      <w:color w:val="auto"/>
                    </w:rPr>
                  </w:pPr>
                  <w:r>
                    <w:rPr>
                      <w:rFonts w:hint="eastAsia"/>
                      <w:b w:val="0"/>
                      <w:color w:val="auto"/>
                    </w:rPr>
                    <w:t>2023-12-02</w:t>
                  </w:r>
                </w:p>
              </w:tc>
              <w:tc>
                <w:tcPr>
                  <w:tcW w:w="1055" w:type="pct"/>
                  <w:tcMar>
                    <w:left w:w="57" w:type="dxa"/>
                    <w:right w:w="57" w:type="dxa"/>
                  </w:tcMar>
                  <w:vAlign w:val="center"/>
                </w:tcPr>
                <w:p w14:paraId="14AC8350">
                  <w:pPr>
                    <w:pStyle w:val="72"/>
                    <w:rPr>
                      <w:b w:val="0"/>
                      <w:color w:val="auto"/>
                    </w:rPr>
                  </w:pPr>
                  <w:r>
                    <w:rPr>
                      <w:rFonts w:hint="eastAsia"/>
                      <w:b w:val="0"/>
                      <w:color w:val="auto"/>
                    </w:rPr>
                    <w:t>00:00~24:00</w:t>
                  </w:r>
                </w:p>
              </w:tc>
              <w:tc>
                <w:tcPr>
                  <w:tcW w:w="901" w:type="pct"/>
                  <w:tcMar>
                    <w:left w:w="57" w:type="dxa"/>
                    <w:right w:w="57" w:type="dxa"/>
                  </w:tcMar>
                  <w:vAlign w:val="center"/>
                </w:tcPr>
                <w:p w14:paraId="319F1DBD">
                  <w:pPr>
                    <w:pStyle w:val="72"/>
                    <w:rPr>
                      <w:b w:val="0"/>
                      <w:color w:val="auto"/>
                    </w:rPr>
                  </w:pPr>
                  <w:r>
                    <w:rPr>
                      <w:rFonts w:hint="eastAsia"/>
                      <w:b w:val="0"/>
                      <w:color w:val="auto"/>
                    </w:rPr>
                    <w:t>237</w:t>
                  </w:r>
                </w:p>
              </w:tc>
              <w:tc>
                <w:tcPr>
                  <w:tcW w:w="604" w:type="pct"/>
                  <w:tcMar>
                    <w:left w:w="57" w:type="dxa"/>
                    <w:right w:w="57" w:type="dxa"/>
                  </w:tcMar>
                  <w:vAlign w:val="center"/>
                </w:tcPr>
                <w:p w14:paraId="66B97369">
                  <w:pPr>
                    <w:pStyle w:val="72"/>
                    <w:rPr>
                      <w:b w:val="0"/>
                      <w:color w:val="auto"/>
                    </w:rPr>
                  </w:pPr>
                  <w:r>
                    <w:rPr>
                      <w:rFonts w:hint="eastAsia"/>
                      <w:b w:val="0"/>
                      <w:color w:val="auto"/>
                    </w:rPr>
                    <w:t>300</w:t>
                  </w:r>
                </w:p>
              </w:tc>
              <w:tc>
                <w:tcPr>
                  <w:tcW w:w="698" w:type="pct"/>
                  <w:tcMar>
                    <w:left w:w="57" w:type="dxa"/>
                    <w:right w:w="57" w:type="dxa"/>
                  </w:tcMar>
                  <w:vAlign w:val="center"/>
                </w:tcPr>
                <w:p w14:paraId="09EE3278">
                  <w:pPr>
                    <w:pStyle w:val="72"/>
                    <w:rPr>
                      <w:b w:val="0"/>
                      <w:color w:val="auto"/>
                    </w:rPr>
                  </w:pPr>
                  <w:r>
                    <w:rPr>
                      <w:rFonts w:hint="eastAsia"/>
                      <w:b w:val="0"/>
                      <w:color w:val="auto"/>
                    </w:rPr>
                    <w:t>达标</w:t>
                  </w:r>
                </w:p>
              </w:tc>
            </w:tr>
            <w:tr w14:paraId="451F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573A1267">
                  <w:pPr>
                    <w:pStyle w:val="72"/>
                    <w:rPr>
                      <w:b w:val="0"/>
                      <w:color w:val="auto"/>
                    </w:rPr>
                  </w:pPr>
                </w:p>
              </w:tc>
              <w:tc>
                <w:tcPr>
                  <w:tcW w:w="1035" w:type="pct"/>
                  <w:tcMar>
                    <w:left w:w="57" w:type="dxa"/>
                    <w:right w:w="57" w:type="dxa"/>
                  </w:tcMar>
                  <w:vAlign w:val="center"/>
                </w:tcPr>
                <w:p w14:paraId="2D37AAC6">
                  <w:pPr>
                    <w:pStyle w:val="72"/>
                    <w:rPr>
                      <w:b w:val="0"/>
                      <w:color w:val="auto"/>
                    </w:rPr>
                  </w:pPr>
                  <w:r>
                    <w:rPr>
                      <w:rFonts w:hint="eastAsia"/>
                      <w:b w:val="0"/>
                      <w:color w:val="auto"/>
                    </w:rPr>
                    <w:t>2023-12-03</w:t>
                  </w:r>
                </w:p>
              </w:tc>
              <w:tc>
                <w:tcPr>
                  <w:tcW w:w="1055" w:type="pct"/>
                  <w:tcMar>
                    <w:left w:w="57" w:type="dxa"/>
                    <w:right w:w="57" w:type="dxa"/>
                  </w:tcMar>
                  <w:vAlign w:val="center"/>
                </w:tcPr>
                <w:p w14:paraId="37E744EA">
                  <w:pPr>
                    <w:pStyle w:val="72"/>
                    <w:rPr>
                      <w:b w:val="0"/>
                      <w:color w:val="auto"/>
                    </w:rPr>
                  </w:pPr>
                  <w:r>
                    <w:rPr>
                      <w:rFonts w:hint="eastAsia"/>
                      <w:b w:val="0"/>
                      <w:color w:val="auto"/>
                    </w:rPr>
                    <w:t>00:00~24:00</w:t>
                  </w:r>
                </w:p>
              </w:tc>
              <w:tc>
                <w:tcPr>
                  <w:tcW w:w="901" w:type="pct"/>
                  <w:tcMar>
                    <w:left w:w="57" w:type="dxa"/>
                    <w:right w:w="57" w:type="dxa"/>
                  </w:tcMar>
                  <w:vAlign w:val="center"/>
                </w:tcPr>
                <w:p w14:paraId="379A6654">
                  <w:pPr>
                    <w:pStyle w:val="72"/>
                    <w:rPr>
                      <w:b w:val="0"/>
                      <w:color w:val="auto"/>
                    </w:rPr>
                  </w:pPr>
                  <w:r>
                    <w:rPr>
                      <w:rFonts w:hint="eastAsia"/>
                      <w:b w:val="0"/>
                      <w:color w:val="auto"/>
                    </w:rPr>
                    <w:t>213</w:t>
                  </w:r>
                </w:p>
              </w:tc>
              <w:tc>
                <w:tcPr>
                  <w:tcW w:w="604" w:type="pct"/>
                  <w:tcMar>
                    <w:left w:w="57" w:type="dxa"/>
                    <w:right w:w="57" w:type="dxa"/>
                  </w:tcMar>
                  <w:vAlign w:val="center"/>
                </w:tcPr>
                <w:p w14:paraId="046E61B7">
                  <w:pPr>
                    <w:pStyle w:val="72"/>
                    <w:rPr>
                      <w:b w:val="0"/>
                      <w:color w:val="auto"/>
                    </w:rPr>
                  </w:pPr>
                  <w:r>
                    <w:rPr>
                      <w:rFonts w:hint="eastAsia"/>
                      <w:b w:val="0"/>
                      <w:color w:val="auto"/>
                    </w:rPr>
                    <w:t>300</w:t>
                  </w:r>
                </w:p>
              </w:tc>
              <w:tc>
                <w:tcPr>
                  <w:tcW w:w="698" w:type="pct"/>
                  <w:tcMar>
                    <w:left w:w="57" w:type="dxa"/>
                    <w:right w:w="57" w:type="dxa"/>
                  </w:tcMar>
                  <w:vAlign w:val="center"/>
                </w:tcPr>
                <w:p w14:paraId="363AFBD9">
                  <w:pPr>
                    <w:pStyle w:val="72"/>
                    <w:rPr>
                      <w:b w:val="0"/>
                      <w:color w:val="auto"/>
                    </w:rPr>
                  </w:pPr>
                  <w:r>
                    <w:rPr>
                      <w:rFonts w:hint="eastAsia"/>
                      <w:b w:val="0"/>
                      <w:color w:val="auto"/>
                    </w:rPr>
                    <w:t>达标</w:t>
                  </w:r>
                </w:p>
              </w:tc>
            </w:tr>
            <w:tr w14:paraId="50F7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19F54F25">
                  <w:pPr>
                    <w:pStyle w:val="72"/>
                    <w:rPr>
                      <w:b w:val="0"/>
                      <w:color w:val="auto"/>
                    </w:rPr>
                  </w:pPr>
                </w:p>
              </w:tc>
              <w:tc>
                <w:tcPr>
                  <w:tcW w:w="1035" w:type="pct"/>
                  <w:tcMar>
                    <w:left w:w="57" w:type="dxa"/>
                    <w:right w:w="57" w:type="dxa"/>
                  </w:tcMar>
                  <w:vAlign w:val="center"/>
                </w:tcPr>
                <w:p w14:paraId="13B3270B">
                  <w:pPr>
                    <w:pStyle w:val="72"/>
                    <w:rPr>
                      <w:b w:val="0"/>
                      <w:color w:val="auto"/>
                    </w:rPr>
                  </w:pPr>
                  <w:r>
                    <w:rPr>
                      <w:rFonts w:hint="eastAsia"/>
                      <w:b w:val="0"/>
                      <w:color w:val="auto"/>
                    </w:rPr>
                    <w:t>2023-12-04</w:t>
                  </w:r>
                </w:p>
              </w:tc>
              <w:tc>
                <w:tcPr>
                  <w:tcW w:w="1055" w:type="pct"/>
                  <w:tcMar>
                    <w:left w:w="57" w:type="dxa"/>
                    <w:right w:w="57" w:type="dxa"/>
                  </w:tcMar>
                  <w:vAlign w:val="center"/>
                </w:tcPr>
                <w:p w14:paraId="21B743EC">
                  <w:pPr>
                    <w:pStyle w:val="72"/>
                    <w:rPr>
                      <w:b w:val="0"/>
                      <w:color w:val="auto"/>
                    </w:rPr>
                  </w:pPr>
                  <w:r>
                    <w:rPr>
                      <w:rFonts w:hint="eastAsia"/>
                      <w:b w:val="0"/>
                      <w:color w:val="auto"/>
                    </w:rPr>
                    <w:t>00:00~24:00</w:t>
                  </w:r>
                </w:p>
              </w:tc>
              <w:tc>
                <w:tcPr>
                  <w:tcW w:w="901" w:type="pct"/>
                  <w:tcMar>
                    <w:left w:w="57" w:type="dxa"/>
                    <w:right w:w="57" w:type="dxa"/>
                  </w:tcMar>
                  <w:vAlign w:val="center"/>
                </w:tcPr>
                <w:p w14:paraId="4E123FE3">
                  <w:pPr>
                    <w:pStyle w:val="72"/>
                    <w:rPr>
                      <w:b w:val="0"/>
                      <w:color w:val="auto"/>
                    </w:rPr>
                  </w:pPr>
                  <w:r>
                    <w:rPr>
                      <w:rFonts w:hint="eastAsia"/>
                      <w:b w:val="0"/>
                      <w:color w:val="auto"/>
                    </w:rPr>
                    <w:t>219</w:t>
                  </w:r>
                </w:p>
              </w:tc>
              <w:tc>
                <w:tcPr>
                  <w:tcW w:w="604" w:type="pct"/>
                  <w:tcMar>
                    <w:left w:w="57" w:type="dxa"/>
                    <w:right w:w="57" w:type="dxa"/>
                  </w:tcMar>
                  <w:vAlign w:val="center"/>
                </w:tcPr>
                <w:p w14:paraId="4089BFA8">
                  <w:pPr>
                    <w:pStyle w:val="72"/>
                    <w:rPr>
                      <w:b w:val="0"/>
                      <w:color w:val="auto"/>
                    </w:rPr>
                  </w:pPr>
                  <w:r>
                    <w:rPr>
                      <w:rFonts w:hint="eastAsia"/>
                      <w:b w:val="0"/>
                      <w:color w:val="auto"/>
                    </w:rPr>
                    <w:t>300</w:t>
                  </w:r>
                </w:p>
              </w:tc>
              <w:tc>
                <w:tcPr>
                  <w:tcW w:w="698" w:type="pct"/>
                  <w:tcMar>
                    <w:left w:w="57" w:type="dxa"/>
                    <w:right w:w="57" w:type="dxa"/>
                  </w:tcMar>
                  <w:vAlign w:val="center"/>
                </w:tcPr>
                <w:p w14:paraId="1D2582D0">
                  <w:pPr>
                    <w:pStyle w:val="72"/>
                    <w:rPr>
                      <w:b w:val="0"/>
                      <w:color w:val="auto"/>
                    </w:rPr>
                  </w:pPr>
                  <w:r>
                    <w:rPr>
                      <w:rFonts w:hint="eastAsia"/>
                      <w:b w:val="0"/>
                      <w:color w:val="auto"/>
                    </w:rPr>
                    <w:t>达标</w:t>
                  </w:r>
                </w:p>
              </w:tc>
            </w:tr>
            <w:tr w14:paraId="4F7B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05A1033A">
                  <w:pPr>
                    <w:pStyle w:val="72"/>
                    <w:rPr>
                      <w:b w:val="0"/>
                      <w:color w:val="auto"/>
                    </w:rPr>
                  </w:pPr>
                </w:p>
              </w:tc>
              <w:tc>
                <w:tcPr>
                  <w:tcW w:w="1035" w:type="pct"/>
                  <w:tcMar>
                    <w:left w:w="57" w:type="dxa"/>
                    <w:right w:w="57" w:type="dxa"/>
                  </w:tcMar>
                  <w:vAlign w:val="center"/>
                </w:tcPr>
                <w:p w14:paraId="14E617CE">
                  <w:pPr>
                    <w:pStyle w:val="72"/>
                    <w:rPr>
                      <w:b w:val="0"/>
                      <w:color w:val="auto"/>
                    </w:rPr>
                  </w:pPr>
                  <w:r>
                    <w:rPr>
                      <w:rFonts w:hint="eastAsia"/>
                      <w:b w:val="0"/>
                      <w:color w:val="auto"/>
                    </w:rPr>
                    <w:t>2023-12-05</w:t>
                  </w:r>
                </w:p>
              </w:tc>
              <w:tc>
                <w:tcPr>
                  <w:tcW w:w="1055" w:type="pct"/>
                  <w:tcMar>
                    <w:left w:w="57" w:type="dxa"/>
                    <w:right w:w="57" w:type="dxa"/>
                  </w:tcMar>
                  <w:vAlign w:val="center"/>
                </w:tcPr>
                <w:p w14:paraId="2938A9A7">
                  <w:pPr>
                    <w:pStyle w:val="72"/>
                    <w:rPr>
                      <w:b w:val="0"/>
                      <w:color w:val="auto"/>
                    </w:rPr>
                  </w:pPr>
                  <w:r>
                    <w:rPr>
                      <w:rFonts w:hint="eastAsia"/>
                      <w:b w:val="0"/>
                      <w:color w:val="auto"/>
                    </w:rPr>
                    <w:t>00:00~24:00</w:t>
                  </w:r>
                </w:p>
              </w:tc>
              <w:tc>
                <w:tcPr>
                  <w:tcW w:w="901" w:type="pct"/>
                  <w:tcMar>
                    <w:left w:w="57" w:type="dxa"/>
                    <w:right w:w="57" w:type="dxa"/>
                  </w:tcMar>
                  <w:vAlign w:val="center"/>
                </w:tcPr>
                <w:p w14:paraId="5171647E">
                  <w:pPr>
                    <w:pStyle w:val="72"/>
                    <w:rPr>
                      <w:b w:val="0"/>
                      <w:color w:val="auto"/>
                    </w:rPr>
                  </w:pPr>
                  <w:r>
                    <w:rPr>
                      <w:rFonts w:hint="eastAsia"/>
                      <w:b w:val="0"/>
                      <w:color w:val="auto"/>
                    </w:rPr>
                    <w:t>204</w:t>
                  </w:r>
                </w:p>
              </w:tc>
              <w:tc>
                <w:tcPr>
                  <w:tcW w:w="604" w:type="pct"/>
                  <w:tcMar>
                    <w:left w:w="57" w:type="dxa"/>
                    <w:right w:w="57" w:type="dxa"/>
                  </w:tcMar>
                  <w:vAlign w:val="center"/>
                </w:tcPr>
                <w:p w14:paraId="48212F45">
                  <w:pPr>
                    <w:pStyle w:val="72"/>
                    <w:rPr>
                      <w:b w:val="0"/>
                      <w:color w:val="auto"/>
                    </w:rPr>
                  </w:pPr>
                  <w:r>
                    <w:rPr>
                      <w:rFonts w:hint="eastAsia"/>
                      <w:b w:val="0"/>
                      <w:color w:val="auto"/>
                    </w:rPr>
                    <w:t>300</w:t>
                  </w:r>
                </w:p>
              </w:tc>
              <w:tc>
                <w:tcPr>
                  <w:tcW w:w="698" w:type="pct"/>
                  <w:tcMar>
                    <w:left w:w="57" w:type="dxa"/>
                    <w:right w:w="57" w:type="dxa"/>
                  </w:tcMar>
                  <w:vAlign w:val="center"/>
                </w:tcPr>
                <w:p w14:paraId="7A1982DA">
                  <w:pPr>
                    <w:pStyle w:val="72"/>
                    <w:rPr>
                      <w:b w:val="0"/>
                      <w:color w:val="auto"/>
                    </w:rPr>
                  </w:pPr>
                  <w:r>
                    <w:rPr>
                      <w:rFonts w:hint="eastAsia"/>
                      <w:b w:val="0"/>
                      <w:color w:val="auto"/>
                    </w:rPr>
                    <w:t>达标</w:t>
                  </w:r>
                </w:p>
              </w:tc>
            </w:tr>
            <w:tr w14:paraId="5C11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2C34C1B4">
                  <w:pPr>
                    <w:pStyle w:val="72"/>
                    <w:rPr>
                      <w:b w:val="0"/>
                      <w:color w:val="auto"/>
                    </w:rPr>
                  </w:pPr>
                </w:p>
              </w:tc>
              <w:tc>
                <w:tcPr>
                  <w:tcW w:w="1035" w:type="pct"/>
                  <w:tcMar>
                    <w:left w:w="57" w:type="dxa"/>
                    <w:right w:w="57" w:type="dxa"/>
                  </w:tcMar>
                  <w:vAlign w:val="center"/>
                </w:tcPr>
                <w:p w14:paraId="346B0218">
                  <w:pPr>
                    <w:pStyle w:val="72"/>
                    <w:rPr>
                      <w:b w:val="0"/>
                      <w:color w:val="auto"/>
                    </w:rPr>
                  </w:pPr>
                  <w:r>
                    <w:rPr>
                      <w:rFonts w:hint="eastAsia"/>
                      <w:b w:val="0"/>
                      <w:color w:val="auto"/>
                    </w:rPr>
                    <w:t>2023-12-06</w:t>
                  </w:r>
                </w:p>
              </w:tc>
              <w:tc>
                <w:tcPr>
                  <w:tcW w:w="1055" w:type="pct"/>
                  <w:tcMar>
                    <w:left w:w="57" w:type="dxa"/>
                    <w:right w:w="57" w:type="dxa"/>
                  </w:tcMar>
                  <w:vAlign w:val="center"/>
                </w:tcPr>
                <w:p w14:paraId="7064D644">
                  <w:pPr>
                    <w:pStyle w:val="72"/>
                    <w:rPr>
                      <w:b w:val="0"/>
                      <w:color w:val="auto"/>
                    </w:rPr>
                  </w:pPr>
                  <w:r>
                    <w:rPr>
                      <w:rFonts w:hint="eastAsia"/>
                      <w:b w:val="0"/>
                      <w:color w:val="auto"/>
                    </w:rPr>
                    <w:t>00:00~24:00</w:t>
                  </w:r>
                </w:p>
              </w:tc>
              <w:tc>
                <w:tcPr>
                  <w:tcW w:w="901" w:type="pct"/>
                  <w:tcMar>
                    <w:left w:w="57" w:type="dxa"/>
                    <w:right w:w="57" w:type="dxa"/>
                  </w:tcMar>
                  <w:vAlign w:val="center"/>
                </w:tcPr>
                <w:p w14:paraId="1A72D6B3">
                  <w:pPr>
                    <w:pStyle w:val="72"/>
                    <w:rPr>
                      <w:b w:val="0"/>
                      <w:color w:val="auto"/>
                    </w:rPr>
                  </w:pPr>
                  <w:r>
                    <w:rPr>
                      <w:rFonts w:hint="eastAsia"/>
                      <w:b w:val="0"/>
                      <w:color w:val="auto"/>
                    </w:rPr>
                    <w:t>241</w:t>
                  </w:r>
                </w:p>
              </w:tc>
              <w:tc>
                <w:tcPr>
                  <w:tcW w:w="604" w:type="pct"/>
                  <w:tcMar>
                    <w:left w:w="57" w:type="dxa"/>
                    <w:right w:w="57" w:type="dxa"/>
                  </w:tcMar>
                  <w:vAlign w:val="center"/>
                </w:tcPr>
                <w:p w14:paraId="54451536">
                  <w:pPr>
                    <w:pStyle w:val="72"/>
                    <w:rPr>
                      <w:b w:val="0"/>
                      <w:color w:val="auto"/>
                    </w:rPr>
                  </w:pPr>
                  <w:r>
                    <w:rPr>
                      <w:rFonts w:hint="eastAsia"/>
                      <w:b w:val="0"/>
                      <w:color w:val="auto"/>
                    </w:rPr>
                    <w:t>300</w:t>
                  </w:r>
                </w:p>
              </w:tc>
              <w:tc>
                <w:tcPr>
                  <w:tcW w:w="698" w:type="pct"/>
                  <w:tcMar>
                    <w:left w:w="57" w:type="dxa"/>
                    <w:right w:w="57" w:type="dxa"/>
                  </w:tcMar>
                  <w:vAlign w:val="center"/>
                </w:tcPr>
                <w:p w14:paraId="049C1C4A">
                  <w:pPr>
                    <w:pStyle w:val="72"/>
                    <w:rPr>
                      <w:b w:val="0"/>
                      <w:color w:val="auto"/>
                    </w:rPr>
                  </w:pPr>
                  <w:r>
                    <w:rPr>
                      <w:rFonts w:hint="eastAsia"/>
                      <w:b w:val="0"/>
                      <w:color w:val="auto"/>
                    </w:rPr>
                    <w:t>达标</w:t>
                  </w:r>
                </w:p>
              </w:tc>
            </w:tr>
          </w:tbl>
          <w:p w14:paraId="623CE488">
            <w:pPr>
              <w:spacing w:line="360" w:lineRule="auto"/>
              <w:ind w:firstLine="480" w:firstLineChars="200"/>
              <w:rPr>
                <w:sz w:val="24"/>
              </w:rPr>
            </w:pPr>
            <w:r>
              <w:rPr>
                <w:rFonts w:hint="eastAsia"/>
                <w:sz w:val="24"/>
              </w:rPr>
              <w:t>根据引用监测结果可知，引用监测点TSP日均值浓度能够达到《环境空气质量标准》（GB3095-2026）二级评价标准要求。项目区环境空气质量满足功能区要求。</w:t>
            </w:r>
          </w:p>
          <w:p w14:paraId="4C218324">
            <w:pPr>
              <w:spacing w:line="360" w:lineRule="auto"/>
              <w:ind w:firstLine="482" w:firstLineChars="200"/>
              <w:rPr>
                <w:b/>
                <w:bCs/>
                <w:sz w:val="24"/>
              </w:rPr>
            </w:pPr>
            <w:r>
              <w:rPr>
                <w:rFonts w:hint="eastAsia"/>
                <w:b/>
                <w:bCs/>
                <w:sz w:val="24"/>
              </w:rPr>
              <w:t>2、地表水环境质量现状</w:t>
            </w:r>
          </w:p>
          <w:p w14:paraId="3909E9E9">
            <w:pPr>
              <w:spacing w:line="360" w:lineRule="auto"/>
              <w:ind w:firstLine="480" w:firstLineChars="200"/>
              <w:rPr>
                <w:sz w:val="24"/>
              </w:rPr>
            </w:pPr>
            <w:r>
              <w:rPr>
                <w:rFonts w:hint="eastAsia"/>
                <w:sz w:val="24"/>
              </w:rPr>
              <w:t>项目距离最近的地表水体为北侧1200m处的谓所河，该河经暗河进入三月三水库再流入前进河最终汇入牛栏江，根据支流水质不低于干流水质的原则，谓所河、三月三水库执行《地表水环境质量标准》（GB 3838-2002）Ⅲ类水质标准。</w:t>
            </w:r>
          </w:p>
          <w:p w14:paraId="53853457">
            <w:pPr>
              <w:pStyle w:val="19"/>
              <w:adjustRightInd w:val="0"/>
              <w:snapToGrid w:val="0"/>
              <w:spacing w:before="0" w:beforeAutospacing="0" w:after="0" w:afterAutospacing="0" w:line="360" w:lineRule="auto"/>
              <w:ind w:firstLine="482"/>
              <w:textAlignment w:val="center"/>
              <w:rPr>
                <w:rFonts w:ascii="Times New Roman" w:hAnsi="Times New Roman"/>
              </w:rPr>
            </w:pPr>
            <w:r>
              <w:rPr>
                <w:rFonts w:hint="eastAsia"/>
              </w:rPr>
              <w:t>根据《寻甸产业园区金所片区工业废水依托城镇污水处理厂处理可行性评估报告》（2025年6月），三月三水库寻甸县设有常规市控监测断面，收集到</w:t>
            </w:r>
            <w:r>
              <w:rPr>
                <w:rFonts w:ascii="Times New Roman" w:hAnsi="Times New Roman"/>
              </w:rPr>
              <w:t>寻甸县环境监测站</w:t>
            </w:r>
            <w:r>
              <w:rPr>
                <w:rFonts w:hint="eastAsia" w:ascii="Times New Roman" w:hAnsi="Times New Roman"/>
              </w:rPr>
              <w:t>2024年</w:t>
            </w:r>
            <w:r>
              <w:rPr>
                <w:rFonts w:ascii="Times New Roman" w:hAnsi="Times New Roman"/>
              </w:rPr>
              <w:t>三月三水库水质例行监测数据，监测统计结果见</w:t>
            </w:r>
            <w:r>
              <w:rPr>
                <w:rFonts w:hint="eastAsia" w:ascii="Times New Roman" w:hAnsi="Times New Roman"/>
              </w:rPr>
              <w:t>下表</w:t>
            </w:r>
            <w:r>
              <w:rPr>
                <w:rFonts w:ascii="Times New Roman" w:hAnsi="Times New Roman"/>
              </w:rPr>
              <w:t>。</w:t>
            </w:r>
          </w:p>
          <w:p w14:paraId="20ECA787">
            <w:pPr>
              <w:pStyle w:val="19"/>
              <w:adjustRightInd w:val="0"/>
              <w:snapToGrid w:val="0"/>
              <w:spacing w:before="0" w:beforeAutospacing="0" w:after="0" w:afterAutospacing="0"/>
              <w:jc w:val="center"/>
              <w:textAlignment w:val="center"/>
              <w:rPr>
                <w:rFonts w:ascii="Times New Roman" w:hAnsi="Times New Roman"/>
                <w:b/>
                <w:bCs/>
                <w:sz w:val="21"/>
                <w:szCs w:val="21"/>
              </w:rPr>
            </w:pPr>
            <w:r>
              <w:rPr>
                <w:rFonts w:hint="eastAsia" w:ascii="Times New Roman" w:hAnsi="Times New Roman"/>
                <w:b/>
                <w:bCs/>
                <w:sz w:val="21"/>
                <w:szCs w:val="21"/>
              </w:rPr>
              <w:t>表3-3  三月三水库 ：水环境现状评价表  单位：mg/L</w:t>
            </w:r>
          </w:p>
          <w:tbl>
            <w:tblPr>
              <w:tblStyle w:val="23"/>
              <w:tblW w:w="7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2279"/>
              <w:gridCol w:w="1930"/>
              <w:gridCol w:w="1860"/>
            </w:tblGrid>
            <w:tr w14:paraId="57EF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tcBorders>
                    <w:tl2br w:val="single" w:color="auto" w:sz="4" w:space="0"/>
                  </w:tcBorders>
                  <w:shd w:val="clear" w:color="auto" w:fill="auto"/>
                  <w:noWrap/>
                  <w:vAlign w:val="center"/>
                </w:tcPr>
                <w:p w14:paraId="19B60E80">
                  <w:pPr>
                    <w:adjustRightInd w:val="0"/>
                    <w:snapToGrid w:val="0"/>
                    <w:jc w:val="center"/>
                    <w:rPr>
                      <w:b/>
                      <w:szCs w:val="21"/>
                    </w:rPr>
                  </w:pPr>
                  <w:r>
                    <w:rPr>
                      <w:b/>
                      <w:szCs w:val="21"/>
                    </w:rPr>
                    <w:t>年度</w:t>
                  </w:r>
                </w:p>
                <w:p w14:paraId="76EB46DD">
                  <w:pPr>
                    <w:adjustRightInd w:val="0"/>
                    <w:snapToGrid w:val="0"/>
                    <w:rPr>
                      <w:b/>
                      <w:szCs w:val="21"/>
                    </w:rPr>
                  </w:pPr>
                  <w:r>
                    <w:rPr>
                      <w:b/>
                      <w:szCs w:val="21"/>
                    </w:rPr>
                    <w:t>污染物</w:t>
                  </w:r>
                </w:p>
              </w:tc>
              <w:tc>
                <w:tcPr>
                  <w:tcW w:w="1555" w:type="pct"/>
                  <w:shd w:val="clear" w:color="auto" w:fill="auto"/>
                  <w:noWrap/>
                  <w:vAlign w:val="center"/>
                </w:tcPr>
                <w:p w14:paraId="74409ABB">
                  <w:pPr>
                    <w:adjustRightInd w:val="0"/>
                    <w:snapToGrid w:val="0"/>
                    <w:jc w:val="center"/>
                    <w:rPr>
                      <w:b/>
                      <w:szCs w:val="21"/>
                    </w:rPr>
                  </w:pPr>
                  <w:r>
                    <w:rPr>
                      <w:rFonts w:hint="eastAsia"/>
                      <w:b/>
                      <w:szCs w:val="21"/>
                    </w:rPr>
                    <w:t>2024</w:t>
                  </w:r>
                </w:p>
              </w:tc>
              <w:tc>
                <w:tcPr>
                  <w:tcW w:w="1317" w:type="pct"/>
                  <w:vAlign w:val="center"/>
                </w:tcPr>
                <w:p w14:paraId="7B91C7EF">
                  <w:pPr>
                    <w:adjustRightInd w:val="0"/>
                    <w:snapToGrid w:val="0"/>
                    <w:jc w:val="center"/>
                    <w:rPr>
                      <w:b/>
                      <w:szCs w:val="21"/>
                    </w:rPr>
                  </w:pPr>
                  <w:r>
                    <w:rPr>
                      <w:rFonts w:hint="eastAsia" w:ascii="宋体" w:hAnsi="宋体" w:cs="宋体"/>
                      <w:b/>
                      <w:szCs w:val="21"/>
                    </w:rPr>
                    <w:t>Ⅲ</w:t>
                  </w:r>
                  <w:r>
                    <w:rPr>
                      <w:b/>
                      <w:szCs w:val="21"/>
                    </w:rPr>
                    <w:t>类标准</w:t>
                  </w:r>
                </w:p>
              </w:tc>
              <w:tc>
                <w:tcPr>
                  <w:tcW w:w="1269" w:type="pct"/>
                  <w:vAlign w:val="center"/>
                </w:tcPr>
                <w:p w14:paraId="3846F87E">
                  <w:pPr>
                    <w:adjustRightInd w:val="0"/>
                    <w:snapToGrid w:val="0"/>
                    <w:jc w:val="center"/>
                    <w:rPr>
                      <w:rFonts w:ascii="宋体" w:hAnsi="宋体" w:cs="宋体"/>
                      <w:b/>
                      <w:szCs w:val="21"/>
                    </w:rPr>
                  </w:pPr>
                  <w:r>
                    <w:rPr>
                      <w:rFonts w:hint="eastAsia" w:ascii="宋体" w:hAnsi="宋体" w:cs="宋体"/>
                      <w:b/>
                      <w:szCs w:val="21"/>
                    </w:rPr>
                    <w:t>单项判定</w:t>
                  </w:r>
                </w:p>
              </w:tc>
            </w:tr>
            <w:tr w14:paraId="7317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EDE4DAE">
                  <w:pPr>
                    <w:adjustRightInd w:val="0"/>
                    <w:snapToGrid w:val="0"/>
                    <w:jc w:val="center"/>
                    <w:rPr>
                      <w:szCs w:val="21"/>
                    </w:rPr>
                  </w:pPr>
                  <w:r>
                    <w:rPr>
                      <w:szCs w:val="21"/>
                    </w:rPr>
                    <w:t>CODcr</w:t>
                  </w:r>
                </w:p>
              </w:tc>
              <w:tc>
                <w:tcPr>
                  <w:tcW w:w="1555" w:type="pct"/>
                  <w:shd w:val="clear" w:color="auto" w:fill="auto"/>
                  <w:noWrap/>
                  <w:vAlign w:val="center"/>
                </w:tcPr>
                <w:p w14:paraId="5A416001">
                  <w:pPr>
                    <w:adjustRightInd w:val="0"/>
                    <w:snapToGrid w:val="0"/>
                    <w:jc w:val="center"/>
                    <w:rPr>
                      <w:szCs w:val="21"/>
                    </w:rPr>
                  </w:pPr>
                  <w:r>
                    <w:rPr>
                      <w:rFonts w:hint="eastAsia"/>
                      <w:szCs w:val="21"/>
                    </w:rPr>
                    <w:t>22.6</w:t>
                  </w:r>
                </w:p>
              </w:tc>
              <w:tc>
                <w:tcPr>
                  <w:tcW w:w="1317" w:type="pct"/>
                </w:tcPr>
                <w:p w14:paraId="01DB5738">
                  <w:pPr>
                    <w:adjustRightInd w:val="0"/>
                    <w:snapToGrid w:val="0"/>
                    <w:jc w:val="center"/>
                    <w:rPr>
                      <w:szCs w:val="21"/>
                    </w:rPr>
                  </w:pPr>
                  <w:r>
                    <w:rPr>
                      <w:szCs w:val="21"/>
                    </w:rPr>
                    <w:t>20</w:t>
                  </w:r>
                </w:p>
              </w:tc>
              <w:tc>
                <w:tcPr>
                  <w:tcW w:w="1269" w:type="pct"/>
                </w:tcPr>
                <w:p w14:paraId="6ADF778E">
                  <w:pPr>
                    <w:adjustRightInd w:val="0"/>
                    <w:snapToGrid w:val="0"/>
                    <w:jc w:val="center"/>
                    <w:rPr>
                      <w:szCs w:val="21"/>
                    </w:rPr>
                  </w:pPr>
                  <w:r>
                    <w:rPr>
                      <w:rFonts w:hint="eastAsia"/>
                      <w:szCs w:val="21"/>
                    </w:rPr>
                    <w:t>超标</w:t>
                  </w:r>
                </w:p>
              </w:tc>
            </w:tr>
            <w:tr w14:paraId="3340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6398E23F">
                  <w:pPr>
                    <w:adjustRightInd w:val="0"/>
                    <w:snapToGrid w:val="0"/>
                    <w:jc w:val="center"/>
                    <w:rPr>
                      <w:szCs w:val="21"/>
                    </w:rPr>
                  </w:pPr>
                  <w:r>
                    <w:rPr>
                      <w:szCs w:val="21"/>
                    </w:rPr>
                    <w:t>BOD</w:t>
                  </w:r>
                  <w:r>
                    <w:rPr>
                      <w:szCs w:val="21"/>
                      <w:vertAlign w:val="subscript"/>
                    </w:rPr>
                    <w:t>5</w:t>
                  </w:r>
                </w:p>
              </w:tc>
              <w:tc>
                <w:tcPr>
                  <w:tcW w:w="1555" w:type="pct"/>
                  <w:shd w:val="clear" w:color="auto" w:fill="auto"/>
                  <w:noWrap/>
                  <w:vAlign w:val="center"/>
                </w:tcPr>
                <w:p w14:paraId="76D98E25">
                  <w:pPr>
                    <w:adjustRightInd w:val="0"/>
                    <w:snapToGrid w:val="0"/>
                    <w:jc w:val="center"/>
                    <w:rPr>
                      <w:szCs w:val="21"/>
                    </w:rPr>
                  </w:pPr>
                  <w:r>
                    <w:rPr>
                      <w:rFonts w:hint="eastAsia"/>
                      <w:szCs w:val="21"/>
                    </w:rPr>
                    <w:t>3.38</w:t>
                  </w:r>
                </w:p>
              </w:tc>
              <w:tc>
                <w:tcPr>
                  <w:tcW w:w="1317" w:type="pct"/>
                </w:tcPr>
                <w:p w14:paraId="678EC2FF">
                  <w:pPr>
                    <w:adjustRightInd w:val="0"/>
                    <w:snapToGrid w:val="0"/>
                    <w:jc w:val="center"/>
                    <w:rPr>
                      <w:szCs w:val="21"/>
                    </w:rPr>
                  </w:pPr>
                  <w:r>
                    <w:rPr>
                      <w:szCs w:val="21"/>
                    </w:rPr>
                    <w:t>4</w:t>
                  </w:r>
                </w:p>
              </w:tc>
              <w:tc>
                <w:tcPr>
                  <w:tcW w:w="1269" w:type="pct"/>
                </w:tcPr>
                <w:p w14:paraId="63B1DBC8">
                  <w:pPr>
                    <w:adjustRightInd w:val="0"/>
                    <w:snapToGrid w:val="0"/>
                    <w:jc w:val="center"/>
                    <w:rPr>
                      <w:szCs w:val="21"/>
                    </w:rPr>
                  </w:pPr>
                  <w:r>
                    <w:rPr>
                      <w:rFonts w:hint="eastAsia"/>
                      <w:szCs w:val="21"/>
                    </w:rPr>
                    <w:t>达标</w:t>
                  </w:r>
                </w:p>
              </w:tc>
            </w:tr>
            <w:tr w14:paraId="78B0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352A23BB">
                  <w:pPr>
                    <w:adjustRightInd w:val="0"/>
                    <w:snapToGrid w:val="0"/>
                    <w:jc w:val="center"/>
                    <w:rPr>
                      <w:szCs w:val="21"/>
                    </w:rPr>
                  </w:pPr>
                  <w:r>
                    <w:rPr>
                      <w:szCs w:val="21"/>
                    </w:rPr>
                    <w:t>氨氮</w:t>
                  </w:r>
                </w:p>
              </w:tc>
              <w:tc>
                <w:tcPr>
                  <w:tcW w:w="1555" w:type="pct"/>
                  <w:shd w:val="clear" w:color="auto" w:fill="auto"/>
                  <w:noWrap/>
                  <w:vAlign w:val="center"/>
                </w:tcPr>
                <w:p w14:paraId="77A89184">
                  <w:pPr>
                    <w:adjustRightInd w:val="0"/>
                    <w:snapToGrid w:val="0"/>
                    <w:jc w:val="center"/>
                    <w:rPr>
                      <w:szCs w:val="21"/>
                    </w:rPr>
                  </w:pPr>
                  <w:r>
                    <w:rPr>
                      <w:rFonts w:hint="eastAsia"/>
                      <w:szCs w:val="21"/>
                    </w:rPr>
                    <w:t>0.18</w:t>
                  </w:r>
                </w:p>
              </w:tc>
              <w:tc>
                <w:tcPr>
                  <w:tcW w:w="1317" w:type="pct"/>
                </w:tcPr>
                <w:p w14:paraId="03B6DFFC">
                  <w:pPr>
                    <w:adjustRightInd w:val="0"/>
                    <w:snapToGrid w:val="0"/>
                    <w:jc w:val="center"/>
                    <w:rPr>
                      <w:szCs w:val="21"/>
                    </w:rPr>
                  </w:pPr>
                  <w:r>
                    <w:rPr>
                      <w:szCs w:val="21"/>
                    </w:rPr>
                    <w:t>1.0</w:t>
                  </w:r>
                </w:p>
              </w:tc>
              <w:tc>
                <w:tcPr>
                  <w:tcW w:w="1269" w:type="pct"/>
                </w:tcPr>
                <w:p w14:paraId="03F0E9E3">
                  <w:pPr>
                    <w:adjustRightInd w:val="0"/>
                    <w:snapToGrid w:val="0"/>
                    <w:jc w:val="center"/>
                    <w:rPr>
                      <w:szCs w:val="21"/>
                    </w:rPr>
                  </w:pPr>
                  <w:r>
                    <w:rPr>
                      <w:rFonts w:hint="eastAsia"/>
                      <w:szCs w:val="21"/>
                    </w:rPr>
                    <w:t>达标</w:t>
                  </w:r>
                </w:p>
              </w:tc>
            </w:tr>
            <w:tr w14:paraId="0AFF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2194C361">
                  <w:pPr>
                    <w:adjustRightInd w:val="0"/>
                    <w:snapToGrid w:val="0"/>
                    <w:jc w:val="center"/>
                    <w:rPr>
                      <w:szCs w:val="21"/>
                    </w:rPr>
                  </w:pPr>
                  <w:r>
                    <w:rPr>
                      <w:szCs w:val="21"/>
                    </w:rPr>
                    <w:t>总磷</w:t>
                  </w:r>
                </w:p>
              </w:tc>
              <w:tc>
                <w:tcPr>
                  <w:tcW w:w="1555" w:type="pct"/>
                  <w:shd w:val="clear" w:color="auto" w:fill="auto"/>
                  <w:noWrap/>
                  <w:vAlign w:val="center"/>
                </w:tcPr>
                <w:p w14:paraId="075C684B">
                  <w:pPr>
                    <w:adjustRightInd w:val="0"/>
                    <w:snapToGrid w:val="0"/>
                    <w:jc w:val="center"/>
                    <w:rPr>
                      <w:szCs w:val="21"/>
                    </w:rPr>
                  </w:pPr>
                  <w:r>
                    <w:rPr>
                      <w:rFonts w:hint="eastAsia"/>
                      <w:szCs w:val="21"/>
                    </w:rPr>
                    <w:t>0.14</w:t>
                  </w:r>
                </w:p>
              </w:tc>
              <w:tc>
                <w:tcPr>
                  <w:tcW w:w="1317" w:type="pct"/>
                </w:tcPr>
                <w:p w14:paraId="593B8FD7">
                  <w:pPr>
                    <w:adjustRightInd w:val="0"/>
                    <w:snapToGrid w:val="0"/>
                    <w:jc w:val="center"/>
                    <w:rPr>
                      <w:szCs w:val="21"/>
                    </w:rPr>
                  </w:pPr>
                  <w:r>
                    <w:rPr>
                      <w:rFonts w:hint="eastAsia"/>
                      <w:szCs w:val="21"/>
                    </w:rPr>
                    <w:t>0.05</w:t>
                  </w:r>
                </w:p>
              </w:tc>
              <w:tc>
                <w:tcPr>
                  <w:tcW w:w="1269" w:type="pct"/>
                </w:tcPr>
                <w:p w14:paraId="32FB256C">
                  <w:pPr>
                    <w:adjustRightInd w:val="0"/>
                    <w:snapToGrid w:val="0"/>
                    <w:jc w:val="center"/>
                    <w:rPr>
                      <w:szCs w:val="21"/>
                    </w:rPr>
                  </w:pPr>
                  <w:r>
                    <w:rPr>
                      <w:rFonts w:hint="eastAsia"/>
                      <w:szCs w:val="21"/>
                    </w:rPr>
                    <w:t>超标</w:t>
                  </w:r>
                </w:p>
              </w:tc>
            </w:tr>
            <w:tr w14:paraId="197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702A6B1C">
                  <w:pPr>
                    <w:adjustRightInd w:val="0"/>
                    <w:snapToGrid w:val="0"/>
                    <w:jc w:val="center"/>
                    <w:rPr>
                      <w:szCs w:val="21"/>
                    </w:rPr>
                  </w:pPr>
                  <w:r>
                    <w:rPr>
                      <w:rFonts w:hint="eastAsia"/>
                      <w:szCs w:val="21"/>
                    </w:rPr>
                    <w:t>总氮</w:t>
                  </w:r>
                </w:p>
              </w:tc>
              <w:tc>
                <w:tcPr>
                  <w:tcW w:w="1555" w:type="pct"/>
                  <w:shd w:val="clear" w:color="auto" w:fill="auto"/>
                  <w:noWrap/>
                  <w:vAlign w:val="center"/>
                </w:tcPr>
                <w:p w14:paraId="7E32B48B">
                  <w:pPr>
                    <w:adjustRightInd w:val="0"/>
                    <w:snapToGrid w:val="0"/>
                    <w:jc w:val="center"/>
                    <w:rPr>
                      <w:szCs w:val="21"/>
                    </w:rPr>
                  </w:pPr>
                  <w:r>
                    <w:rPr>
                      <w:rFonts w:hint="eastAsia"/>
                      <w:szCs w:val="21"/>
                    </w:rPr>
                    <w:t>4.09</w:t>
                  </w:r>
                </w:p>
              </w:tc>
              <w:tc>
                <w:tcPr>
                  <w:tcW w:w="1317" w:type="pct"/>
                </w:tcPr>
                <w:p w14:paraId="2B8D82C3">
                  <w:pPr>
                    <w:adjustRightInd w:val="0"/>
                    <w:snapToGrid w:val="0"/>
                    <w:jc w:val="center"/>
                    <w:rPr>
                      <w:szCs w:val="21"/>
                    </w:rPr>
                  </w:pPr>
                  <w:r>
                    <w:rPr>
                      <w:rFonts w:hint="eastAsia"/>
                      <w:szCs w:val="21"/>
                    </w:rPr>
                    <w:t>1.0</w:t>
                  </w:r>
                </w:p>
              </w:tc>
              <w:tc>
                <w:tcPr>
                  <w:tcW w:w="1269" w:type="pct"/>
                </w:tcPr>
                <w:p w14:paraId="71B568EB">
                  <w:pPr>
                    <w:adjustRightInd w:val="0"/>
                    <w:snapToGrid w:val="0"/>
                    <w:jc w:val="center"/>
                    <w:rPr>
                      <w:szCs w:val="21"/>
                    </w:rPr>
                  </w:pPr>
                  <w:r>
                    <w:rPr>
                      <w:rFonts w:hint="eastAsia"/>
                      <w:szCs w:val="21"/>
                    </w:rPr>
                    <w:t>超标</w:t>
                  </w:r>
                </w:p>
              </w:tc>
            </w:tr>
            <w:tr w14:paraId="16C9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69B9D3BA">
                  <w:pPr>
                    <w:adjustRightInd w:val="0"/>
                    <w:snapToGrid w:val="0"/>
                    <w:jc w:val="center"/>
                    <w:rPr>
                      <w:szCs w:val="21"/>
                    </w:rPr>
                  </w:pPr>
                  <w:r>
                    <w:rPr>
                      <w:rFonts w:hint="eastAsia"/>
                      <w:szCs w:val="21"/>
                    </w:rPr>
                    <w:t>氟化物</w:t>
                  </w:r>
                </w:p>
              </w:tc>
              <w:tc>
                <w:tcPr>
                  <w:tcW w:w="1555" w:type="pct"/>
                  <w:shd w:val="clear" w:color="auto" w:fill="auto"/>
                  <w:noWrap/>
                  <w:vAlign w:val="center"/>
                </w:tcPr>
                <w:p w14:paraId="7BDC8040">
                  <w:pPr>
                    <w:adjustRightInd w:val="0"/>
                    <w:snapToGrid w:val="0"/>
                    <w:jc w:val="center"/>
                    <w:rPr>
                      <w:szCs w:val="21"/>
                    </w:rPr>
                  </w:pPr>
                  <w:r>
                    <w:rPr>
                      <w:rFonts w:hint="eastAsia"/>
                      <w:szCs w:val="21"/>
                    </w:rPr>
                    <w:t>0.73</w:t>
                  </w:r>
                </w:p>
              </w:tc>
              <w:tc>
                <w:tcPr>
                  <w:tcW w:w="1317" w:type="pct"/>
                </w:tcPr>
                <w:p w14:paraId="5794AA52">
                  <w:pPr>
                    <w:adjustRightInd w:val="0"/>
                    <w:snapToGrid w:val="0"/>
                    <w:jc w:val="center"/>
                    <w:rPr>
                      <w:szCs w:val="21"/>
                    </w:rPr>
                  </w:pPr>
                  <w:r>
                    <w:rPr>
                      <w:rFonts w:hint="eastAsia"/>
                      <w:szCs w:val="21"/>
                    </w:rPr>
                    <w:t>1.0</w:t>
                  </w:r>
                </w:p>
              </w:tc>
              <w:tc>
                <w:tcPr>
                  <w:tcW w:w="1269" w:type="pct"/>
                </w:tcPr>
                <w:p w14:paraId="1850374A">
                  <w:pPr>
                    <w:adjustRightInd w:val="0"/>
                    <w:snapToGrid w:val="0"/>
                    <w:jc w:val="center"/>
                    <w:rPr>
                      <w:szCs w:val="21"/>
                    </w:rPr>
                  </w:pPr>
                  <w:r>
                    <w:rPr>
                      <w:rFonts w:hint="eastAsia"/>
                      <w:szCs w:val="21"/>
                    </w:rPr>
                    <w:t>达标</w:t>
                  </w:r>
                </w:p>
              </w:tc>
            </w:tr>
            <w:tr w14:paraId="4AD5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FE22E79">
                  <w:pPr>
                    <w:adjustRightInd w:val="0"/>
                    <w:snapToGrid w:val="0"/>
                    <w:jc w:val="center"/>
                    <w:rPr>
                      <w:szCs w:val="21"/>
                    </w:rPr>
                  </w:pPr>
                  <w:r>
                    <w:rPr>
                      <w:rFonts w:hint="eastAsia"/>
                      <w:szCs w:val="21"/>
                    </w:rPr>
                    <w:t>硒</w:t>
                  </w:r>
                </w:p>
              </w:tc>
              <w:tc>
                <w:tcPr>
                  <w:tcW w:w="1555" w:type="pct"/>
                  <w:shd w:val="clear" w:color="auto" w:fill="auto"/>
                  <w:noWrap/>
                </w:tcPr>
                <w:p w14:paraId="60374692">
                  <w:pPr>
                    <w:adjustRightInd w:val="0"/>
                    <w:snapToGrid w:val="0"/>
                    <w:jc w:val="center"/>
                    <w:rPr>
                      <w:szCs w:val="21"/>
                    </w:rPr>
                  </w:pPr>
                  <w:r>
                    <w:rPr>
                      <w:rFonts w:hint="eastAsia"/>
                      <w:szCs w:val="21"/>
                    </w:rPr>
                    <w:t>0.0004L</w:t>
                  </w:r>
                </w:p>
              </w:tc>
              <w:tc>
                <w:tcPr>
                  <w:tcW w:w="1317" w:type="pct"/>
                </w:tcPr>
                <w:p w14:paraId="7CE3D3A8">
                  <w:pPr>
                    <w:adjustRightInd w:val="0"/>
                    <w:snapToGrid w:val="0"/>
                    <w:jc w:val="center"/>
                    <w:rPr>
                      <w:szCs w:val="21"/>
                    </w:rPr>
                  </w:pPr>
                  <w:r>
                    <w:rPr>
                      <w:rFonts w:hint="eastAsia"/>
                      <w:szCs w:val="21"/>
                    </w:rPr>
                    <w:t>0.01</w:t>
                  </w:r>
                </w:p>
              </w:tc>
              <w:tc>
                <w:tcPr>
                  <w:tcW w:w="1269" w:type="pct"/>
                </w:tcPr>
                <w:p w14:paraId="0AC962C5">
                  <w:pPr>
                    <w:adjustRightInd w:val="0"/>
                    <w:snapToGrid w:val="0"/>
                    <w:jc w:val="center"/>
                    <w:rPr>
                      <w:szCs w:val="21"/>
                    </w:rPr>
                  </w:pPr>
                  <w:r>
                    <w:rPr>
                      <w:rFonts w:hint="eastAsia"/>
                      <w:szCs w:val="21"/>
                    </w:rPr>
                    <w:t>达标</w:t>
                  </w:r>
                </w:p>
              </w:tc>
            </w:tr>
            <w:tr w14:paraId="4220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058732D7">
                  <w:pPr>
                    <w:adjustRightInd w:val="0"/>
                    <w:snapToGrid w:val="0"/>
                    <w:jc w:val="center"/>
                    <w:rPr>
                      <w:szCs w:val="21"/>
                    </w:rPr>
                  </w:pPr>
                  <w:r>
                    <w:rPr>
                      <w:szCs w:val="21"/>
                    </w:rPr>
                    <w:t>砷</w:t>
                  </w:r>
                </w:p>
              </w:tc>
              <w:tc>
                <w:tcPr>
                  <w:tcW w:w="1555" w:type="pct"/>
                  <w:shd w:val="clear" w:color="auto" w:fill="auto"/>
                  <w:noWrap/>
                </w:tcPr>
                <w:p w14:paraId="4D16170E">
                  <w:pPr>
                    <w:adjustRightInd w:val="0"/>
                    <w:snapToGrid w:val="0"/>
                    <w:jc w:val="center"/>
                    <w:rPr>
                      <w:szCs w:val="21"/>
                    </w:rPr>
                  </w:pPr>
                  <w:r>
                    <w:rPr>
                      <w:rFonts w:hint="eastAsia"/>
                      <w:szCs w:val="21"/>
                    </w:rPr>
                    <w:t>0.0029</w:t>
                  </w:r>
                </w:p>
              </w:tc>
              <w:tc>
                <w:tcPr>
                  <w:tcW w:w="1317" w:type="pct"/>
                </w:tcPr>
                <w:p w14:paraId="226C085D">
                  <w:pPr>
                    <w:adjustRightInd w:val="0"/>
                    <w:snapToGrid w:val="0"/>
                    <w:jc w:val="center"/>
                    <w:rPr>
                      <w:szCs w:val="21"/>
                    </w:rPr>
                  </w:pPr>
                  <w:r>
                    <w:rPr>
                      <w:szCs w:val="21"/>
                    </w:rPr>
                    <w:t>0.05</w:t>
                  </w:r>
                </w:p>
              </w:tc>
              <w:tc>
                <w:tcPr>
                  <w:tcW w:w="1269" w:type="pct"/>
                </w:tcPr>
                <w:p w14:paraId="5F96194B">
                  <w:pPr>
                    <w:adjustRightInd w:val="0"/>
                    <w:snapToGrid w:val="0"/>
                    <w:jc w:val="center"/>
                    <w:rPr>
                      <w:szCs w:val="21"/>
                    </w:rPr>
                  </w:pPr>
                  <w:r>
                    <w:rPr>
                      <w:rFonts w:hint="eastAsia"/>
                      <w:szCs w:val="21"/>
                    </w:rPr>
                    <w:t>达标</w:t>
                  </w:r>
                </w:p>
              </w:tc>
            </w:tr>
            <w:tr w14:paraId="2CA6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40E7E1A9">
                  <w:pPr>
                    <w:adjustRightInd w:val="0"/>
                    <w:snapToGrid w:val="0"/>
                    <w:jc w:val="center"/>
                    <w:rPr>
                      <w:szCs w:val="21"/>
                    </w:rPr>
                  </w:pPr>
                  <w:r>
                    <w:rPr>
                      <w:rFonts w:hint="eastAsia"/>
                      <w:szCs w:val="21"/>
                    </w:rPr>
                    <w:t>汞</w:t>
                  </w:r>
                </w:p>
              </w:tc>
              <w:tc>
                <w:tcPr>
                  <w:tcW w:w="1555" w:type="pct"/>
                  <w:shd w:val="clear" w:color="auto" w:fill="auto"/>
                  <w:noWrap/>
                </w:tcPr>
                <w:p w14:paraId="365CEA79">
                  <w:pPr>
                    <w:adjustRightInd w:val="0"/>
                    <w:snapToGrid w:val="0"/>
                    <w:jc w:val="center"/>
                    <w:rPr>
                      <w:szCs w:val="21"/>
                    </w:rPr>
                  </w:pPr>
                  <w:r>
                    <w:rPr>
                      <w:rFonts w:hint="eastAsia"/>
                      <w:szCs w:val="21"/>
                    </w:rPr>
                    <w:t>0.00004L</w:t>
                  </w:r>
                </w:p>
              </w:tc>
              <w:tc>
                <w:tcPr>
                  <w:tcW w:w="1317" w:type="pct"/>
                </w:tcPr>
                <w:p w14:paraId="584013BE">
                  <w:pPr>
                    <w:adjustRightInd w:val="0"/>
                    <w:snapToGrid w:val="0"/>
                    <w:jc w:val="center"/>
                    <w:rPr>
                      <w:szCs w:val="21"/>
                    </w:rPr>
                  </w:pPr>
                  <w:r>
                    <w:rPr>
                      <w:rFonts w:hint="eastAsia"/>
                      <w:szCs w:val="21"/>
                    </w:rPr>
                    <w:t>0.0001</w:t>
                  </w:r>
                </w:p>
              </w:tc>
              <w:tc>
                <w:tcPr>
                  <w:tcW w:w="1269" w:type="pct"/>
                </w:tcPr>
                <w:p w14:paraId="3AA07540">
                  <w:pPr>
                    <w:adjustRightInd w:val="0"/>
                    <w:snapToGrid w:val="0"/>
                    <w:jc w:val="center"/>
                    <w:rPr>
                      <w:szCs w:val="21"/>
                    </w:rPr>
                  </w:pPr>
                  <w:r>
                    <w:rPr>
                      <w:rFonts w:hint="eastAsia"/>
                      <w:szCs w:val="21"/>
                    </w:rPr>
                    <w:t>达标</w:t>
                  </w:r>
                </w:p>
              </w:tc>
            </w:tr>
            <w:tr w14:paraId="0544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61063F0">
                  <w:pPr>
                    <w:adjustRightInd w:val="0"/>
                    <w:snapToGrid w:val="0"/>
                    <w:jc w:val="center"/>
                    <w:rPr>
                      <w:szCs w:val="21"/>
                    </w:rPr>
                  </w:pPr>
                  <w:r>
                    <w:rPr>
                      <w:rFonts w:hint="eastAsia"/>
                      <w:szCs w:val="21"/>
                    </w:rPr>
                    <w:t>镉</w:t>
                  </w:r>
                </w:p>
              </w:tc>
              <w:tc>
                <w:tcPr>
                  <w:tcW w:w="1555" w:type="pct"/>
                  <w:shd w:val="clear" w:color="auto" w:fill="auto"/>
                  <w:noWrap/>
                </w:tcPr>
                <w:p w14:paraId="3888C7C5">
                  <w:pPr>
                    <w:adjustRightInd w:val="0"/>
                    <w:snapToGrid w:val="0"/>
                    <w:jc w:val="center"/>
                    <w:rPr>
                      <w:szCs w:val="21"/>
                    </w:rPr>
                  </w:pPr>
                  <w:r>
                    <w:rPr>
                      <w:rFonts w:hint="eastAsia"/>
                      <w:szCs w:val="21"/>
                    </w:rPr>
                    <w:t>0.0001</w:t>
                  </w:r>
                </w:p>
              </w:tc>
              <w:tc>
                <w:tcPr>
                  <w:tcW w:w="1317" w:type="pct"/>
                </w:tcPr>
                <w:p w14:paraId="3EB0BECD">
                  <w:pPr>
                    <w:adjustRightInd w:val="0"/>
                    <w:snapToGrid w:val="0"/>
                    <w:jc w:val="center"/>
                    <w:rPr>
                      <w:szCs w:val="21"/>
                    </w:rPr>
                  </w:pPr>
                  <w:r>
                    <w:rPr>
                      <w:rFonts w:hint="eastAsia"/>
                      <w:szCs w:val="21"/>
                    </w:rPr>
                    <w:t>0.005</w:t>
                  </w:r>
                </w:p>
              </w:tc>
              <w:tc>
                <w:tcPr>
                  <w:tcW w:w="1269" w:type="pct"/>
                </w:tcPr>
                <w:p w14:paraId="23F46E90">
                  <w:pPr>
                    <w:adjustRightInd w:val="0"/>
                    <w:snapToGrid w:val="0"/>
                    <w:jc w:val="center"/>
                    <w:rPr>
                      <w:szCs w:val="21"/>
                    </w:rPr>
                  </w:pPr>
                  <w:r>
                    <w:rPr>
                      <w:rFonts w:hint="eastAsia"/>
                      <w:szCs w:val="21"/>
                    </w:rPr>
                    <w:t>达标</w:t>
                  </w:r>
                </w:p>
              </w:tc>
            </w:tr>
            <w:tr w14:paraId="3361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45567178">
                  <w:pPr>
                    <w:adjustRightInd w:val="0"/>
                    <w:snapToGrid w:val="0"/>
                    <w:jc w:val="center"/>
                    <w:rPr>
                      <w:szCs w:val="21"/>
                    </w:rPr>
                  </w:pPr>
                  <w:r>
                    <w:rPr>
                      <w:rFonts w:hint="eastAsia"/>
                      <w:szCs w:val="21"/>
                    </w:rPr>
                    <w:t>六价铬</w:t>
                  </w:r>
                </w:p>
              </w:tc>
              <w:tc>
                <w:tcPr>
                  <w:tcW w:w="1555" w:type="pct"/>
                  <w:shd w:val="clear" w:color="auto" w:fill="auto"/>
                  <w:noWrap/>
                </w:tcPr>
                <w:p w14:paraId="2985CDD3">
                  <w:pPr>
                    <w:adjustRightInd w:val="0"/>
                    <w:snapToGrid w:val="0"/>
                    <w:jc w:val="center"/>
                    <w:rPr>
                      <w:szCs w:val="21"/>
                    </w:rPr>
                  </w:pPr>
                  <w:r>
                    <w:rPr>
                      <w:rFonts w:hint="eastAsia"/>
                      <w:szCs w:val="21"/>
                    </w:rPr>
                    <w:t>0.004L</w:t>
                  </w:r>
                </w:p>
              </w:tc>
              <w:tc>
                <w:tcPr>
                  <w:tcW w:w="1317" w:type="pct"/>
                </w:tcPr>
                <w:p w14:paraId="1FBF736F">
                  <w:pPr>
                    <w:adjustRightInd w:val="0"/>
                    <w:snapToGrid w:val="0"/>
                    <w:jc w:val="center"/>
                    <w:rPr>
                      <w:szCs w:val="21"/>
                    </w:rPr>
                  </w:pPr>
                  <w:r>
                    <w:rPr>
                      <w:rFonts w:hint="eastAsia"/>
                      <w:szCs w:val="21"/>
                    </w:rPr>
                    <w:t>0.05</w:t>
                  </w:r>
                </w:p>
              </w:tc>
              <w:tc>
                <w:tcPr>
                  <w:tcW w:w="1269" w:type="pct"/>
                </w:tcPr>
                <w:p w14:paraId="1F0228EC">
                  <w:pPr>
                    <w:adjustRightInd w:val="0"/>
                    <w:snapToGrid w:val="0"/>
                    <w:jc w:val="center"/>
                    <w:rPr>
                      <w:szCs w:val="21"/>
                    </w:rPr>
                  </w:pPr>
                  <w:r>
                    <w:rPr>
                      <w:rFonts w:hint="eastAsia"/>
                      <w:szCs w:val="21"/>
                    </w:rPr>
                    <w:t>达标</w:t>
                  </w:r>
                </w:p>
              </w:tc>
            </w:tr>
            <w:tr w14:paraId="6971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DC88965">
                  <w:pPr>
                    <w:adjustRightInd w:val="0"/>
                    <w:snapToGrid w:val="0"/>
                    <w:jc w:val="center"/>
                    <w:rPr>
                      <w:szCs w:val="21"/>
                    </w:rPr>
                  </w:pPr>
                  <w:r>
                    <w:rPr>
                      <w:rFonts w:hint="eastAsia"/>
                      <w:szCs w:val="21"/>
                    </w:rPr>
                    <w:t>铅</w:t>
                  </w:r>
                </w:p>
              </w:tc>
              <w:tc>
                <w:tcPr>
                  <w:tcW w:w="1555" w:type="pct"/>
                  <w:shd w:val="clear" w:color="auto" w:fill="auto"/>
                  <w:noWrap/>
                </w:tcPr>
                <w:p w14:paraId="1096B997">
                  <w:pPr>
                    <w:adjustRightInd w:val="0"/>
                    <w:snapToGrid w:val="0"/>
                    <w:jc w:val="center"/>
                    <w:rPr>
                      <w:szCs w:val="21"/>
                    </w:rPr>
                  </w:pPr>
                  <w:r>
                    <w:rPr>
                      <w:rFonts w:hint="eastAsia"/>
                      <w:szCs w:val="21"/>
                    </w:rPr>
                    <w:t>0.002L</w:t>
                  </w:r>
                </w:p>
              </w:tc>
              <w:tc>
                <w:tcPr>
                  <w:tcW w:w="1317" w:type="pct"/>
                </w:tcPr>
                <w:p w14:paraId="4625AB98">
                  <w:pPr>
                    <w:adjustRightInd w:val="0"/>
                    <w:snapToGrid w:val="0"/>
                    <w:jc w:val="center"/>
                    <w:rPr>
                      <w:szCs w:val="21"/>
                    </w:rPr>
                  </w:pPr>
                  <w:r>
                    <w:rPr>
                      <w:rFonts w:hint="eastAsia"/>
                      <w:szCs w:val="21"/>
                    </w:rPr>
                    <w:t>0.05</w:t>
                  </w:r>
                </w:p>
              </w:tc>
              <w:tc>
                <w:tcPr>
                  <w:tcW w:w="1269" w:type="pct"/>
                </w:tcPr>
                <w:p w14:paraId="42C767BA">
                  <w:pPr>
                    <w:adjustRightInd w:val="0"/>
                    <w:snapToGrid w:val="0"/>
                    <w:jc w:val="center"/>
                    <w:rPr>
                      <w:szCs w:val="21"/>
                    </w:rPr>
                  </w:pPr>
                  <w:r>
                    <w:rPr>
                      <w:rFonts w:hint="eastAsia"/>
                      <w:szCs w:val="21"/>
                    </w:rPr>
                    <w:t>达标</w:t>
                  </w:r>
                </w:p>
              </w:tc>
            </w:tr>
            <w:tr w14:paraId="5E92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FB07822">
                  <w:pPr>
                    <w:adjustRightInd w:val="0"/>
                    <w:snapToGrid w:val="0"/>
                    <w:jc w:val="center"/>
                    <w:rPr>
                      <w:szCs w:val="21"/>
                    </w:rPr>
                  </w:pPr>
                  <w:r>
                    <w:rPr>
                      <w:rFonts w:hint="eastAsia"/>
                      <w:szCs w:val="21"/>
                    </w:rPr>
                    <w:t>氰化物</w:t>
                  </w:r>
                </w:p>
              </w:tc>
              <w:tc>
                <w:tcPr>
                  <w:tcW w:w="1555" w:type="pct"/>
                  <w:shd w:val="clear" w:color="auto" w:fill="auto"/>
                  <w:noWrap/>
                </w:tcPr>
                <w:p w14:paraId="0AA68829">
                  <w:pPr>
                    <w:adjustRightInd w:val="0"/>
                    <w:snapToGrid w:val="0"/>
                    <w:jc w:val="center"/>
                    <w:rPr>
                      <w:szCs w:val="21"/>
                    </w:rPr>
                  </w:pPr>
                  <w:r>
                    <w:rPr>
                      <w:rFonts w:hint="eastAsia"/>
                      <w:szCs w:val="21"/>
                    </w:rPr>
                    <w:t>0.004L</w:t>
                  </w:r>
                </w:p>
              </w:tc>
              <w:tc>
                <w:tcPr>
                  <w:tcW w:w="1317" w:type="pct"/>
                </w:tcPr>
                <w:p w14:paraId="1ECFB895">
                  <w:pPr>
                    <w:adjustRightInd w:val="0"/>
                    <w:snapToGrid w:val="0"/>
                    <w:jc w:val="center"/>
                    <w:rPr>
                      <w:szCs w:val="21"/>
                    </w:rPr>
                  </w:pPr>
                  <w:r>
                    <w:rPr>
                      <w:szCs w:val="21"/>
                    </w:rPr>
                    <w:t>0.2</w:t>
                  </w:r>
                </w:p>
              </w:tc>
              <w:tc>
                <w:tcPr>
                  <w:tcW w:w="1269" w:type="pct"/>
                </w:tcPr>
                <w:p w14:paraId="06FAEB27">
                  <w:pPr>
                    <w:adjustRightInd w:val="0"/>
                    <w:snapToGrid w:val="0"/>
                    <w:jc w:val="center"/>
                    <w:rPr>
                      <w:szCs w:val="21"/>
                    </w:rPr>
                  </w:pPr>
                  <w:r>
                    <w:rPr>
                      <w:rFonts w:hint="eastAsia"/>
                      <w:szCs w:val="21"/>
                    </w:rPr>
                    <w:t>达标</w:t>
                  </w:r>
                </w:p>
              </w:tc>
            </w:tr>
            <w:tr w14:paraId="0F37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75EE9E45">
                  <w:pPr>
                    <w:adjustRightInd w:val="0"/>
                    <w:snapToGrid w:val="0"/>
                    <w:jc w:val="center"/>
                    <w:rPr>
                      <w:szCs w:val="21"/>
                    </w:rPr>
                  </w:pPr>
                  <w:r>
                    <w:rPr>
                      <w:rFonts w:hint="eastAsia"/>
                      <w:szCs w:val="21"/>
                    </w:rPr>
                    <w:t>挥发酚</w:t>
                  </w:r>
                </w:p>
              </w:tc>
              <w:tc>
                <w:tcPr>
                  <w:tcW w:w="1555" w:type="pct"/>
                  <w:shd w:val="clear" w:color="auto" w:fill="auto"/>
                  <w:noWrap/>
                </w:tcPr>
                <w:p w14:paraId="6C4FA1D9">
                  <w:pPr>
                    <w:adjustRightInd w:val="0"/>
                    <w:snapToGrid w:val="0"/>
                    <w:jc w:val="center"/>
                    <w:rPr>
                      <w:szCs w:val="21"/>
                    </w:rPr>
                  </w:pPr>
                  <w:r>
                    <w:rPr>
                      <w:rFonts w:hint="eastAsia"/>
                      <w:szCs w:val="21"/>
                    </w:rPr>
                    <w:t>0.0003L</w:t>
                  </w:r>
                </w:p>
              </w:tc>
              <w:tc>
                <w:tcPr>
                  <w:tcW w:w="1317" w:type="pct"/>
                </w:tcPr>
                <w:p w14:paraId="3F0AD79C">
                  <w:pPr>
                    <w:adjustRightInd w:val="0"/>
                    <w:snapToGrid w:val="0"/>
                    <w:jc w:val="center"/>
                    <w:rPr>
                      <w:szCs w:val="21"/>
                    </w:rPr>
                  </w:pPr>
                  <w:r>
                    <w:rPr>
                      <w:szCs w:val="21"/>
                    </w:rPr>
                    <w:t>0.005</w:t>
                  </w:r>
                </w:p>
              </w:tc>
              <w:tc>
                <w:tcPr>
                  <w:tcW w:w="1269" w:type="pct"/>
                </w:tcPr>
                <w:p w14:paraId="6E8F9202">
                  <w:pPr>
                    <w:adjustRightInd w:val="0"/>
                    <w:snapToGrid w:val="0"/>
                    <w:jc w:val="center"/>
                    <w:rPr>
                      <w:szCs w:val="21"/>
                    </w:rPr>
                  </w:pPr>
                  <w:r>
                    <w:rPr>
                      <w:rFonts w:hint="eastAsia"/>
                      <w:szCs w:val="21"/>
                    </w:rPr>
                    <w:t>达标</w:t>
                  </w:r>
                </w:p>
              </w:tc>
            </w:tr>
            <w:tr w14:paraId="5CCE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7927D35">
                  <w:pPr>
                    <w:adjustRightInd w:val="0"/>
                    <w:snapToGrid w:val="0"/>
                    <w:jc w:val="center"/>
                    <w:rPr>
                      <w:szCs w:val="21"/>
                    </w:rPr>
                  </w:pPr>
                  <w:r>
                    <w:rPr>
                      <w:rFonts w:hint="eastAsia"/>
                      <w:szCs w:val="21"/>
                    </w:rPr>
                    <w:t>石油类</w:t>
                  </w:r>
                </w:p>
              </w:tc>
              <w:tc>
                <w:tcPr>
                  <w:tcW w:w="1555" w:type="pct"/>
                  <w:shd w:val="clear" w:color="auto" w:fill="auto"/>
                  <w:noWrap/>
                </w:tcPr>
                <w:p w14:paraId="2C875C31">
                  <w:pPr>
                    <w:adjustRightInd w:val="0"/>
                    <w:snapToGrid w:val="0"/>
                    <w:jc w:val="center"/>
                    <w:rPr>
                      <w:szCs w:val="21"/>
                    </w:rPr>
                  </w:pPr>
                  <w:r>
                    <w:rPr>
                      <w:rFonts w:hint="eastAsia"/>
                      <w:szCs w:val="21"/>
                    </w:rPr>
                    <w:t>0.01L</w:t>
                  </w:r>
                </w:p>
              </w:tc>
              <w:tc>
                <w:tcPr>
                  <w:tcW w:w="1317" w:type="pct"/>
                </w:tcPr>
                <w:p w14:paraId="3EC65C8C">
                  <w:pPr>
                    <w:adjustRightInd w:val="0"/>
                    <w:snapToGrid w:val="0"/>
                    <w:jc w:val="center"/>
                    <w:rPr>
                      <w:szCs w:val="21"/>
                    </w:rPr>
                  </w:pPr>
                  <w:r>
                    <w:rPr>
                      <w:szCs w:val="21"/>
                    </w:rPr>
                    <w:t>0.05</w:t>
                  </w:r>
                </w:p>
              </w:tc>
              <w:tc>
                <w:tcPr>
                  <w:tcW w:w="1269" w:type="pct"/>
                </w:tcPr>
                <w:p w14:paraId="107E2CC1">
                  <w:pPr>
                    <w:adjustRightInd w:val="0"/>
                    <w:snapToGrid w:val="0"/>
                    <w:jc w:val="center"/>
                    <w:rPr>
                      <w:szCs w:val="21"/>
                    </w:rPr>
                  </w:pPr>
                  <w:r>
                    <w:rPr>
                      <w:rFonts w:hint="eastAsia"/>
                      <w:szCs w:val="21"/>
                    </w:rPr>
                    <w:t>达标</w:t>
                  </w:r>
                </w:p>
              </w:tc>
            </w:tr>
          </w:tbl>
          <w:p w14:paraId="7E9A6690">
            <w:pPr>
              <w:adjustRightInd w:val="0"/>
              <w:snapToGrid w:val="0"/>
              <w:spacing w:line="360" w:lineRule="auto"/>
              <w:ind w:firstLine="482"/>
              <w:rPr>
                <w:rFonts w:cs="宋体"/>
                <w:sz w:val="24"/>
              </w:rPr>
            </w:pPr>
            <w:r>
              <w:rPr>
                <w:sz w:val="24"/>
              </w:rPr>
              <w:t>从统计结果看，三月三水库水质不能达到《地表水环境质量标准》（GB3838</w:t>
            </w:r>
            <w:r>
              <w:rPr>
                <w:rFonts w:hint="eastAsia" w:cs="宋体"/>
                <w:sz w:val="24"/>
              </w:rPr>
              <w:t>-2002）</w:t>
            </w:r>
            <w:r>
              <w:rPr>
                <w:rFonts w:hint="eastAsia" w:cs="宋体"/>
                <w:sz w:val="24"/>
              </w:rPr>
              <w:fldChar w:fldCharType="begin"/>
            </w:r>
            <w:r>
              <w:rPr>
                <w:rFonts w:hint="eastAsia" w:cs="宋体"/>
                <w:sz w:val="24"/>
              </w:rPr>
              <w:instrText xml:space="preserve"> = 3 \* ROMAN \* MERGEFORMAT </w:instrText>
            </w:r>
            <w:r>
              <w:rPr>
                <w:rFonts w:hint="eastAsia" w:cs="宋体"/>
                <w:sz w:val="24"/>
              </w:rPr>
              <w:fldChar w:fldCharType="separate"/>
            </w:r>
            <w:r>
              <w:rPr>
                <w:rFonts w:hint="eastAsia" w:cs="宋体"/>
                <w:sz w:val="24"/>
              </w:rPr>
              <w:t>III</w:t>
            </w:r>
            <w:r>
              <w:rPr>
                <w:rFonts w:hint="eastAsia" w:cs="宋体"/>
                <w:sz w:val="24"/>
              </w:rPr>
              <w:fldChar w:fldCharType="end"/>
            </w:r>
            <w:r>
              <w:rPr>
                <w:rFonts w:hint="eastAsia" w:cs="宋体"/>
                <w:sz w:val="24"/>
              </w:rPr>
              <w:t>类标准要求。超标污染物主要为总氮、总磷、CODcr；重金属砷、汞、镉、铬、铅及其他污染物监测浓度均较低，大部分低于检出限。</w:t>
            </w:r>
            <w:r>
              <w:rPr>
                <w:sz w:val="24"/>
              </w:rPr>
              <w:t>水质超</w:t>
            </w:r>
            <w:r>
              <w:rPr>
                <w:rFonts w:hint="eastAsia"/>
                <w:sz w:val="24"/>
              </w:rPr>
              <w:t>标主要原因为周边部分生活污水直接排入三月三水库，导致水库的水质超标。</w:t>
            </w:r>
          </w:p>
          <w:p w14:paraId="34B5564F">
            <w:pPr>
              <w:spacing w:line="360" w:lineRule="auto"/>
              <w:ind w:firstLine="480" w:firstLineChars="200"/>
              <w:rPr>
                <w:sz w:val="24"/>
              </w:rPr>
            </w:pPr>
            <w:r>
              <w:rPr>
                <w:rFonts w:hint="eastAsia"/>
                <w:sz w:val="24"/>
              </w:rPr>
              <w:t>根据《昆明市和滇中产业新区水功能区划》（2011-2030版），三月三水库至入牛栏江口为前进河寻甸农业用水区，现状水质为Ⅳ类，2030年水质目标为Ⅲ类，执行《地表水环境质量标准》（GB 3838-2002）Ⅲ类水质标准。根据“寻甸县2024年第一季度至第四季度环境质量公报”显示：前进河哦嘎电站断面水质达到《地表水环境质量标准》（GB3838-2002）Ⅲ类水质量标准，能够满足水质目标要求。</w:t>
            </w:r>
          </w:p>
          <w:p w14:paraId="306DD173">
            <w:pPr>
              <w:spacing w:line="360" w:lineRule="auto"/>
              <w:ind w:firstLine="482" w:firstLineChars="200"/>
              <w:rPr>
                <w:sz w:val="24"/>
              </w:rPr>
            </w:pPr>
            <w:r>
              <w:rPr>
                <w:rFonts w:hint="eastAsia"/>
                <w:b/>
                <w:bCs/>
                <w:sz w:val="24"/>
              </w:rPr>
              <w:t>3、声环境质量现状</w:t>
            </w:r>
          </w:p>
          <w:p w14:paraId="39B851D8">
            <w:pPr>
              <w:spacing w:line="360" w:lineRule="auto"/>
              <w:ind w:firstLine="480" w:firstLineChars="200"/>
              <w:rPr>
                <w:sz w:val="24"/>
              </w:rPr>
            </w:pPr>
            <w:r>
              <w:rPr>
                <w:rFonts w:hint="eastAsia"/>
                <w:sz w:val="24"/>
              </w:rPr>
              <w:t>本项目位于云南寻甸产业园区金所片区，根据园区环境保护规划，项目所在区域属于3类声环境功能区，因此评价区域执行《声环境质量标准》（GB3096-2008）3类标准。</w:t>
            </w:r>
          </w:p>
          <w:p w14:paraId="71200D7C">
            <w:pPr>
              <w:spacing w:line="360" w:lineRule="auto"/>
              <w:ind w:firstLine="480" w:firstLineChars="200"/>
              <w:rPr>
                <w:sz w:val="24"/>
              </w:rPr>
            </w:pPr>
            <w:r>
              <w:rPr>
                <w:rFonts w:hint="eastAsia"/>
                <w:sz w:val="24"/>
              </w:rPr>
              <w:t>根据《建设项目环境影响报告表编制技术指南》（污染影响类）（试行）要求，厂界外周边 50m 范围内存在声环境保护目标的，需开展现状监测。根据现场踏勘，项目厂界周边 50m 范围内无声环境保护目标，最近距离的居民距本项目东面约257m，无需开展声环境质量现状监测。</w:t>
            </w:r>
          </w:p>
          <w:p w14:paraId="7D94B930">
            <w:pPr>
              <w:spacing w:line="360" w:lineRule="auto"/>
              <w:ind w:firstLine="480" w:firstLineChars="200"/>
              <w:rPr>
                <w:sz w:val="24"/>
              </w:rPr>
            </w:pPr>
            <w:r>
              <w:rPr>
                <w:rFonts w:hint="eastAsia"/>
                <w:sz w:val="24"/>
              </w:rPr>
              <w:t>项目区周边无较大规模的工业企业，区域声环境质量良好。</w:t>
            </w:r>
          </w:p>
          <w:p w14:paraId="440E6B0A">
            <w:pPr>
              <w:spacing w:line="360" w:lineRule="auto"/>
              <w:ind w:firstLine="482" w:firstLineChars="200"/>
              <w:rPr>
                <w:b/>
                <w:bCs/>
                <w:sz w:val="24"/>
              </w:rPr>
            </w:pPr>
            <w:r>
              <w:rPr>
                <w:rFonts w:hint="eastAsia"/>
                <w:b/>
                <w:bCs/>
                <w:sz w:val="24"/>
              </w:rPr>
              <w:t>4、土壤、地下水环境质量现状</w:t>
            </w:r>
          </w:p>
          <w:p w14:paraId="2F2B519F">
            <w:pPr>
              <w:spacing w:line="360" w:lineRule="auto"/>
              <w:ind w:firstLine="480" w:firstLineChars="200"/>
              <w:rPr>
                <w:sz w:val="24"/>
              </w:rPr>
            </w:pPr>
            <w:r>
              <w:rPr>
                <w:rFonts w:hint="eastAsia"/>
                <w:sz w:val="24"/>
              </w:rPr>
              <w:t>本项目位于云南寻甸产业园区金所片区金所组团内，为一般工业固体废物综合利用项目。根据《建设项目环境影响报告表编制技术指南（污染影响类）》，原则上不开展土壤、地下水环境质量现状调查，</w:t>
            </w:r>
            <w:r>
              <w:rPr>
                <w:kern w:val="0"/>
                <w:sz w:val="24"/>
              </w:rPr>
              <w:t>建设项目存在土壤</w:t>
            </w:r>
            <w:r>
              <w:rPr>
                <w:rFonts w:hint="eastAsia"/>
                <w:sz w:val="24"/>
              </w:rPr>
              <w:t>、地下水</w:t>
            </w:r>
            <w:r>
              <w:rPr>
                <w:kern w:val="0"/>
                <w:sz w:val="24"/>
              </w:rPr>
              <w:t>环境污染途径的，应结合污染源、保护目标分布情况开展现状调查以留作背景值</w:t>
            </w:r>
            <w:r>
              <w:rPr>
                <w:rFonts w:hint="eastAsia"/>
                <w:kern w:val="0"/>
                <w:sz w:val="24"/>
              </w:rPr>
              <w:t>。</w:t>
            </w:r>
            <w:r>
              <w:rPr>
                <w:rFonts w:hint="eastAsia"/>
                <w:sz w:val="24"/>
              </w:rPr>
              <w:t>本项目厂区均进行硬化，且按照分区防渗的要求进行建设，项目不存在土壤、地下水环境污染途径，因此本项目可不开展土壤、地下水环境质量现状调查。</w:t>
            </w:r>
          </w:p>
          <w:p w14:paraId="6877F11C">
            <w:pPr>
              <w:adjustRightInd w:val="0"/>
              <w:snapToGrid w:val="0"/>
              <w:spacing w:line="360" w:lineRule="auto"/>
              <w:ind w:firstLine="482" w:firstLineChars="200"/>
              <w:rPr>
                <w:rFonts w:eastAsiaTheme="minorEastAsia"/>
                <w:b/>
                <w:bCs/>
                <w:sz w:val="24"/>
              </w:rPr>
            </w:pPr>
            <w:r>
              <w:rPr>
                <w:rFonts w:hint="eastAsia" w:eastAsiaTheme="minorEastAsia"/>
                <w:b/>
                <w:bCs/>
                <w:sz w:val="24"/>
              </w:rPr>
              <w:t>5、生态环境质量现状</w:t>
            </w:r>
          </w:p>
          <w:p w14:paraId="0790C07A">
            <w:pPr>
              <w:adjustRightInd w:val="0"/>
              <w:snapToGrid w:val="0"/>
              <w:spacing w:line="360" w:lineRule="auto"/>
              <w:ind w:firstLine="480" w:firstLineChars="200"/>
              <w:rPr>
                <w:rFonts w:eastAsiaTheme="minorEastAsia"/>
                <w:sz w:val="24"/>
              </w:rPr>
            </w:pPr>
            <w:r>
              <w:rPr>
                <w:rFonts w:hint="eastAsia" w:eastAsiaTheme="minorEastAsia"/>
                <w:sz w:val="24"/>
              </w:rPr>
              <w:t>项目所在区域为规划的工业园区，区域现状主要为水泥路面和人工绿化植被，无天然植被，生态环境自我调节能力低。调查范围内未涉及国家保护的珍贵野生动、植物。评价范围内无自然保护区、风景名胜区、森林公园、历史文化遗迹等需要特殊保护的生态敏感目标，无国家珍惜濒危保护物种、国家重点保护野生植物和云南省级重点野生保护动物，也没有特有种类存在。</w:t>
            </w:r>
          </w:p>
          <w:p w14:paraId="304A1A8C">
            <w:pPr>
              <w:adjustRightInd w:val="0"/>
              <w:snapToGrid w:val="0"/>
              <w:spacing w:line="360" w:lineRule="auto"/>
              <w:ind w:firstLine="480" w:firstLineChars="200"/>
              <w:rPr>
                <w:kern w:val="0"/>
                <w:szCs w:val="21"/>
              </w:rPr>
            </w:pPr>
            <w:r>
              <w:rPr>
                <w:rFonts w:hint="eastAsia" w:eastAsiaTheme="minorEastAsia"/>
                <w:sz w:val="24"/>
                <w:lang w:val="zh-CN"/>
              </w:rPr>
              <w:t>总体来说，评价区域地表植被覆盖率一般，野生动物种类及数量均较少，无珍稀动植物种分布，评价区域生态环境质量较差，自身调节能力差，主要受人为因素控制。</w:t>
            </w:r>
          </w:p>
        </w:tc>
      </w:tr>
      <w:tr w14:paraId="5F525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800" w:type="dxa"/>
            <w:vAlign w:val="center"/>
          </w:tcPr>
          <w:p w14:paraId="4D9EDFE5">
            <w:pPr>
              <w:adjustRightInd w:val="0"/>
              <w:snapToGrid w:val="0"/>
              <w:jc w:val="center"/>
              <w:rPr>
                <w:kern w:val="0"/>
                <w:sz w:val="24"/>
              </w:rPr>
            </w:pPr>
            <w:r>
              <w:rPr>
                <w:kern w:val="0"/>
                <w:sz w:val="24"/>
              </w:rPr>
              <w:t>环境</w:t>
            </w:r>
          </w:p>
          <w:p w14:paraId="1146E16D">
            <w:pPr>
              <w:adjustRightInd w:val="0"/>
              <w:snapToGrid w:val="0"/>
              <w:jc w:val="center"/>
              <w:rPr>
                <w:kern w:val="0"/>
                <w:sz w:val="24"/>
              </w:rPr>
            </w:pPr>
            <w:r>
              <w:rPr>
                <w:kern w:val="0"/>
                <w:sz w:val="24"/>
              </w:rPr>
              <w:t>保护</w:t>
            </w:r>
          </w:p>
          <w:p w14:paraId="31D6BB39">
            <w:pPr>
              <w:adjustRightInd w:val="0"/>
              <w:snapToGrid w:val="0"/>
              <w:jc w:val="center"/>
              <w:rPr>
                <w:kern w:val="0"/>
                <w:szCs w:val="21"/>
              </w:rPr>
            </w:pPr>
            <w:r>
              <w:rPr>
                <w:kern w:val="0"/>
                <w:sz w:val="24"/>
              </w:rPr>
              <w:t>目标</w:t>
            </w:r>
          </w:p>
        </w:tc>
        <w:tc>
          <w:tcPr>
            <w:tcW w:w="8190" w:type="dxa"/>
            <w:vAlign w:val="center"/>
          </w:tcPr>
          <w:p w14:paraId="7BA5B509">
            <w:pPr>
              <w:spacing w:line="360" w:lineRule="auto"/>
              <w:ind w:firstLine="480" w:firstLineChars="200"/>
              <w:rPr>
                <w:sz w:val="24"/>
                <w:szCs w:val="22"/>
              </w:rPr>
            </w:pPr>
            <w:r>
              <w:rPr>
                <w:sz w:val="24"/>
                <w:szCs w:val="22"/>
              </w:rPr>
              <w:t>大气环境保护目标：大气环境评价范围为厂界外500m范围；</w:t>
            </w:r>
          </w:p>
          <w:p w14:paraId="15AB49F4">
            <w:pPr>
              <w:tabs>
                <w:tab w:val="left" w:pos="4200"/>
              </w:tabs>
              <w:spacing w:line="360" w:lineRule="auto"/>
              <w:ind w:firstLine="480" w:firstLineChars="200"/>
            </w:pPr>
            <w:r>
              <w:rPr>
                <w:sz w:val="24"/>
                <w:szCs w:val="22"/>
              </w:rPr>
              <w:t>声环境保护目标：声环境评价范围为建设项目厂界外50m范围；</w:t>
            </w:r>
          </w:p>
          <w:p w14:paraId="74B13282">
            <w:pPr>
              <w:adjustRightInd w:val="0"/>
              <w:snapToGrid w:val="0"/>
              <w:spacing w:line="360" w:lineRule="auto"/>
              <w:ind w:firstLine="480" w:firstLineChars="200"/>
              <w:rPr>
                <w:kern w:val="0"/>
                <w:sz w:val="24"/>
              </w:rPr>
            </w:pPr>
            <w:r>
              <w:rPr>
                <w:rFonts w:hint="eastAsia"/>
                <w:sz w:val="24"/>
              </w:rPr>
              <w:t>地表水环境：</w:t>
            </w:r>
            <w:r>
              <w:rPr>
                <w:sz w:val="24"/>
              </w:rPr>
              <w:t>本项目所在区域主要地表水体为项目</w:t>
            </w:r>
            <w:r>
              <w:rPr>
                <w:rFonts w:hint="eastAsia"/>
                <w:sz w:val="24"/>
              </w:rPr>
              <w:t>北侧1200m</w:t>
            </w:r>
            <w:r>
              <w:rPr>
                <w:sz w:val="24"/>
              </w:rPr>
              <w:t>处的</w:t>
            </w:r>
            <w:r>
              <w:rPr>
                <w:rFonts w:hint="eastAsia"/>
                <w:sz w:val="24"/>
              </w:rPr>
              <w:t>谓所河</w:t>
            </w:r>
            <w:r>
              <w:rPr>
                <w:kern w:val="0"/>
                <w:sz w:val="24"/>
              </w:rPr>
              <w:t>。项目所在段不存在《环境影响评价技术导则地表水环境》（HJ2.3-2018）中的地表水环境保护目标（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kern w:val="0"/>
                <w:sz w:val="24"/>
              </w:rPr>
              <w:t>。</w:t>
            </w:r>
          </w:p>
          <w:p w14:paraId="673EC4E8">
            <w:pPr>
              <w:pStyle w:val="9"/>
              <w:snapToGrid w:val="0"/>
              <w:spacing w:after="0" w:line="360" w:lineRule="auto"/>
              <w:ind w:left="0" w:leftChars="0" w:firstLine="480" w:firstLineChars="200"/>
            </w:pPr>
            <w:r>
              <w:t>地下水环境：厂界外500m范围内无地下水集中式饮用水源和热水、矿泉水、温泉等特殊地下水敏感目标；</w:t>
            </w:r>
          </w:p>
          <w:p w14:paraId="4676F94D">
            <w:pPr>
              <w:pStyle w:val="9"/>
              <w:snapToGrid w:val="0"/>
              <w:spacing w:after="0" w:line="360" w:lineRule="auto"/>
              <w:ind w:left="0" w:leftChars="0" w:firstLine="480" w:firstLineChars="200"/>
            </w:pPr>
            <w:r>
              <w:t>生态环境：项目在工业园区内，不新增用地，无生态环境保护目标。</w:t>
            </w:r>
          </w:p>
          <w:p w14:paraId="556C65A4">
            <w:pPr>
              <w:pStyle w:val="9"/>
              <w:snapToGrid w:val="0"/>
              <w:spacing w:after="0" w:line="360" w:lineRule="auto"/>
              <w:ind w:left="0" w:leftChars="0" w:firstLine="480" w:firstLineChars="200"/>
            </w:pPr>
            <w:r>
              <w:t>主要环境保护目标详见表3-</w:t>
            </w:r>
            <w:r>
              <w:rPr>
                <w:rFonts w:hint="eastAsia"/>
              </w:rPr>
              <w:t>3</w:t>
            </w:r>
            <w:r>
              <w:t>：项目</w:t>
            </w:r>
            <w:r>
              <w:rPr>
                <w:rFonts w:hint="eastAsia"/>
              </w:rPr>
              <w:t>保护目标分布图</w:t>
            </w:r>
            <w:r>
              <w:t>详见附图</w:t>
            </w:r>
            <w:r>
              <w:rPr>
                <w:rFonts w:hint="eastAsia"/>
              </w:rPr>
              <w:t>4</w:t>
            </w:r>
            <w:r>
              <w:t>。</w:t>
            </w:r>
          </w:p>
          <w:p w14:paraId="1EF1FBB1">
            <w:pPr>
              <w:snapToGrid w:val="0"/>
              <w:jc w:val="center"/>
              <w:rPr>
                <w:b/>
                <w:szCs w:val="21"/>
              </w:rPr>
            </w:pPr>
            <w:r>
              <w:rPr>
                <w:b/>
                <w:szCs w:val="21"/>
              </w:rPr>
              <w:t>表3-</w:t>
            </w:r>
            <w:r>
              <w:rPr>
                <w:rFonts w:hint="eastAsia"/>
                <w:b/>
                <w:szCs w:val="21"/>
              </w:rPr>
              <w:t>3</w:t>
            </w:r>
            <w:r>
              <w:rPr>
                <w:b/>
                <w:szCs w:val="21"/>
              </w:rPr>
              <w:t xml:space="preserve">  项目周边环境保护目标一览表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715"/>
              <w:gridCol w:w="1385"/>
              <w:gridCol w:w="1131"/>
              <w:gridCol w:w="773"/>
              <w:gridCol w:w="471"/>
              <w:gridCol w:w="877"/>
              <w:gridCol w:w="1148"/>
              <w:gridCol w:w="1003"/>
            </w:tblGrid>
            <w:tr w14:paraId="2532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restart"/>
                  <w:tcBorders>
                    <w:top w:val="single" w:color="auto" w:sz="4" w:space="0"/>
                    <w:left w:val="single" w:color="auto" w:sz="4" w:space="0"/>
                    <w:right w:val="single" w:color="auto" w:sz="4" w:space="0"/>
                  </w:tcBorders>
                  <w:vAlign w:val="center"/>
                </w:tcPr>
                <w:p w14:paraId="59AEBE6B">
                  <w:pPr>
                    <w:autoSpaceDE w:val="0"/>
                    <w:autoSpaceDN w:val="0"/>
                    <w:contextualSpacing/>
                    <w:jc w:val="center"/>
                    <w:rPr>
                      <w:bCs/>
                      <w:szCs w:val="21"/>
                    </w:rPr>
                  </w:pPr>
                  <w:r>
                    <w:rPr>
                      <w:bCs/>
                      <w:spacing w:val="-10"/>
                      <w:szCs w:val="21"/>
                    </w:rPr>
                    <w:t>类别</w:t>
                  </w:r>
                </w:p>
              </w:tc>
              <w:tc>
                <w:tcPr>
                  <w:tcW w:w="715" w:type="dxa"/>
                  <w:vMerge w:val="restart"/>
                  <w:tcBorders>
                    <w:top w:val="single" w:color="auto" w:sz="4" w:space="0"/>
                    <w:left w:val="single" w:color="auto" w:sz="4" w:space="0"/>
                    <w:right w:val="single" w:color="auto" w:sz="4" w:space="0"/>
                  </w:tcBorders>
                  <w:vAlign w:val="center"/>
                </w:tcPr>
                <w:p w14:paraId="37CE8DEC">
                  <w:pPr>
                    <w:autoSpaceDE w:val="0"/>
                    <w:autoSpaceDN w:val="0"/>
                    <w:contextualSpacing/>
                    <w:jc w:val="center"/>
                    <w:rPr>
                      <w:bCs/>
                      <w:spacing w:val="-10"/>
                      <w:szCs w:val="21"/>
                    </w:rPr>
                  </w:pPr>
                  <w:r>
                    <w:rPr>
                      <w:bCs/>
                      <w:spacing w:val="-10"/>
                      <w:szCs w:val="21"/>
                    </w:rPr>
                    <w:t>保护</w:t>
                  </w:r>
                </w:p>
                <w:p w14:paraId="7C02E043">
                  <w:pPr>
                    <w:autoSpaceDE w:val="0"/>
                    <w:autoSpaceDN w:val="0"/>
                    <w:contextualSpacing/>
                    <w:jc w:val="center"/>
                    <w:rPr>
                      <w:bCs/>
                      <w:szCs w:val="21"/>
                    </w:rPr>
                  </w:pPr>
                  <w:r>
                    <w:rPr>
                      <w:bCs/>
                      <w:spacing w:val="-10"/>
                      <w:szCs w:val="21"/>
                    </w:rPr>
                    <w:t>目标</w:t>
                  </w:r>
                </w:p>
              </w:tc>
              <w:tc>
                <w:tcPr>
                  <w:tcW w:w="3289" w:type="dxa"/>
                  <w:gridSpan w:val="3"/>
                  <w:tcBorders>
                    <w:top w:val="single" w:color="auto" w:sz="4" w:space="0"/>
                    <w:left w:val="single" w:color="auto" w:sz="4" w:space="0"/>
                    <w:bottom w:val="single" w:color="auto" w:sz="4" w:space="0"/>
                    <w:right w:val="single" w:color="auto" w:sz="4" w:space="0"/>
                  </w:tcBorders>
                  <w:vAlign w:val="center"/>
                </w:tcPr>
                <w:p w14:paraId="2B287C94">
                  <w:pPr>
                    <w:autoSpaceDE w:val="0"/>
                    <w:autoSpaceDN w:val="0"/>
                    <w:contextualSpacing/>
                    <w:jc w:val="center"/>
                    <w:rPr>
                      <w:bCs/>
                      <w:spacing w:val="-10"/>
                      <w:szCs w:val="21"/>
                    </w:rPr>
                  </w:pPr>
                  <w:r>
                    <w:rPr>
                      <w:bCs/>
                      <w:spacing w:val="-10"/>
                      <w:szCs w:val="21"/>
                    </w:rPr>
                    <w:t>经纬度</w:t>
                  </w:r>
                </w:p>
              </w:tc>
              <w:tc>
                <w:tcPr>
                  <w:tcW w:w="471" w:type="dxa"/>
                  <w:vMerge w:val="restart"/>
                  <w:tcBorders>
                    <w:top w:val="single" w:color="auto" w:sz="4" w:space="0"/>
                    <w:left w:val="single" w:color="auto" w:sz="4" w:space="0"/>
                    <w:right w:val="single" w:color="auto" w:sz="4" w:space="0"/>
                  </w:tcBorders>
                  <w:vAlign w:val="center"/>
                </w:tcPr>
                <w:p w14:paraId="1BD4A6ED">
                  <w:pPr>
                    <w:autoSpaceDE w:val="0"/>
                    <w:autoSpaceDN w:val="0"/>
                    <w:contextualSpacing/>
                    <w:jc w:val="center"/>
                    <w:rPr>
                      <w:bCs/>
                      <w:spacing w:val="-10"/>
                      <w:szCs w:val="21"/>
                    </w:rPr>
                  </w:pPr>
                  <w:r>
                    <w:rPr>
                      <w:bCs/>
                      <w:spacing w:val="-10"/>
                      <w:szCs w:val="21"/>
                    </w:rPr>
                    <w:t>方位</w:t>
                  </w:r>
                </w:p>
              </w:tc>
              <w:tc>
                <w:tcPr>
                  <w:tcW w:w="877" w:type="dxa"/>
                  <w:vMerge w:val="restart"/>
                  <w:tcBorders>
                    <w:top w:val="single" w:color="auto" w:sz="4" w:space="0"/>
                    <w:left w:val="single" w:color="auto" w:sz="4" w:space="0"/>
                    <w:right w:val="single" w:color="auto" w:sz="4" w:space="0"/>
                  </w:tcBorders>
                  <w:vAlign w:val="center"/>
                </w:tcPr>
                <w:p w14:paraId="68EDF8A7">
                  <w:pPr>
                    <w:autoSpaceDE w:val="0"/>
                    <w:autoSpaceDN w:val="0"/>
                    <w:contextualSpacing/>
                    <w:jc w:val="center"/>
                    <w:rPr>
                      <w:bCs/>
                      <w:spacing w:val="-10"/>
                      <w:szCs w:val="21"/>
                    </w:rPr>
                  </w:pPr>
                  <w:r>
                    <w:rPr>
                      <w:bCs/>
                      <w:spacing w:val="-10"/>
                      <w:szCs w:val="21"/>
                    </w:rPr>
                    <w:t>与本项目的相对距离（m）</w:t>
                  </w:r>
                </w:p>
              </w:tc>
              <w:tc>
                <w:tcPr>
                  <w:tcW w:w="1148" w:type="dxa"/>
                  <w:vMerge w:val="restart"/>
                  <w:tcBorders>
                    <w:top w:val="single" w:color="auto" w:sz="4" w:space="0"/>
                    <w:left w:val="single" w:color="auto" w:sz="4" w:space="0"/>
                    <w:right w:val="single" w:color="auto" w:sz="4" w:space="0"/>
                  </w:tcBorders>
                  <w:vAlign w:val="center"/>
                </w:tcPr>
                <w:p w14:paraId="4ECBB514">
                  <w:pPr>
                    <w:autoSpaceDE w:val="0"/>
                    <w:autoSpaceDN w:val="0"/>
                    <w:contextualSpacing/>
                    <w:jc w:val="center"/>
                    <w:rPr>
                      <w:bCs/>
                      <w:szCs w:val="21"/>
                    </w:rPr>
                  </w:pPr>
                  <w:r>
                    <w:rPr>
                      <w:bCs/>
                      <w:szCs w:val="21"/>
                    </w:rPr>
                    <w:t>保护对象及人数（人）</w:t>
                  </w:r>
                </w:p>
              </w:tc>
              <w:tc>
                <w:tcPr>
                  <w:tcW w:w="1003" w:type="dxa"/>
                  <w:vMerge w:val="restart"/>
                  <w:tcBorders>
                    <w:top w:val="single" w:color="auto" w:sz="4" w:space="0"/>
                    <w:left w:val="single" w:color="auto" w:sz="4" w:space="0"/>
                    <w:right w:val="single" w:color="auto" w:sz="4" w:space="0"/>
                  </w:tcBorders>
                  <w:vAlign w:val="center"/>
                </w:tcPr>
                <w:p w14:paraId="3239E790">
                  <w:pPr>
                    <w:autoSpaceDE w:val="0"/>
                    <w:autoSpaceDN w:val="0"/>
                    <w:contextualSpacing/>
                    <w:jc w:val="center"/>
                    <w:rPr>
                      <w:bCs/>
                      <w:szCs w:val="21"/>
                    </w:rPr>
                  </w:pPr>
                  <w:r>
                    <w:rPr>
                      <w:bCs/>
                      <w:spacing w:val="-10"/>
                      <w:szCs w:val="21"/>
                    </w:rPr>
                    <w:t>保护级别</w:t>
                  </w:r>
                </w:p>
              </w:tc>
            </w:tr>
            <w:tr w14:paraId="73C1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continue"/>
                  <w:tcBorders>
                    <w:left w:val="single" w:color="auto" w:sz="4" w:space="0"/>
                    <w:bottom w:val="single" w:color="auto" w:sz="4" w:space="0"/>
                    <w:right w:val="single" w:color="auto" w:sz="4" w:space="0"/>
                  </w:tcBorders>
                  <w:vAlign w:val="center"/>
                </w:tcPr>
                <w:p w14:paraId="6DFA111A">
                  <w:pPr>
                    <w:autoSpaceDE w:val="0"/>
                    <w:autoSpaceDN w:val="0"/>
                    <w:contextualSpacing/>
                    <w:jc w:val="center"/>
                    <w:rPr>
                      <w:szCs w:val="21"/>
                    </w:rPr>
                  </w:pPr>
                </w:p>
              </w:tc>
              <w:tc>
                <w:tcPr>
                  <w:tcW w:w="715" w:type="dxa"/>
                  <w:vMerge w:val="continue"/>
                  <w:tcBorders>
                    <w:left w:val="single" w:color="auto" w:sz="4" w:space="0"/>
                    <w:bottom w:val="single" w:color="auto" w:sz="4" w:space="0"/>
                    <w:right w:val="single" w:color="auto" w:sz="4" w:space="0"/>
                  </w:tcBorders>
                  <w:vAlign w:val="center"/>
                </w:tcPr>
                <w:p w14:paraId="03D837C5">
                  <w:pPr>
                    <w:autoSpaceDE w:val="0"/>
                    <w:autoSpaceDN w:val="0"/>
                    <w:contextualSpacing/>
                    <w:jc w:val="center"/>
                    <w:rPr>
                      <w:szCs w:val="21"/>
                    </w:rPr>
                  </w:pPr>
                </w:p>
              </w:tc>
              <w:tc>
                <w:tcPr>
                  <w:tcW w:w="1385" w:type="dxa"/>
                  <w:tcBorders>
                    <w:top w:val="single" w:color="auto" w:sz="4" w:space="0"/>
                    <w:left w:val="single" w:color="auto" w:sz="4" w:space="0"/>
                    <w:bottom w:val="single" w:color="auto" w:sz="4" w:space="0"/>
                    <w:right w:val="single" w:color="auto" w:sz="4" w:space="0"/>
                  </w:tcBorders>
                  <w:vAlign w:val="center"/>
                </w:tcPr>
                <w:p w14:paraId="3B7C035F">
                  <w:pPr>
                    <w:autoSpaceDE w:val="0"/>
                    <w:autoSpaceDN w:val="0"/>
                    <w:contextualSpacing/>
                    <w:jc w:val="center"/>
                    <w:rPr>
                      <w:bCs/>
                      <w:spacing w:val="-10"/>
                      <w:szCs w:val="21"/>
                    </w:rPr>
                  </w:pPr>
                  <w:r>
                    <w:rPr>
                      <w:bCs/>
                      <w:spacing w:val="-10"/>
                      <w:szCs w:val="21"/>
                    </w:rPr>
                    <w:t>经度</w:t>
                  </w:r>
                  <w:r>
                    <w:rPr>
                      <w:rFonts w:hint="eastAsia"/>
                      <w:bCs/>
                      <w:spacing w:val="-10"/>
                      <w:szCs w:val="21"/>
                    </w:rPr>
                    <w:t>（</w:t>
                  </w:r>
                  <w:r>
                    <w:rPr>
                      <w:bCs/>
                      <w:spacing w:val="-10"/>
                      <w:szCs w:val="21"/>
                    </w:rPr>
                    <w:t>°</w:t>
                  </w:r>
                  <w:r>
                    <w:rPr>
                      <w:rFonts w:hint="eastAsia"/>
                      <w:bCs/>
                      <w:spacing w:val="-10"/>
                      <w:szCs w:val="21"/>
                    </w:rPr>
                    <w:t>）</w:t>
                  </w:r>
                </w:p>
              </w:tc>
              <w:tc>
                <w:tcPr>
                  <w:tcW w:w="1131" w:type="dxa"/>
                  <w:tcBorders>
                    <w:top w:val="single" w:color="auto" w:sz="4" w:space="0"/>
                    <w:left w:val="single" w:color="auto" w:sz="4" w:space="0"/>
                    <w:bottom w:val="single" w:color="auto" w:sz="4" w:space="0"/>
                    <w:right w:val="single" w:color="auto" w:sz="4" w:space="0"/>
                  </w:tcBorders>
                  <w:vAlign w:val="center"/>
                </w:tcPr>
                <w:p w14:paraId="0F1B4A79">
                  <w:pPr>
                    <w:autoSpaceDE w:val="0"/>
                    <w:autoSpaceDN w:val="0"/>
                    <w:contextualSpacing/>
                    <w:jc w:val="center"/>
                    <w:rPr>
                      <w:bCs/>
                      <w:spacing w:val="-10"/>
                      <w:szCs w:val="21"/>
                    </w:rPr>
                  </w:pPr>
                  <w:r>
                    <w:rPr>
                      <w:bCs/>
                      <w:spacing w:val="-10"/>
                      <w:szCs w:val="21"/>
                    </w:rPr>
                    <w:t>纬度</w:t>
                  </w:r>
                  <w:r>
                    <w:rPr>
                      <w:rFonts w:hint="eastAsia"/>
                      <w:bCs/>
                      <w:spacing w:val="-10"/>
                      <w:szCs w:val="21"/>
                    </w:rPr>
                    <w:t>（</w:t>
                  </w:r>
                  <w:r>
                    <w:rPr>
                      <w:bCs/>
                      <w:spacing w:val="-10"/>
                      <w:szCs w:val="21"/>
                    </w:rPr>
                    <w:t>°</w:t>
                  </w:r>
                  <w:r>
                    <w:rPr>
                      <w:rFonts w:hint="eastAsia"/>
                      <w:bCs/>
                      <w:spacing w:val="-10"/>
                      <w:szCs w:val="21"/>
                    </w:rPr>
                    <w:t>）</w:t>
                  </w:r>
                </w:p>
              </w:tc>
              <w:tc>
                <w:tcPr>
                  <w:tcW w:w="773" w:type="dxa"/>
                  <w:tcBorders>
                    <w:top w:val="single" w:color="auto" w:sz="4" w:space="0"/>
                    <w:left w:val="single" w:color="auto" w:sz="4" w:space="0"/>
                    <w:bottom w:val="single" w:color="auto" w:sz="4" w:space="0"/>
                    <w:right w:val="single" w:color="auto" w:sz="4" w:space="0"/>
                  </w:tcBorders>
                  <w:vAlign w:val="center"/>
                </w:tcPr>
                <w:p w14:paraId="2D354FAA">
                  <w:pPr>
                    <w:autoSpaceDE w:val="0"/>
                    <w:autoSpaceDN w:val="0"/>
                    <w:contextualSpacing/>
                    <w:jc w:val="center"/>
                    <w:rPr>
                      <w:bCs/>
                      <w:spacing w:val="-10"/>
                      <w:szCs w:val="21"/>
                    </w:rPr>
                  </w:pPr>
                  <w:r>
                    <w:rPr>
                      <w:bCs/>
                      <w:spacing w:val="-10"/>
                      <w:szCs w:val="21"/>
                    </w:rPr>
                    <w:t>高程(m)</w:t>
                  </w:r>
                </w:p>
              </w:tc>
              <w:tc>
                <w:tcPr>
                  <w:tcW w:w="471" w:type="dxa"/>
                  <w:vMerge w:val="continue"/>
                  <w:tcBorders>
                    <w:left w:val="single" w:color="auto" w:sz="4" w:space="0"/>
                    <w:bottom w:val="single" w:color="auto" w:sz="4" w:space="0"/>
                    <w:right w:val="single" w:color="auto" w:sz="4" w:space="0"/>
                  </w:tcBorders>
                  <w:vAlign w:val="center"/>
                </w:tcPr>
                <w:p w14:paraId="404EF4CF">
                  <w:pPr>
                    <w:autoSpaceDE w:val="0"/>
                    <w:autoSpaceDN w:val="0"/>
                    <w:contextualSpacing/>
                    <w:jc w:val="center"/>
                    <w:rPr>
                      <w:b/>
                      <w:spacing w:val="-10"/>
                      <w:szCs w:val="21"/>
                    </w:rPr>
                  </w:pPr>
                </w:p>
              </w:tc>
              <w:tc>
                <w:tcPr>
                  <w:tcW w:w="877" w:type="dxa"/>
                  <w:vMerge w:val="continue"/>
                  <w:tcBorders>
                    <w:left w:val="single" w:color="auto" w:sz="4" w:space="0"/>
                    <w:bottom w:val="single" w:color="auto" w:sz="4" w:space="0"/>
                    <w:right w:val="single" w:color="auto" w:sz="4" w:space="0"/>
                  </w:tcBorders>
                  <w:vAlign w:val="center"/>
                </w:tcPr>
                <w:p w14:paraId="15A7EAFC">
                  <w:pPr>
                    <w:autoSpaceDE w:val="0"/>
                    <w:autoSpaceDN w:val="0"/>
                    <w:contextualSpacing/>
                    <w:jc w:val="center"/>
                    <w:rPr>
                      <w:b/>
                      <w:spacing w:val="-10"/>
                      <w:szCs w:val="21"/>
                    </w:rPr>
                  </w:pPr>
                </w:p>
              </w:tc>
              <w:tc>
                <w:tcPr>
                  <w:tcW w:w="1148" w:type="dxa"/>
                  <w:vMerge w:val="continue"/>
                  <w:tcBorders>
                    <w:left w:val="single" w:color="auto" w:sz="4" w:space="0"/>
                    <w:bottom w:val="single" w:color="auto" w:sz="4" w:space="0"/>
                    <w:right w:val="single" w:color="auto" w:sz="4" w:space="0"/>
                  </w:tcBorders>
                  <w:vAlign w:val="center"/>
                </w:tcPr>
                <w:p w14:paraId="1DBB5E80">
                  <w:pPr>
                    <w:autoSpaceDE w:val="0"/>
                    <w:autoSpaceDN w:val="0"/>
                    <w:contextualSpacing/>
                    <w:jc w:val="center"/>
                    <w:rPr>
                      <w:b/>
                      <w:spacing w:val="-10"/>
                      <w:szCs w:val="21"/>
                    </w:rPr>
                  </w:pPr>
                </w:p>
              </w:tc>
              <w:tc>
                <w:tcPr>
                  <w:tcW w:w="1003" w:type="dxa"/>
                  <w:vMerge w:val="continue"/>
                  <w:tcBorders>
                    <w:left w:val="single" w:color="auto" w:sz="4" w:space="0"/>
                    <w:bottom w:val="single" w:color="auto" w:sz="4" w:space="0"/>
                    <w:right w:val="single" w:color="auto" w:sz="4" w:space="0"/>
                  </w:tcBorders>
                  <w:vAlign w:val="center"/>
                </w:tcPr>
                <w:p w14:paraId="3956D7FC">
                  <w:pPr>
                    <w:autoSpaceDE w:val="0"/>
                    <w:autoSpaceDN w:val="0"/>
                    <w:contextualSpacing/>
                    <w:jc w:val="center"/>
                    <w:rPr>
                      <w:b/>
                      <w:spacing w:val="-10"/>
                      <w:szCs w:val="21"/>
                    </w:rPr>
                  </w:pPr>
                </w:p>
              </w:tc>
            </w:tr>
            <w:tr w14:paraId="4D0F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restart"/>
                  <w:tcBorders>
                    <w:top w:val="single" w:color="auto" w:sz="4" w:space="0"/>
                    <w:left w:val="single" w:color="auto" w:sz="4" w:space="0"/>
                    <w:right w:val="single" w:color="auto" w:sz="4" w:space="0"/>
                  </w:tcBorders>
                  <w:vAlign w:val="center"/>
                </w:tcPr>
                <w:p w14:paraId="6690327D">
                  <w:pPr>
                    <w:autoSpaceDE w:val="0"/>
                    <w:autoSpaceDN w:val="0"/>
                    <w:contextualSpacing/>
                    <w:jc w:val="center"/>
                    <w:rPr>
                      <w:spacing w:val="-10"/>
                      <w:szCs w:val="21"/>
                    </w:rPr>
                  </w:pPr>
                  <w:r>
                    <w:rPr>
                      <w:spacing w:val="-10"/>
                      <w:szCs w:val="21"/>
                    </w:rPr>
                    <w:t>大气环境</w:t>
                  </w:r>
                </w:p>
              </w:tc>
              <w:tc>
                <w:tcPr>
                  <w:tcW w:w="715" w:type="dxa"/>
                  <w:tcBorders>
                    <w:top w:val="single" w:color="auto" w:sz="4" w:space="0"/>
                    <w:left w:val="single" w:color="auto" w:sz="4" w:space="0"/>
                    <w:bottom w:val="single" w:color="auto" w:sz="4" w:space="0"/>
                    <w:right w:val="single" w:color="auto" w:sz="4" w:space="0"/>
                  </w:tcBorders>
                  <w:vAlign w:val="center"/>
                </w:tcPr>
                <w:p w14:paraId="2D82029E">
                  <w:pPr>
                    <w:jc w:val="center"/>
                    <w:rPr>
                      <w:snapToGrid w:val="0"/>
                      <w:kern w:val="0"/>
                      <w:szCs w:val="21"/>
                    </w:rPr>
                  </w:pPr>
                  <w:r>
                    <w:rPr>
                      <w:rFonts w:hint="eastAsia"/>
                      <w:szCs w:val="21"/>
                    </w:rPr>
                    <w:t>散户1</w:t>
                  </w:r>
                </w:p>
              </w:tc>
              <w:tc>
                <w:tcPr>
                  <w:tcW w:w="1385" w:type="dxa"/>
                  <w:tcBorders>
                    <w:top w:val="single" w:color="auto" w:sz="4" w:space="0"/>
                    <w:left w:val="single" w:color="auto" w:sz="4" w:space="0"/>
                    <w:bottom w:val="single" w:color="auto" w:sz="4" w:space="0"/>
                    <w:right w:val="single" w:color="auto" w:sz="4" w:space="0"/>
                  </w:tcBorders>
                  <w:vAlign w:val="center"/>
                </w:tcPr>
                <w:p w14:paraId="3DC93B5E">
                  <w:pPr>
                    <w:jc w:val="center"/>
                    <w:rPr>
                      <w:szCs w:val="22"/>
                    </w:rPr>
                  </w:pPr>
                  <w:r>
                    <w:rPr>
                      <w:szCs w:val="21"/>
                    </w:rPr>
                    <w:t>10</w:t>
                  </w:r>
                  <w:r>
                    <w:rPr>
                      <w:rFonts w:hint="eastAsia"/>
                      <w:szCs w:val="21"/>
                    </w:rPr>
                    <w:t>3.112485</w:t>
                  </w:r>
                  <w:r>
                    <w:rPr>
                      <w:szCs w:val="21"/>
                    </w:rPr>
                    <w:t>E</w:t>
                  </w:r>
                </w:p>
              </w:tc>
              <w:tc>
                <w:tcPr>
                  <w:tcW w:w="1131" w:type="dxa"/>
                  <w:tcBorders>
                    <w:top w:val="single" w:color="auto" w:sz="4" w:space="0"/>
                    <w:left w:val="single" w:color="auto" w:sz="4" w:space="0"/>
                    <w:bottom w:val="single" w:color="auto" w:sz="4" w:space="0"/>
                    <w:right w:val="single" w:color="auto" w:sz="4" w:space="0"/>
                  </w:tcBorders>
                  <w:vAlign w:val="center"/>
                </w:tcPr>
                <w:p w14:paraId="0FA58FDB">
                  <w:pPr>
                    <w:jc w:val="center"/>
                    <w:rPr>
                      <w:snapToGrid w:val="0"/>
                      <w:kern w:val="0"/>
                      <w:szCs w:val="21"/>
                    </w:rPr>
                  </w:pPr>
                  <w:r>
                    <w:rPr>
                      <w:szCs w:val="21"/>
                    </w:rPr>
                    <w:t>2</w:t>
                  </w:r>
                  <w:r>
                    <w:rPr>
                      <w:rFonts w:hint="eastAsia"/>
                      <w:szCs w:val="21"/>
                    </w:rPr>
                    <w:t>5.3404</w:t>
                  </w:r>
                  <w:r>
                    <w:rPr>
                      <w:szCs w:val="21"/>
                    </w:rPr>
                    <w:t>N</w:t>
                  </w:r>
                </w:p>
              </w:tc>
              <w:tc>
                <w:tcPr>
                  <w:tcW w:w="773" w:type="dxa"/>
                  <w:tcBorders>
                    <w:top w:val="single" w:color="auto" w:sz="4" w:space="0"/>
                    <w:left w:val="single" w:color="auto" w:sz="4" w:space="0"/>
                    <w:bottom w:val="single" w:color="auto" w:sz="4" w:space="0"/>
                    <w:right w:val="single" w:color="auto" w:sz="4" w:space="0"/>
                  </w:tcBorders>
                  <w:vAlign w:val="center"/>
                </w:tcPr>
                <w:p w14:paraId="595ED117">
                  <w:pPr>
                    <w:jc w:val="center"/>
                    <w:rPr>
                      <w:snapToGrid w:val="0"/>
                      <w:kern w:val="0"/>
                      <w:szCs w:val="21"/>
                    </w:rPr>
                  </w:pPr>
                  <w:r>
                    <w:rPr>
                      <w:rFonts w:hint="eastAsia"/>
                      <w:snapToGrid w:val="0"/>
                      <w:kern w:val="0"/>
                      <w:szCs w:val="21"/>
                    </w:rPr>
                    <w:t>2012</w:t>
                  </w:r>
                </w:p>
              </w:tc>
              <w:tc>
                <w:tcPr>
                  <w:tcW w:w="471" w:type="dxa"/>
                  <w:tcBorders>
                    <w:top w:val="single" w:color="auto" w:sz="4" w:space="0"/>
                    <w:left w:val="single" w:color="auto" w:sz="4" w:space="0"/>
                    <w:bottom w:val="single" w:color="auto" w:sz="4" w:space="0"/>
                    <w:right w:val="single" w:color="auto" w:sz="4" w:space="0"/>
                  </w:tcBorders>
                  <w:vAlign w:val="center"/>
                </w:tcPr>
                <w:p w14:paraId="14BC3ED5">
                  <w:pPr>
                    <w:jc w:val="center"/>
                    <w:rPr>
                      <w:snapToGrid w:val="0"/>
                      <w:kern w:val="0"/>
                      <w:szCs w:val="21"/>
                    </w:rPr>
                  </w:pPr>
                  <w:r>
                    <w:rPr>
                      <w:rFonts w:hint="eastAsia"/>
                      <w:szCs w:val="21"/>
                    </w:rPr>
                    <w:t>西</w:t>
                  </w:r>
                  <w:r>
                    <w:rPr>
                      <w:szCs w:val="21"/>
                    </w:rPr>
                    <w:t>北面</w:t>
                  </w:r>
                </w:p>
              </w:tc>
              <w:tc>
                <w:tcPr>
                  <w:tcW w:w="877" w:type="dxa"/>
                  <w:tcBorders>
                    <w:top w:val="single" w:color="auto" w:sz="4" w:space="0"/>
                    <w:left w:val="single" w:color="auto" w:sz="4" w:space="0"/>
                    <w:bottom w:val="single" w:color="auto" w:sz="4" w:space="0"/>
                    <w:right w:val="single" w:color="auto" w:sz="4" w:space="0"/>
                  </w:tcBorders>
                  <w:vAlign w:val="center"/>
                </w:tcPr>
                <w:p w14:paraId="1CE67649">
                  <w:pPr>
                    <w:jc w:val="center"/>
                    <w:rPr>
                      <w:snapToGrid w:val="0"/>
                      <w:kern w:val="0"/>
                      <w:szCs w:val="21"/>
                    </w:rPr>
                  </w:pPr>
                  <w:r>
                    <w:rPr>
                      <w:rFonts w:hint="eastAsia"/>
                      <w:szCs w:val="21"/>
                    </w:rPr>
                    <w:t>330</w:t>
                  </w:r>
                </w:p>
              </w:tc>
              <w:tc>
                <w:tcPr>
                  <w:tcW w:w="1148" w:type="dxa"/>
                  <w:tcBorders>
                    <w:top w:val="single" w:color="auto" w:sz="4" w:space="0"/>
                    <w:left w:val="single" w:color="auto" w:sz="4" w:space="0"/>
                    <w:bottom w:val="single" w:color="auto" w:sz="4" w:space="0"/>
                    <w:right w:val="single" w:color="auto" w:sz="4" w:space="0"/>
                  </w:tcBorders>
                  <w:vAlign w:val="center"/>
                </w:tcPr>
                <w:p w14:paraId="279EE744">
                  <w:pPr>
                    <w:jc w:val="center"/>
                    <w:rPr>
                      <w:spacing w:val="-10"/>
                      <w:szCs w:val="21"/>
                    </w:rPr>
                  </w:pPr>
                  <w:r>
                    <w:rPr>
                      <w:szCs w:val="21"/>
                    </w:rPr>
                    <w:t>村民，约</w:t>
                  </w:r>
                  <w:r>
                    <w:rPr>
                      <w:rFonts w:hint="eastAsia"/>
                      <w:szCs w:val="21"/>
                    </w:rPr>
                    <w:t>2户7</w:t>
                  </w:r>
                  <w:r>
                    <w:rPr>
                      <w:szCs w:val="21"/>
                    </w:rPr>
                    <w:t>人</w:t>
                  </w:r>
                </w:p>
              </w:tc>
              <w:tc>
                <w:tcPr>
                  <w:tcW w:w="1003" w:type="dxa"/>
                  <w:vMerge w:val="restart"/>
                  <w:tcBorders>
                    <w:top w:val="single" w:color="auto" w:sz="4" w:space="0"/>
                    <w:left w:val="single" w:color="auto" w:sz="4" w:space="0"/>
                    <w:right w:val="single" w:color="auto" w:sz="4" w:space="0"/>
                  </w:tcBorders>
                  <w:vAlign w:val="center"/>
                </w:tcPr>
                <w:p w14:paraId="73B70B66">
                  <w:pPr>
                    <w:tabs>
                      <w:tab w:val="center" w:pos="4153"/>
                      <w:tab w:val="right" w:pos="8306"/>
                    </w:tabs>
                    <w:contextualSpacing/>
                    <w:jc w:val="center"/>
                    <w:rPr>
                      <w:szCs w:val="21"/>
                    </w:rPr>
                  </w:pPr>
                  <w:r>
                    <w:rPr>
                      <w:szCs w:val="21"/>
                    </w:rPr>
                    <w:t>GB3095-20</w:t>
                  </w:r>
                  <w:r>
                    <w:rPr>
                      <w:rFonts w:hint="eastAsia"/>
                      <w:szCs w:val="21"/>
                    </w:rPr>
                    <w:t>26</w:t>
                  </w:r>
                  <w:r>
                    <w:rPr>
                      <w:szCs w:val="21"/>
                    </w:rPr>
                    <w:t>《环境空气质量</w:t>
                  </w:r>
                </w:p>
                <w:p w14:paraId="374AF741">
                  <w:pPr>
                    <w:tabs>
                      <w:tab w:val="center" w:pos="4153"/>
                      <w:tab w:val="right" w:pos="8306"/>
                    </w:tabs>
                    <w:contextualSpacing/>
                    <w:jc w:val="center"/>
                    <w:rPr>
                      <w:szCs w:val="21"/>
                    </w:rPr>
                  </w:pPr>
                  <w:r>
                    <w:rPr>
                      <w:szCs w:val="21"/>
                    </w:rPr>
                    <w:t>标准》二级标准</w:t>
                  </w:r>
                </w:p>
              </w:tc>
            </w:tr>
            <w:tr w14:paraId="218D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continue"/>
                  <w:tcBorders>
                    <w:left w:val="single" w:color="auto" w:sz="4" w:space="0"/>
                    <w:right w:val="single" w:color="auto" w:sz="4" w:space="0"/>
                  </w:tcBorders>
                  <w:vAlign w:val="center"/>
                </w:tcPr>
                <w:p w14:paraId="2501F25F">
                  <w:pPr>
                    <w:autoSpaceDE w:val="0"/>
                    <w:autoSpaceDN w:val="0"/>
                    <w:contextualSpacing/>
                    <w:jc w:val="center"/>
                    <w:rPr>
                      <w:spacing w:val="-10"/>
                      <w:szCs w:val="21"/>
                    </w:rPr>
                  </w:pPr>
                </w:p>
              </w:tc>
              <w:tc>
                <w:tcPr>
                  <w:tcW w:w="715" w:type="dxa"/>
                  <w:tcBorders>
                    <w:top w:val="single" w:color="auto" w:sz="4" w:space="0"/>
                    <w:left w:val="single" w:color="auto" w:sz="4" w:space="0"/>
                    <w:bottom w:val="single" w:color="auto" w:sz="4" w:space="0"/>
                    <w:right w:val="single" w:color="auto" w:sz="4" w:space="0"/>
                  </w:tcBorders>
                  <w:vAlign w:val="center"/>
                </w:tcPr>
                <w:p w14:paraId="1AB0D640">
                  <w:pPr>
                    <w:jc w:val="center"/>
                    <w:rPr>
                      <w:szCs w:val="21"/>
                    </w:rPr>
                  </w:pPr>
                  <w:r>
                    <w:rPr>
                      <w:rFonts w:hint="eastAsia"/>
                      <w:szCs w:val="21"/>
                    </w:rPr>
                    <w:t>散户2</w:t>
                  </w:r>
                </w:p>
              </w:tc>
              <w:tc>
                <w:tcPr>
                  <w:tcW w:w="1385" w:type="dxa"/>
                  <w:tcBorders>
                    <w:top w:val="single" w:color="auto" w:sz="4" w:space="0"/>
                    <w:left w:val="single" w:color="auto" w:sz="4" w:space="0"/>
                    <w:bottom w:val="single" w:color="auto" w:sz="4" w:space="0"/>
                    <w:right w:val="single" w:color="auto" w:sz="4" w:space="0"/>
                  </w:tcBorders>
                  <w:vAlign w:val="center"/>
                </w:tcPr>
                <w:p w14:paraId="29C2E3E6">
                  <w:pPr>
                    <w:jc w:val="center"/>
                    <w:rPr>
                      <w:szCs w:val="21"/>
                    </w:rPr>
                  </w:pPr>
                  <w:r>
                    <w:rPr>
                      <w:szCs w:val="21"/>
                    </w:rPr>
                    <w:t>10</w:t>
                  </w:r>
                  <w:r>
                    <w:rPr>
                      <w:rFonts w:hint="eastAsia"/>
                      <w:szCs w:val="21"/>
                    </w:rPr>
                    <w:t>3.113970</w:t>
                  </w:r>
                  <w:r>
                    <w:rPr>
                      <w:szCs w:val="21"/>
                    </w:rPr>
                    <w:t>E</w:t>
                  </w:r>
                </w:p>
              </w:tc>
              <w:tc>
                <w:tcPr>
                  <w:tcW w:w="1131" w:type="dxa"/>
                  <w:tcBorders>
                    <w:top w:val="single" w:color="auto" w:sz="4" w:space="0"/>
                    <w:left w:val="single" w:color="auto" w:sz="4" w:space="0"/>
                    <w:bottom w:val="single" w:color="auto" w:sz="4" w:space="0"/>
                    <w:right w:val="single" w:color="auto" w:sz="4" w:space="0"/>
                  </w:tcBorders>
                  <w:vAlign w:val="center"/>
                </w:tcPr>
                <w:p w14:paraId="1BFCC493">
                  <w:pPr>
                    <w:jc w:val="center"/>
                    <w:rPr>
                      <w:szCs w:val="21"/>
                    </w:rPr>
                  </w:pPr>
                  <w:r>
                    <w:rPr>
                      <w:szCs w:val="21"/>
                    </w:rPr>
                    <w:t>2</w:t>
                  </w:r>
                  <w:r>
                    <w:rPr>
                      <w:rFonts w:hint="eastAsia"/>
                      <w:szCs w:val="21"/>
                    </w:rPr>
                    <w:t>5.3349</w:t>
                  </w:r>
                  <w:r>
                    <w:rPr>
                      <w:szCs w:val="21"/>
                    </w:rPr>
                    <w:t>N</w:t>
                  </w:r>
                </w:p>
              </w:tc>
              <w:tc>
                <w:tcPr>
                  <w:tcW w:w="773" w:type="dxa"/>
                  <w:tcBorders>
                    <w:top w:val="single" w:color="auto" w:sz="4" w:space="0"/>
                    <w:left w:val="single" w:color="auto" w:sz="4" w:space="0"/>
                    <w:bottom w:val="single" w:color="auto" w:sz="4" w:space="0"/>
                    <w:right w:val="single" w:color="auto" w:sz="4" w:space="0"/>
                  </w:tcBorders>
                  <w:vAlign w:val="center"/>
                </w:tcPr>
                <w:p w14:paraId="42B0CA5C">
                  <w:pPr>
                    <w:jc w:val="center"/>
                    <w:rPr>
                      <w:snapToGrid w:val="0"/>
                      <w:kern w:val="0"/>
                      <w:szCs w:val="21"/>
                    </w:rPr>
                  </w:pPr>
                  <w:r>
                    <w:rPr>
                      <w:rFonts w:hint="eastAsia"/>
                      <w:snapToGrid w:val="0"/>
                      <w:kern w:val="0"/>
                      <w:szCs w:val="21"/>
                    </w:rPr>
                    <w:t>2036</w:t>
                  </w:r>
                </w:p>
              </w:tc>
              <w:tc>
                <w:tcPr>
                  <w:tcW w:w="471" w:type="dxa"/>
                  <w:tcBorders>
                    <w:top w:val="single" w:color="auto" w:sz="4" w:space="0"/>
                    <w:left w:val="single" w:color="auto" w:sz="4" w:space="0"/>
                    <w:bottom w:val="single" w:color="auto" w:sz="4" w:space="0"/>
                    <w:right w:val="single" w:color="auto" w:sz="4" w:space="0"/>
                  </w:tcBorders>
                  <w:vAlign w:val="center"/>
                </w:tcPr>
                <w:p w14:paraId="627194FB">
                  <w:pPr>
                    <w:jc w:val="center"/>
                    <w:rPr>
                      <w:szCs w:val="21"/>
                    </w:rPr>
                  </w:pPr>
                  <w:r>
                    <w:rPr>
                      <w:rFonts w:hint="eastAsia"/>
                      <w:szCs w:val="21"/>
                    </w:rPr>
                    <w:t>东</w:t>
                  </w:r>
                  <w:r>
                    <w:rPr>
                      <w:szCs w:val="21"/>
                    </w:rPr>
                    <w:t>面</w:t>
                  </w:r>
                </w:p>
              </w:tc>
              <w:tc>
                <w:tcPr>
                  <w:tcW w:w="877" w:type="dxa"/>
                  <w:tcBorders>
                    <w:top w:val="single" w:color="auto" w:sz="4" w:space="0"/>
                    <w:left w:val="single" w:color="auto" w:sz="4" w:space="0"/>
                    <w:bottom w:val="single" w:color="auto" w:sz="4" w:space="0"/>
                    <w:right w:val="single" w:color="auto" w:sz="4" w:space="0"/>
                  </w:tcBorders>
                  <w:vAlign w:val="center"/>
                </w:tcPr>
                <w:p w14:paraId="2A582589">
                  <w:pPr>
                    <w:jc w:val="center"/>
                    <w:rPr>
                      <w:szCs w:val="21"/>
                    </w:rPr>
                  </w:pPr>
                  <w:r>
                    <w:rPr>
                      <w:rFonts w:hint="eastAsia"/>
                      <w:szCs w:val="21"/>
                    </w:rPr>
                    <w:t>257</w:t>
                  </w:r>
                </w:p>
              </w:tc>
              <w:tc>
                <w:tcPr>
                  <w:tcW w:w="1148" w:type="dxa"/>
                  <w:tcBorders>
                    <w:top w:val="single" w:color="auto" w:sz="4" w:space="0"/>
                    <w:left w:val="single" w:color="auto" w:sz="4" w:space="0"/>
                    <w:bottom w:val="single" w:color="auto" w:sz="4" w:space="0"/>
                    <w:right w:val="single" w:color="auto" w:sz="4" w:space="0"/>
                  </w:tcBorders>
                  <w:vAlign w:val="center"/>
                </w:tcPr>
                <w:p w14:paraId="44A8F4C5">
                  <w:pPr>
                    <w:jc w:val="center"/>
                    <w:rPr>
                      <w:szCs w:val="21"/>
                    </w:rPr>
                  </w:pPr>
                  <w:r>
                    <w:rPr>
                      <w:szCs w:val="21"/>
                    </w:rPr>
                    <w:t>村民，约</w:t>
                  </w:r>
                  <w:r>
                    <w:rPr>
                      <w:rFonts w:hint="eastAsia"/>
                      <w:szCs w:val="21"/>
                    </w:rPr>
                    <w:t>2户7</w:t>
                  </w:r>
                  <w:r>
                    <w:rPr>
                      <w:szCs w:val="21"/>
                    </w:rPr>
                    <w:t>人</w:t>
                  </w:r>
                </w:p>
              </w:tc>
              <w:tc>
                <w:tcPr>
                  <w:tcW w:w="1003" w:type="dxa"/>
                  <w:vMerge w:val="continue"/>
                  <w:tcBorders>
                    <w:left w:val="single" w:color="auto" w:sz="4" w:space="0"/>
                    <w:right w:val="single" w:color="auto" w:sz="4" w:space="0"/>
                  </w:tcBorders>
                  <w:vAlign w:val="center"/>
                </w:tcPr>
                <w:p w14:paraId="3403070F">
                  <w:pPr>
                    <w:tabs>
                      <w:tab w:val="center" w:pos="4153"/>
                      <w:tab w:val="right" w:pos="8306"/>
                    </w:tabs>
                    <w:contextualSpacing/>
                    <w:jc w:val="center"/>
                    <w:rPr>
                      <w:szCs w:val="21"/>
                    </w:rPr>
                  </w:pPr>
                </w:p>
              </w:tc>
            </w:tr>
            <w:tr w14:paraId="55E5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continue"/>
                  <w:tcBorders>
                    <w:left w:val="single" w:color="auto" w:sz="4" w:space="0"/>
                    <w:right w:val="single" w:color="auto" w:sz="4" w:space="0"/>
                  </w:tcBorders>
                  <w:vAlign w:val="center"/>
                </w:tcPr>
                <w:p w14:paraId="6E37B4A6">
                  <w:pPr>
                    <w:autoSpaceDE w:val="0"/>
                    <w:autoSpaceDN w:val="0"/>
                    <w:contextualSpacing/>
                    <w:jc w:val="center"/>
                    <w:rPr>
                      <w:spacing w:val="-10"/>
                      <w:szCs w:val="21"/>
                    </w:rPr>
                  </w:pPr>
                </w:p>
              </w:tc>
              <w:tc>
                <w:tcPr>
                  <w:tcW w:w="715" w:type="dxa"/>
                  <w:tcBorders>
                    <w:top w:val="single" w:color="auto" w:sz="4" w:space="0"/>
                    <w:left w:val="single" w:color="auto" w:sz="4" w:space="0"/>
                    <w:bottom w:val="single" w:color="auto" w:sz="4" w:space="0"/>
                    <w:right w:val="single" w:color="auto" w:sz="4" w:space="0"/>
                  </w:tcBorders>
                  <w:vAlign w:val="center"/>
                </w:tcPr>
                <w:p w14:paraId="439D3334">
                  <w:pPr>
                    <w:jc w:val="center"/>
                    <w:rPr>
                      <w:snapToGrid w:val="0"/>
                      <w:kern w:val="0"/>
                      <w:szCs w:val="21"/>
                    </w:rPr>
                  </w:pPr>
                  <w:r>
                    <w:rPr>
                      <w:rFonts w:hint="eastAsia"/>
                      <w:szCs w:val="21"/>
                    </w:rPr>
                    <w:t>竹沟</w:t>
                  </w:r>
                  <w:r>
                    <w:rPr>
                      <w:szCs w:val="21"/>
                    </w:rPr>
                    <w:t>村</w:t>
                  </w:r>
                </w:p>
              </w:tc>
              <w:tc>
                <w:tcPr>
                  <w:tcW w:w="1385" w:type="dxa"/>
                  <w:tcBorders>
                    <w:top w:val="single" w:color="auto" w:sz="4" w:space="0"/>
                    <w:left w:val="single" w:color="auto" w:sz="4" w:space="0"/>
                    <w:bottom w:val="single" w:color="auto" w:sz="4" w:space="0"/>
                    <w:right w:val="single" w:color="auto" w:sz="4" w:space="0"/>
                  </w:tcBorders>
                  <w:vAlign w:val="center"/>
                </w:tcPr>
                <w:p w14:paraId="5D2F7D9C">
                  <w:pPr>
                    <w:jc w:val="center"/>
                    <w:rPr>
                      <w:szCs w:val="22"/>
                    </w:rPr>
                  </w:pPr>
                  <w:r>
                    <w:rPr>
                      <w:szCs w:val="21"/>
                    </w:rPr>
                    <w:t>10</w:t>
                  </w:r>
                  <w:r>
                    <w:rPr>
                      <w:rFonts w:hint="eastAsia"/>
                      <w:szCs w:val="21"/>
                    </w:rPr>
                    <w:t>3.113325</w:t>
                  </w:r>
                  <w:r>
                    <w:rPr>
                      <w:szCs w:val="21"/>
                    </w:rPr>
                    <w:t>E</w:t>
                  </w:r>
                </w:p>
              </w:tc>
              <w:tc>
                <w:tcPr>
                  <w:tcW w:w="1131" w:type="dxa"/>
                  <w:tcBorders>
                    <w:top w:val="single" w:color="auto" w:sz="4" w:space="0"/>
                    <w:left w:val="single" w:color="auto" w:sz="4" w:space="0"/>
                    <w:bottom w:val="single" w:color="auto" w:sz="4" w:space="0"/>
                    <w:right w:val="single" w:color="auto" w:sz="4" w:space="0"/>
                  </w:tcBorders>
                  <w:vAlign w:val="center"/>
                </w:tcPr>
                <w:p w14:paraId="3BCCB22C">
                  <w:pPr>
                    <w:jc w:val="center"/>
                    <w:rPr>
                      <w:snapToGrid w:val="0"/>
                      <w:kern w:val="0"/>
                      <w:szCs w:val="21"/>
                    </w:rPr>
                  </w:pPr>
                  <w:r>
                    <w:rPr>
                      <w:rFonts w:hint="eastAsia"/>
                      <w:szCs w:val="21"/>
                    </w:rPr>
                    <w:t>25.3407</w:t>
                  </w:r>
                  <w:r>
                    <w:rPr>
                      <w:szCs w:val="21"/>
                    </w:rPr>
                    <w:t>N</w:t>
                  </w:r>
                </w:p>
              </w:tc>
              <w:tc>
                <w:tcPr>
                  <w:tcW w:w="773" w:type="dxa"/>
                  <w:tcBorders>
                    <w:top w:val="single" w:color="auto" w:sz="4" w:space="0"/>
                    <w:left w:val="single" w:color="auto" w:sz="4" w:space="0"/>
                    <w:bottom w:val="single" w:color="auto" w:sz="4" w:space="0"/>
                    <w:right w:val="single" w:color="auto" w:sz="4" w:space="0"/>
                  </w:tcBorders>
                  <w:vAlign w:val="center"/>
                </w:tcPr>
                <w:p w14:paraId="70FD6EE5">
                  <w:pPr>
                    <w:jc w:val="center"/>
                    <w:rPr>
                      <w:snapToGrid w:val="0"/>
                      <w:kern w:val="0"/>
                      <w:szCs w:val="21"/>
                    </w:rPr>
                  </w:pPr>
                  <w:r>
                    <w:rPr>
                      <w:rFonts w:hint="eastAsia"/>
                      <w:snapToGrid w:val="0"/>
                      <w:kern w:val="0"/>
                      <w:szCs w:val="21"/>
                    </w:rPr>
                    <w:t>2014</w:t>
                  </w:r>
                </w:p>
              </w:tc>
              <w:tc>
                <w:tcPr>
                  <w:tcW w:w="471" w:type="dxa"/>
                  <w:tcBorders>
                    <w:top w:val="single" w:color="auto" w:sz="4" w:space="0"/>
                    <w:left w:val="single" w:color="auto" w:sz="4" w:space="0"/>
                    <w:bottom w:val="single" w:color="auto" w:sz="4" w:space="0"/>
                    <w:right w:val="single" w:color="auto" w:sz="4" w:space="0"/>
                  </w:tcBorders>
                  <w:vAlign w:val="center"/>
                </w:tcPr>
                <w:p w14:paraId="0B47CAD5">
                  <w:pPr>
                    <w:jc w:val="center"/>
                    <w:rPr>
                      <w:snapToGrid w:val="0"/>
                      <w:kern w:val="0"/>
                      <w:szCs w:val="21"/>
                    </w:rPr>
                  </w:pPr>
                  <w:r>
                    <w:rPr>
                      <w:rFonts w:hint="eastAsia"/>
                      <w:szCs w:val="21"/>
                    </w:rPr>
                    <w:t>北</w:t>
                  </w:r>
                  <w:r>
                    <w:rPr>
                      <w:szCs w:val="21"/>
                    </w:rPr>
                    <w:t>面</w:t>
                  </w:r>
                </w:p>
              </w:tc>
              <w:tc>
                <w:tcPr>
                  <w:tcW w:w="877" w:type="dxa"/>
                  <w:tcBorders>
                    <w:top w:val="single" w:color="auto" w:sz="4" w:space="0"/>
                    <w:left w:val="single" w:color="auto" w:sz="4" w:space="0"/>
                    <w:bottom w:val="single" w:color="auto" w:sz="4" w:space="0"/>
                    <w:right w:val="single" w:color="auto" w:sz="4" w:space="0"/>
                  </w:tcBorders>
                  <w:vAlign w:val="center"/>
                </w:tcPr>
                <w:p w14:paraId="2595C029">
                  <w:pPr>
                    <w:jc w:val="center"/>
                    <w:rPr>
                      <w:snapToGrid w:val="0"/>
                      <w:kern w:val="0"/>
                      <w:szCs w:val="21"/>
                    </w:rPr>
                  </w:pPr>
                  <w:r>
                    <w:rPr>
                      <w:rFonts w:hint="eastAsia"/>
                      <w:szCs w:val="21"/>
                    </w:rPr>
                    <w:t>430</w:t>
                  </w:r>
                </w:p>
              </w:tc>
              <w:tc>
                <w:tcPr>
                  <w:tcW w:w="1148" w:type="dxa"/>
                  <w:tcBorders>
                    <w:top w:val="single" w:color="auto" w:sz="4" w:space="0"/>
                    <w:left w:val="single" w:color="auto" w:sz="4" w:space="0"/>
                    <w:bottom w:val="single" w:color="auto" w:sz="4" w:space="0"/>
                    <w:right w:val="single" w:color="auto" w:sz="4" w:space="0"/>
                  </w:tcBorders>
                  <w:vAlign w:val="center"/>
                </w:tcPr>
                <w:p w14:paraId="51E9D4B5">
                  <w:pPr>
                    <w:jc w:val="center"/>
                    <w:rPr>
                      <w:spacing w:val="-10"/>
                      <w:szCs w:val="21"/>
                    </w:rPr>
                  </w:pPr>
                  <w:r>
                    <w:rPr>
                      <w:szCs w:val="21"/>
                    </w:rPr>
                    <w:t>村民，约300人</w:t>
                  </w:r>
                </w:p>
              </w:tc>
              <w:tc>
                <w:tcPr>
                  <w:tcW w:w="1003" w:type="dxa"/>
                  <w:vMerge w:val="continue"/>
                  <w:tcBorders>
                    <w:left w:val="single" w:color="auto" w:sz="4" w:space="0"/>
                    <w:right w:val="single" w:color="auto" w:sz="4" w:space="0"/>
                  </w:tcBorders>
                  <w:vAlign w:val="center"/>
                </w:tcPr>
                <w:p w14:paraId="75ED6C5D">
                  <w:pPr>
                    <w:tabs>
                      <w:tab w:val="center" w:pos="4153"/>
                      <w:tab w:val="right" w:pos="8306"/>
                    </w:tabs>
                    <w:contextualSpacing/>
                    <w:jc w:val="center"/>
                    <w:rPr>
                      <w:szCs w:val="21"/>
                    </w:rPr>
                  </w:pPr>
                </w:p>
              </w:tc>
            </w:tr>
            <w:tr w14:paraId="2ECF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tcBorders>
                    <w:left w:val="single" w:color="auto" w:sz="4" w:space="0"/>
                    <w:right w:val="single" w:color="auto" w:sz="4" w:space="0"/>
                  </w:tcBorders>
                  <w:vAlign w:val="center"/>
                </w:tcPr>
                <w:p w14:paraId="2B534EDD">
                  <w:pPr>
                    <w:autoSpaceDE w:val="0"/>
                    <w:autoSpaceDN w:val="0"/>
                    <w:contextualSpacing/>
                    <w:jc w:val="center"/>
                    <w:rPr>
                      <w:spacing w:val="-10"/>
                      <w:szCs w:val="21"/>
                    </w:rPr>
                  </w:pPr>
                  <w:r>
                    <w:rPr>
                      <w:rFonts w:hint="eastAsia"/>
                      <w:spacing w:val="-10"/>
                      <w:szCs w:val="21"/>
                    </w:rPr>
                    <w:t>地表水</w:t>
                  </w:r>
                </w:p>
              </w:tc>
              <w:tc>
                <w:tcPr>
                  <w:tcW w:w="715" w:type="dxa"/>
                  <w:tcBorders>
                    <w:top w:val="single" w:color="auto" w:sz="4" w:space="0"/>
                    <w:left w:val="single" w:color="auto" w:sz="4" w:space="0"/>
                    <w:bottom w:val="single" w:color="auto" w:sz="4" w:space="0"/>
                    <w:right w:val="single" w:color="auto" w:sz="4" w:space="0"/>
                  </w:tcBorders>
                  <w:vAlign w:val="center"/>
                </w:tcPr>
                <w:p w14:paraId="50755D50">
                  <w:pPr>
                    <w:contextualSpacing/>
                    <w:jc w:val="center"/>
                    <w:rPr>
                      <w:snapToGrid w:val="0"/>
                      <w:kern w:val="0"/>
                      <w:szCs w:val="21"/>
                    </w:rPr>
                  </w:pPr>
                  <w:r>
                    <w:rPr>
                      <w:rFonts w:hint="eastAsia"/>
                      <w:snapToGrid w:val="0"/>
                      <w:kern w:val="0"/>
                      <w:szCs w:val="21"/>
                    </w:rPr>
                    <w:t>谓所河</w:t>
                  </w:r>
                </w:p>
              </w:tc>
              <w:tc>
                <w:tcPr>
                  <w:tcW w:w="1385" w:type="dxa"/>
                  <w:tcBorders>
                    <w:top w:val="single" w:color="auto" w:sz="4" w:space="0"/>
                    <w:left w:val="single" w:color="auto" w:sz="4" w:space="0"/>
                    <w:bottom w:val="single" w:color="auto" w:sz="4" w:space="0"/>
                    <w:right w:val="single" w:color="auto" w:sz="4" w:space="0"/>
                  </w:tcBorders>
                  <w:vAlign w:val="center"/>
                </w:tcPr>
                <w:p w14:paraId="0C3374CC">
                  <w:pPr>
                    <w:pStyle w:val="19"/>
                    <w:spacing w:before="0" w:beforeAutospacing="0" w:after="0" w:afterAutospacing="0"/>
                    <w:jc w:val="center"/>
                    <w:rPr>
                      <w:rFonts w:ascii="Times New Roman" w:hAnsi="Times New Roman"/>
                      <w:kern w:val="2"/>
                      <w:sz w:val="21"/>
                      <w:szCs w:val="22"/>
                    </w:rPr>
                  </w:pPr>
                  <w:r>
                    <w:rPr>
                      <w:rFonts w:hint="eastAsia" w:ascii="Times New Roman" w:hAnsi="Times New Roman"/>
                      <w:kern w:val="2"/>
                      <w:sz w:val="21"/>
                      <w:szCs w:val="22"/>
                    </w:rPr>
                    <w:t>/</w:t>
                  </w:r>
                </w:p>
              </w:tc>
              <w:tc>
                <w:tcPr>
                  <w:tcW w:w="1131" w:type="dxa"/>
                  <w:tcBorders>
                    <w:top w:val="single" w:color="auto" w:sz="4" w:space="0"/>
                    <w:left w:val="single" w:color="auto" w:sz="4" w:space="0"/>
                    <w:bottom w:val="single" w:color="auto" w:sz="4" w:space="0"/>
                    <w:right w:val="single" w:color="auto" w:sz="4" w:space="0"/>
                  </w:tcBorders>
                  <w:vAlign w:val="center"/>
                </w:tcPr>
                <w:p w14:paraId="34D3B994">
                  <w:pPr>
                    <w:contextualSpacing/>
                    <w:jc w:val="center"/>
                    <w:rPr>
                      <w:snapToGrid w:val="0"/>
                      <w:kern w:val="0"/>
                      <w:szCs w:val="21"/>
                    </w:rPr>
                  </w:pPr>
                  <w:r>
                    <w:rPr>
                      <w:rFonts w:hint="eastAsia"/>
                      <w:snapToGrid w:val="0"/>
                      <w:kern w:val="0"/>
                      <w:szCs w:val="21"/>
                    </w:rPr>
                    <w:t>/</w:t>
                  </w:r>
                </w:p>
              </w:tc>
              <w:tc>
                <w:tcPr>
                  <w:tcW w:w="773" w:type="dxa"/>
                  <w:tcBorders>
                    <w:top w:val="single" w:color="auto" w:sz="4" w:space="0"/>
                    <w:left w:val="single" w:color="auto" w:sz="4" w:space="0"/>
                    <w:bottom w:val="single" w:color="auto" w:sz="4" w:space="0"/>
                    <w:right w:val="single" w:color="auto" w:sz="4" w:space="0"/>
                  </w:tcBorders>
                  <w:vAlign w:val="center"/>
                </w:tcPr>
                <w:p w14:paraId="679F7231">
                  <w:pPr>
                    <w:contextualSpacing/>
                    <w:jc w:val="center"/>
                    <w:rPr>
                      <w:snapToGrid w:val="0"/>
                      <w:kern w:val="0"/>
                      <w:szCs w:val="21"/>
                    </w:rPr>
                  </w:pPr>
                  <w:r>
                    <w:rPr>
                      <w:rFonts w:hint="eastAsia"/>
                      <w:snapToGrid w:val="0"/>
                      <w:kern w:val="0"/>
                      <w:szCs w:val="21"/>
                    </w:rPr>
                    <w:t>2004</w:t>
                  </w:r>
                </w:p>
              </w:tc>
              <w:tc>
                <w:tcPr>
                  <w:tcW w:w="471" w:type="dxa"/>
                  <w:tcBorders>
                    <w:top w:val="single" w:color="auto" w:sz="4" w:space="0"/>
                    <w:left w:val="single" w:color="auto" w:sz="4" w:space="0"/>
                    <w:bottom w:val="single" w:color="auto" w:sz="4" w:space="0"/>
                    <w:right w:val="single" w:color="auto" w:sz="4" w:space="0"/>
                  </w:tcBorders>
                  <w:vAlign w:val="center"/>
                </w:tcPr>
                <w:p w14:paraId="1F03673C">
                  <w:pPr>
                    <w:contextualSpacing/>
                    <w:jc w:val="center"/>
                    <w:rPr>
                      <w:snapToGrid w:val="0"/>
                      <w:kern w:val="0"/>
                      <w:szCs w:val="21"/>
                    </w:rPr>
                  </w:pPr>
                  <w:r>
                    <w:rPr>
                      <w:rFonts w:hint="eastAsia"/>
                      <w:snapToGrid w:val="0"/>
                      <w:kern w:val="0"/>
                      <w:szCs w:val="21"/>
                    </w:rPr>
                    <w:t>北</w:t>
                  </w:r>
                </w:p>
              </w:tc>
              <w:tc>
                <w:tcPr>
                  <w:tcW w:w="877" w:type="dxa"/>
                  <w:tcBorders>
                    <w:top w:val="single" w:color="auto" w:sz="4" w:space="0"/>
                    <w:left w:val="single" w:color="auto" w:sz="4" w:space="0"/>
                    <w:bottom w:val="single" w:color="auto" w:sz="4" w:space="0"/>
                    <w:right w:val="single" w:color="auto" w:sz="4" w:space="0"/>
                  </w:tcBorders>
                  <w:vAlign w:val="center"/>
                </w:tcPr>
                <w:p w14:paraId="52C34064">
                  <w:pPr>
                    <w:contextualSpacing/>
                    <w:jc w:val="center"/>
                    <w:rPr>
                      <w:snapToGrid w:val="0"/>
                      <w:kern w:val="0"/>
                      <w:szCs w:val="21"/>
                    </w:rPr>
                  </w:pPr>
                  <w:r>
                    <w:rPr>
                      <w:rFonts w:hint="eastAsia"/>
                      <w:snapToGrid w:val="0"/>
                      <w:kern w:val="0"/>
                      <w:szCs w:val="21"/>
                    </w:rPr>
                    <w:t>1200</w:t>
                  </w:r>
                </w:p>
              </w:tc>
              <w:tc>
                <w:tcPr>
                  <w:tcW w:w="1148" w:type="dxa"/>
                  <w:tcBorders>
                    <w:top w:val="single" w:color="auto" w:sz="4" w:space="0"/>
                    <w:left w:val="single" w:color="auto" w:sz="4" w:space="0"/>
                    <w:bottom w:val="single" w:color="auto" w:sz="4" w:space="0"/>
                    <w:right w:val="single" w:color="auto" w:sz="4" w:space="0"/>
                  </w:tcBorders>
                  <w:vAlign w:val="center"/>
                </w:tcPr>
                <w:p w14:paraId="07CDD3D4">
                  <w:pPr>
                    <w:autoSpaceDE w:val="0"/>
                    <w:autoSpaceDN w:val="0"/>
                    <w:contextualSpacing/>
                    <w:jc w:val="center"/>
                    <w:rPr>
                      <w:spacing w:val="-10"/>
                      <w:szCs w:val="21"/>
                    </w:rPr>
                  </w:pPr>
                  <w:r>
                    <w:rPr>
                      <w:rFonts w:hint="eastAsia"/>
                      <w:spacing w:val="-10"/>
                      <w:szCs w:val="21"/>
                    </w:rPr>
                    <w:t>主要功能为农业用水</w:t>
                  </w:r>
                </w:p>
              </w:tc>
              <w:tc>
                <w:tcPr>
                  <w:tcW w:w="1003" w:type="dxa"/>
                  <w:tcBorders>
                    <w:left w:val="single" w:color="auto" w:sz="4" w:space="0"/>
                    <w:right w:val="single" w:color="auto" w:sz="4" w:space="0"/>
                  </w:tcBorders>
                  <w:vAlign w:val="center"/>
                </w:tcPr>
                <w:p w14:paraId="2245A09A">
                  <w:pPr>
                    <w:tabs>
                      <w:tab w:val="center" w:pos="4153"/>
                      <w:tab w:val="right" w:pos="8306"/>
                    </w:tabs>
                    <w:contextualSpacing/>
                    <w:jc w:val="center"/>
                    <w:rPr>
                      <w:szCs w:val="21"/>
                    </w:rPr>
                  </w:pPr>
                  <w:r>
                    <w:rPr>
                      <w:szCs w:val="21"/>
                    </w:rPr>
                    <w:t>《地表水环境质量标准》（GB3838-2002）中的Ⅲ类水质</w:t>
                  </w:r>
                </w:p>
              </w:tc>
            </w:tr>
            <w:tr w14:paraId="2297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tcBorders>
                    <w:left w:val="single" w:color="auto" w:sz="4" w:space="0"/>
                    <w:right w:val="single" w:color="auto" w:sz="4" w:space="0"/>
                  </w:tcBorders>
                  <w:vAlign w:val="center"/>
                </w:tcPr>
                <w:p w14:paraId="7CE71807">
                  <w:pPr>
                    <w:autoSpaceDE w:val="0"/>
                    <w:autoSpaceDN w:val="0"/>
                    <w:contextualSpacing/>
                    <w:jc w:val="center"/>
                    <w:rPr>
                      <w:spacing w:val="-10"/>
                      <w:szCs w:val="21"/>
                    </w:rPr>
                  </w:pPr>
                  <w:r>
                    <w:rPr>
                      <w:rFonts w:hint="eastAsia"/>
                      <w:spacing w:val="-10"/>
                      <w:szCs w:val="21"/>
                    </w:rPr>
                    <w:t>地下水</w:t>
                  </w:r>
                </w:p>
              </w:tc>
              <w:tc>
                <w:tcPr>
                  <w:tcW w:w="7503" w:type="dxa"/>
                  <w:gridSpan w:val="8"/>
                  <w:tcBorders>
                    <w:top w:val="single" w:color="auto" w:sz="4" w:space="0"/>
                    <w:left w:val="single" w:color="auto" w:sz="4" w:space="0"/>
                    <w:bottom w:val="single" w:color="auto" w:sz="4" w:space="0"/>
                    <w:right w:val="single" w:color="auto" w:sz="4" w:space="0"/>
                  </w:tcBorders>
                  <w:vAlign w:val="center"/>
                </w:tcPr>
                <w:p w14:paraId="3BB3BB37">
                  <w:pPr>
                    <w:tabs>
                      <w:tab w:val="center" w:pos="4153"/>
                      <w:tab w:val="right" w:pos="8306"/>
                    </w:tabs>
                    <w:contextualSpacing/>
                    <w:jc w:val="center"/>
                    <w:rPr>
                      <w:szCs w:val="21"/>
                    </w:rPr>
                  </w:pPr>
                  <w:r>
                    <w:rPr>
                      <w:rFonts w:hint="eastAsia"/>
                      <w:spacing w:val="-10"/>
                      <w:szCs w:val="21"/>
                    </w:rPr>
                    <w:t>厂界外500m范围内无地下水集中式饮用水源和热水、矿泉水、温泉等特殊地下水敏感目标</w:t>
                  </w:r>
                </w:p>
              </w:tc>
            </w:tr>
          </w:tbl>
          <w:p w14:paraId="09385453">
            <w:pPr>
              <w:adjustRightInd w:val="0"/>
              <w:snapToGrid w:val="0"/>
              <w:jc w:val="center"/>
              <w:rPr>
                <w:rFonts w:hint="eastAsia"/>
                <w:kern w:val="0"/>
                <w:szCs w:val="21"/>
              </w:rPr>
            </w:pPr>
          </w:p>
          <w:p w14:paraId="447CB7DB">
            <w:pPr>
              <w:adjustRightInd w:val="0"/>
              <w:snapToGrid w:val="0"/>
              <w:jc w:val="center"/>
              <w:rPr>
                <w:rFonts w:hint="eastAsia"/>
                <w:kern w:val="0"/>
                <w:szCs w:val="21"/>
              </w:rPr>
            </w:pPr>
          </w:p>
          <w:p w14:paraId="6C7246B7">
            <w:pPr>
              <w:adjustRightInd w:val="0"/>
              <w:snapToGrid w:val="0"/>
              <w:jc w:val="center"/>
              <w:rPr>
                <w:rFonts w:hint="eastAsia"/>
                <w:kern w:val="0"/>
                <w:szCs w:val="21"/>
              </w:rPr>
            </w:pPr>
          </w:p>
          <w:p w14:paraId="481EF9BC">
            <w:pPr>
              <w:adjustRightInd w:val="0"/>
              <w:snapToGrid w:val="0"/>
              <w:jc w:val="center"/>
              <w:rPr>
                <w:rFonts w:hint="eastAsia"/>
                <w:kern w:val="0"/>
                <w:szCs w:val="21"/>
              </w:rPr>
            </w:pPr>
          </w:p>
          <w:p w14:paraId="498689FA">
            <w:pPr>
              <w:adjustRightInd w:val="0"/>
              <w:snapToGrid w:val="0"/>
              <w:jc w:val="center"/>
              <w:rPr>
                <w:kern w:val="0"/>
                <w:szCs w:val="21"/>
              </w:rPr>
            </w:pPr>
          </w:p>
        </w:tc>
      </w:tr>
      <w:tr w14:paraId="572D3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800" w:type="dxa"/>
            <w:tcMar>
              <w:left w:w="28" w:type="dxa"/>
              <w:right w:w="28" w:type="dxa"/>
            </w:tcMar>
            <w:vAlign w:val="center"/>
          </w:tcPr>
          <w:p w14:paraId="451881D0">
            <w:pPr>
              <w:adjustRightInd w:val="0"/>
              <w:snapToGrid w:val="0"/>
              <w:jc w:val="center"/>
              <w:rPr>
                <w:kern w:val="0"/>
                <w:sz w:val="24"/>
              </w:rPr>
            </w:pPr>
            <w:r>
              <w:rPr>
                <w:kern w:val="0"/>
                <w:sz w:val="24"/>
              </w:rPr>
              <w:t>污染</w:t>
            </w:r>
          </w:p>
          <w:p w14:paraId="61EC705D">
            <w:pPr>
              <w:adjustRightInd w:val="0"/>
              <w:snapToGrid w:val="0"/>
              <w:jc w:val="center"/>
              <w:rPr>
                <w:kern w:val="0"/>
                <w:sz w:val="24"/>
              </w:rPr>
            </w:pPr>
            <w:r>
              <w:rPr>
                <w:kern w:val="0"/>
                <w:sz w:val="24"/>
              </w:rPr>
              <w:t>物排</w:t>
            </w:r>
          </w:p>
          <w:p w14:paraId="0E0701C9">
            <w:pPr>
              <w:adjustRightInd w:val="0"/>
              <w:snapToGrid w:val="0"/>
              <w:jc w:val="center"/>
              <w:rPr>
                <w:kern w:val="0"/>
                <w:sz w:val="24"/>
              </w:rPr>
            </w:pPr>
            <w:r>
              <w:rPr>
                <w:kern w:val="0"/>
                <w:sz w:val="24"/>
              </w:rPr>
              <w:t>放控</w:t>
            </w:r>
          </w:p>
          <w:p w14:paraId="666CFB0F">
            <w:pPr>
              <w:adjustRightInd w:val="0"/>
              <w:snapToGrid w:val="0"/>
              <w:jc w:val="center"/>
              <w:rPr>
                <w:kern w:val="0"/>
                <w:sz w:val="24"/>
              </w:rPr>
            </w:pPr>
            <w:r>
              <w:rPr>
                <w:kern w:val="0"/>
                <w:sz w:val="24"/>
              </w:rPr>
              <w:t>制标</w:t>
            </w:r>
          </w:p>
          <w:p w14:paraId="491BAD5B">
            <w:pPr>
              <w:adjustRightInd w:val="0"/>
              <w:snapToGrid w:val="0"/>
              <w:jc w:val="center"/>
              <w:rPr>
                <w:kern w:val="0"/>
                <w:szCs w:val="21"/>
              </w:rPr>
            </w:pPr>
            <w:r>
              <w:rPr>
                <w:kern w:val="0"/>
                <w:sz w:val="24"/>
              </w:rPr>
              <w:t>准</w:t>
            </w:r>
          </w:p>
        </w:tc>
        <w:tc>
          <w:tcPr>
            <w:tcW w:w="8190" w:type="dxa"/>
            <w:vAlign w:val="center"/>
          </w:tcPr>
          <w:p w14:paraId="5294B9AE">
            <w:pPr>
              <w:adjustRightInd w:val="0"/>
              <w:snapToGrid w:val="0"/>
              <w:spacing w:line="360" w:lineRule="auto"/>
              <w:jc w:val="left"/>
              <w:rPr>
                <w:b/>
                <w:sz w:val="24"/>
                <w:lang w:val="zh-CN"/>
              </w:rPr>
            </w:pPr>
            <w:r>
              <w:rPr>
                <w:b/>
                <w:sz w:val="24"/>
                <w:lang w:val="zh-CN"/>
              </w:rPr>
              <w:t>施工期</w:t>
            </w:r>
            <w:r>
              <w:rPr>
                <w:b/>
                <w:sz w:val="24"/>
              </w:rPr>
              <w:t>污染物排放标准：</w:t>
            </w:r>
          </w:p>
          <w:p w14:paraId="1CB4D88E">
            <w:pPr>
              <w:adjustRightInd w:val="0"/>
              <w:snapToGrid w:val="0"/>
              <w:spacing w:line="360" w:lineRule="auto"/>
              <w:ind w:firstLine="482" w:firstLineChars="200"/>
              <w:rPr>
                <w:b/>
                <w:sz w:val="24"/>
              </w:rPr>
            </w:pPr>
            <w:r>
              <w:rPr>
                <w:b/>
                <w:sz w:val="24"/>
              </w:rPr>
              <w:t>1、大气污染物排放标准</w:t>
            </w:r>
          </w:p>
          <w:p w14:paraId="2932BC43">
            <w:pPr>
              <w:adjustRightInd w:val="0"/>
              <w:snapToGrid w:val="0"/>
              <w:spacing w:line="360" w:lineRule="auto"/>
              <w:ind w:firstLine="480" w:firstLineChars="200"/>
              <w:jc w:val="left"/>
              <w:rPr>
                <w:sz w:val="24"/>
              </w:rPr>
            </w:pPr>
            <w:r>
              <w:rPr>
                <w:sz w:val="24"/>
              </w:rPr>
              <w:t>施工期粉尘排放执行《大气污染物综合排放标准》（GB16297-1996）中的二级标准，标准限值见表3-</w:t>
            </w:r>
            <w:r>
              <w:rPr>
                <w:rFonts w:hint="eastAsia"/>
                <w:sz w:val="24"/>
              </w:rPr>
              <w:t>4</w:t>
            </w:r>
            <w:r>
              <w:rPr>
                <w:sz w:val="24"/>
              </w:rPr>
              <w:t>。</w:t>
            </w:r>
          </w:p>
          <w:p w14:paraId="51A9035E">
            <w:pPr>
              <w:adjustRightInd w:val="0"/>
              <w:snapToGrid w:val="0"/>
              <w:jc w:val="center"/>
              <w:rPr>
                <w:b/>
              </w:rPr>
            </w:pPr>
            <w:r>
              <w:rPr>
                <w:b/>
              </w:rPr>
              <w:t>表3-</w:t>
            </w:r>
            <w:r>
              <w:rPr>
                <w:rFonts w:hint="eastAsia"/>
                <w:b/>
              </w:rPr>
              <w:t>4</w:t>
            </w:r>
            <w:r>
              <w:rPr>
                <w:b/>
              </w:rPr>
              <w:t xml:space="preserve">   大气污染物综合排放标准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5811"/>
            </w:tblGrid>
            <w:tr w14:paraId="31AF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1810EAE2">
                  <w:pPr>
                    <w:snapToGrid w:val="0"/>
                    <w:jc w:val="center"/>
                    <w:rPr>
                      <w:bCs/>
                    </w:rPr>
                  </w:pPr>
                  <w:r>
                    <w:rPr>
                      <w:bCs/>
                    </w:rPr>
                    <w:t>污染物</w:t>
                  </w:r>
                </w:p>
              </w:tc>
              <w:tc>
                <w:tcPr>
                  <w:tcW w:w="6012" w:type="dxa"/>
                  <w:tcBorders>
                    <w:top w:val="single" w:color="auto" w:sz="4" w:space="0"/>
                    <w:left w:val="single" w:color="auto" w:sz="4" w:space="0"/>
                    <w:right w:val="single" w:color="auto" w:sz="4" w:space="0"/>
                  </w:tcBorders>
                  <w:vAlign w:val="center"/>
                </w:tcPr>
                <w:p w14:paraId="128675FD">
                  <w:pPr>
                    <w:snapToGrid w:val="0"/>
                    <w:jc w:val="center"/>
                    <w:rPr>
                      <w:bCs/>
                    </w:rPr>
                  </w:pPr>
                  <w:r>
                    <w:rPr>
                      <w:bCs/>
                    </w:rPr>
                    <w:t>无组织排放监控浓度限值（mg/m</w:t>
                  </w:r>
                  <w:r>
                    <w:rPr>
                      <w:bCs/>
                      <w:vertAlign w:val="superscript"/>
                    </w:rPr>
                    <w:t>3</w:t>
                  </w:r>
                  <w:r>
                    <w:rPr>
                      <w:bCs/>
                    </w:rPr>
                    <w:t>）</w:t>
                  </w:r>
                </w:p>
              </w:tc>
            </w:tr>
            <w:tr w14:paraId="025D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48EA7981">
                  <w:pPr>
                    <w:snapToGrid w:val="0"/>
                    <w:jc w:val="center"/>
                  </w:pPr>
                  <w:r>
                    <w:t>颗粒物</w:t>
                  </w:r>
                </w:p>
              </w:tc>
              <w:tc>
                <w:tcPr>
                  <w:tcW w:w="6012" w:type="dxa"/>
                  <w:tcBorders>
                    <w:top w:val="single" w:color="auto" w:sz="4" w:space="0"/>
                    <w:left w:val="single" w:color="auto" w:sz="4" w:space="0"/>
                    <w:bottom w:val="single" w:color="auto" w:sz="4" w:space="0"/>
                    <w:right w:val="single" w:color="auto" w:sz="4" w:space="0"/>
                  </w:tcBorders>
                  <w:vAlign w:val="center"/>
                </w:tcPr>
                <w:p w14:paraId="140EA020">
                  <w:pPr>
                    <w:snapToGrid w:val="0"/>
                    <w:jc w:val="center"/>
                  </w:pPr>
                  <w:r>
                    <w:t>1.0</w:t>
                  </w:r>
                </w:p>
              </w:tc>
            </w:tr>
          </w:tbl>
          <w:p w14:paraId="139067E1">
            <w:pPr>
              <w:snapToGrid w:val="0"/>
              <w:spacing w:before="120" w:beforeLines="50" w:line="360" w:lineRule="auto"/>
              <w:ind w:firstLine="482" w:firstLineChars="200"/>
              <w:rPr>
                <w:b/>
                <w:sz w:val="24"/>
              </w:rPr>
            </w:pPr>
            <w:r>
              <w:rPr>
                <w:b/>
                <w:sz w:val="24"/>
              </w:rPr>
              <w:t>2、</w:t>
            </w:r>
            <w:bookmarkStart w:id="26" w:name="_Toc7851"/>
            <w:r>
              <w:rPr>
                <w:b/>
                <w:sz w:val="24"/>
              </w:rPr>
              <w:t>噪声</w:t>
            </w:r>
            <w:bookmarkEnd w:id="26"/>
            <w:r>
              <w:rPr>
                <w:b/>
                <w:sz w:val="24"/>
              </w:rPr>
              <w:t>排放标准</w:t>
            </w:r>
          </w:p>
          <w:p w14:paraId="5EFD1177">
            <w:pPr>
              <w:snapToGrid w:val="0"/>
              <w:spacing w:line="360" w:lineRule="auto"/>
              <w:ind w:firstLine="480" w:firstLineChars="200"/>
              <w:rPr>
                <w:sz w:val="24"/>
              </w:rPr>
            </w:pPr>
            <w:r>
              <w:rPr>
                <w:sz w:val="24"/>
              </w:rPr>
              <w:t>项目施工期噪声排放执行《建筑施工噪声排放标准》（GB12523-20</w:t>
            </w:r>
            <w:r>
              <w:rPr>
                <w:rFonts w:hint="eastAsia"/>
                <w:sz w:val="24"/>
              </w:rPr>
              <w:t>25</w:t>
            </w:r>
            <w:r>
              <w:rPr>
                <w:sz w:val="24"/>
              </w:rPr>
              <w:t>）标准，标准限值见表3-</w:t>
            </w:r>
            <w:r>
              <w:rPr>
                <w:rFonts w:hint="eastAsia"/>
                <w:sz w:val="24"/>
              </w:rPr>
              <w:t>5</w:t>
            </w:r>
            <w:r>
              <w:rPr>
                <w:sz w:val="24"/>
              </w:rPr>
              <w:t>。</w:t>
            </w:r>
          </w:p>
          <w:p w14:paraId="0CA5ECAD">
            <w:pPr>
              <w:snapToGrid w:val="0"/>
              <w:jc w:val="center"/>
              <w:rPr>
                <w:b/>
              </w:rPr>
            </w:pPr>
            <w:r>
              <w:rPr>
                <w:b/>
              </w:rPr>
              <w:t>表3-</w:t>
            </w:r>
            <w:r>
              <w:rPr>
                <w:rFonts w:hint="eastAsia"/>
                <w:b/>
              </w:rPr>
              <w:t>5</w:t>
            </w:r>
            <w:r>
              <w:rPr>
                <w:b/>
              </w:rPr>
              <w:t xml:space="preserve">   建筑施工噪声排放限值  单位：dB（A）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7"/>
              <w:gridCol w:w="4117"/>
            </w:tblGrid>
            <w:tr w14:paraId="676E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977" w:type="dxa"/>
                  <w:tcBorders>
                    <w:top w:val="single" w:color="auto" w:sz="4" w:space="0"/>
                    <w:left w:val="single" w:color="auto" w:sz="4" w:space="0"/>
                    <w:bottom w:val="single" w:color="auto" w:sz="4" w:space="0"/>
                    <w:right w:val="single" w:color="auto" w:sz="4" w:space="0"/>
                  </w:tcBorders>
                  <w:vAlign w:val="center"/>
                </w:tcPr>
                <w:p w14:paraId="517730C0">
                  <w:pPr>
                    <w:snapToGrid w:val="0"/>
                    <w:jc w:val="center"/>
                    <w:rPr>
                      <w:bCs/>
                    </w:rPr>
                  </w:pPr>
                  <w:r>
                    <w:rPr>
                      <w:bCs/>
                    </w:rPr>
                    <w:t>昼间</w:t>
                  </w:r>
                </w:p>
              </w:tc>
              <w:tc>
                <w:tcPr>
                  <w:tcW w:w="4257" w:type="dxa"/>
                  <w:tcBorders>
                    <w:top w:val="single" w:color="auto" w:sz="4" w:space="0"/>
                    <w:left w:val="single" w:color="auto" w:sz="4" w:space="0"/>
                    <w:bottom w:val="single" w:color="auto" w:sz="4" w:space="0"/>
                    <w:right w:val="single" w:color="auto" w:sz="4" w:space="0"/>
                  </w:tcBorders>
                  <w:vAlign w:val="center"/>
                </w:tcPr>
                <w:p w14:paraId="018D1202">
                  <w:pPr>
                    <w:snapToGrid w:val="0"/>
                    <w:jc w:val="center"/>
                    <w:rPr>
                      <w:bCs/>
                    </w:rPr>
                  </w:pPr>
                  <w:r>
                    <w:rPr>
                      <w:bCs/>
                    </w:rPr>
                    <w:t>夜间</w:t>
                  </w:r>
                </w:p>
              </w:tc>
            </w:tr>
            <w:tr w14:paraId="267C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977" w:type="dxa"/>
                  <w:tcBorders>
                    <w:top w:val="single" w:color="auto" w:sz="4" w:space="0"/>
                    <w:left w:val="single" w:color="auto" w:sz="4" w:space="0"/>
                    <w:bottom w:val="single" w:color="auto" w:sz="4" w:space="0"/>
                    <w:right w:val="single" w:color="auto" w:sz="4" w:space="0"/>
                  </w:tcBorders>
                  <w:vAlign w:val="center"/>
                </w:tcPr>
                <w:p w14:paraId="4B21BFC1">
                  <w:pPr>
                    <w:snapToGrid w:val="0"/>
                    <w:jc w:val="center"/>
                  </w:pPr>
                  <w:r>
                    <w:t>70</w:t>
                  </w:r>
                </w:p>
              </w:tc>
              <w:tc>
                <w:tcPr>
                  <w:tcW w:w="4257" w:type="dxa"/>
                  <w:tcBorders>
                    <w:top w:val="single" w:color="auto" w:sz="4" w:space="0"/>
                    <w:left w:val="single" w:color="auto" w:sz="4" w:space="0"/>
                    <w:bottom w:val="single" w:color="auto" w:sz="4" w:space="0"/>
                    <w:right w:val="single" w:color="auto" w:sz="4" w:space="0"/>
                  </w:tcBorders>
                  <w:vAlign w:val="center"/>
                </w:tcPr>
                <w:p w14:paraId="3FD149DC">
                  <w:pPr>
                    <w:snapToGrid w:val="0"/>
                    <w:jc w:val="center"/>
                  </w:pPr>
                  <w:r>
                    <w:t>55</w:t>
                  </w:r>
                </w:p>
              </w:tc>
            </w:tr>
          </w:tbl>
          <w:p w14:paraId="633C25B4">
            <w:pPr>
              <w:snapToGrid w:val="0"/>
              <w:spacing w:before="120" w:beforeLines="50" w:line="360" w:lineRule="auto"/>
              <w:ind w:firstLine="482" w:firstLineChars="200"/>
              <w:rPr>
                <w:b/>
                <w:sz w:val="24"/>
              </w:rPr>
            </w:pPr>
            <w:r>
              <w:rPr>
                <w:b/>
                <w:sz w:val="24"/>
              </w:rPr>
              <w:t>3、废水排放标准</w:t>
            </w:r>
          </w:p>
          <w:p w14:paraId="01ED12EA">
            <w:pPr>
              <w:snapToGrid w:val="0"/>
              <w:spacing w:line="360" w:lineRule="auto"/>
              <w:ind w:firstLine="480" w:firstLineChars="200"/>
              <w:jc w:val="left"/>
              <w:rPr>
                <w:sz w:val="24"/>
              </w:rPr>
            </w:pPr>
            <w:r>
              <w:rPr>
                <w:sz w:val="24"/>
              </w:rPr>
              <w:t>项目施工期现场不设施工生活营地，施工产生的施工废水经沉淀处理后全部回用于施工场地洒水降尘，不外排。</w:t>
            </w:r>
          </w:p>
          <w:p w14:paraId="15A7C6D0">
            <w:pPr>
              <w:snapToGrid w:val="0"/>
              <w:spacing w:line="360" w:lineRule="auto"/>
              <w:jc w:val="left"/>
              <w:rPr>
                <w:b/>
                <w:sz w:val="24"/>
                <w:lang w:val="zh-CN"/>
              </w:rPr>
            </w:pPr>
            <w:r>
              <w:rPr>
                <w:b/>
                <w:sz w:val="24"/>
                <w:lang w:val="zh-CN"/>
              </w:rPr>
              <w:t>运营期</w:t>
            </w:r>
            <w:r>
              <w:rPr>
                <w:b/>
                <w:sz w:val="24"/>
              </w:rPr>
              <w:t>污染物排放标准：</w:t>
            </w:r>
          </w:p>
          <w:p w14:paraId="13E536B1">
            <w:pPr>
              <w:snapToGrid w:val="0"/>
              <w:spacing w:line="360" w:lineRule="auto"/>
              <w:ind w:firstLine="482" w:firstLineChars="200"/>
              <w:jc w:val="left"/>
              <w:rPr>
                <w:b/>
                <w:sz w:val="24"/>
              </w:rPr>
            </w:pPr>
            <w:r>
              <w:rPr>
                <w:b/>
                <w:sz w:val="24"/>
              </w:rPr>
              <w:t>1、大气污染物排放标准</w:t>
            </w:r>
          </w:p>
          <w:p w14:paraId="54EC5145">
            <w:pPr>
              <w:adjustRightInd w:val="0"/>
              <w:snapToGrid w:val="0"/>
              <w:spacing w:line="360" w:lineRule="auto"/>
              <w:ind w:firstLine="480" w:firstLineChars="200"/>
              <w:rPr>
                <w:rFonts w:hint="eastAsia"/>
                <w:sz w:val="24"/>
              </w:rPr>
            </w:pPr>
            <w:r>
              <w:rPr>
                <w:sz w:val="24"/>
              </w:rPr>
              <w:t>营运期无组织排放粉尘执行《大气污染物综合排放标准》（GB16297-1996）表2中无组织排放标准限值要求，</w:t>
            </w:r>
            <w:r>
              <w:rPr>
                <w:rFonts w:hint="eastAsia"/>
                <w:sz w:val="24"/>
              </w:rPr>
              <w:t>无组织</w:t>
            </w:r>
            <w:r>
              <w:rPr>
                <w:sz w:val="24"/>
              </w:rPr>
              <w:t>恶臭污染物执行《恶臭污染物排放标准》(GB14554-93)表</w:t>
            </w:r>
            <w:r>
              <w:rPr>
                <w:rFonts w:hint="eastAsia"/>
                <w:sz w:val="24"/>
              </w:rPr>
              <w:t>1</w:t>
            </w:r>
            <w:r>
              <w:rPr>
                <w:sz w:val="24"/>
              </w:rPr>
              <w:t>中</w:t>
            </w:r>
            <w:r>
              <w:rPr>
                <w:rFonts w:hint="eastAsia"/>
                <w:sz w:val="24"/>
              </w:rPr>
              <w:t>二级</w:t>
            </w:r>
            <w:r>
              <w:rPr>
                <w:sz w:val="24"/>
              </w:rPr>
              <w:t>标准</w:t>
            </w:r>
            <w:r>
              <w:rPr>
                <w:rFonts w:hint="eastAsia"/>
                <w:sz w:val="24"/>
              </w:rPr>
              <w:t>。</w:t>
            </w:r>
          </w:p>
          <w:p w14:paraId="0041F2FC">
            <w:pPr>
              <w:snapToGrid w:val="0"/>
              <w:jc w:val="center"/>
              <w:rPr>
                <w:b/>
                <w:szCs w:val="21"/>
              </w:rPr>
            </w:pPr>
            <w:r>
              <w:rPr>
                <w:b/>
                <w:szCs w:val="21"/>
              </w:rPr>
              <w:t>表3-</w:t>
            </w:r>
            <w:r>
              <w:rPr>
                <w:rFonts w:hint="eastAsia"/>
                <w:b/>
                <w:szCs w:val="21"/>
              </w:rPr>
              <w:t>6</w:t>
            </w:r>
            <w:r>
              <w:rPr>
                <w:b/>
                <w:szCs w:val="21"/>
              </w:rPr>
              <w:t xml:space="preserve">   废气排放标准</w:t>
            </w:r>
          </w:p>
          <w:tbl>
            <w:tblPr>
              <w:tblStyle w:val="23"/>
              <w:tblW w:w="47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167"/>
              <w:gridCol w:w="1933"/>
              <w:gridCol w:w="2802"/>
            </w:tblGrid>
            <w:tr w14:paraId="4A8A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0" w:type="dxa"/>
                  <w:gridSpan w:val="2"/>
                  <w:vMerge w:val="restart"/>
                  <w:vAlign w:val="center"/>
                </w:tcPr>
                <w:p w14:paraId="2CDCF5D8">
                  <w:pPr>
                    <w:jc w:val="center"/>
                    <w:textAlignment w:val="baseline"/>
                    <w:rPr>
                      <w:rFonts w:eastAsiaTheme="minorEastAsia"/>
                      <w:bCs/>
                      <w:spacing w:val="-11"/>
                      <w:kern w:val="0"/>
                      <w:szCs w:val="22"/>
                    </w:rPr>
                  </w:pPr>
                  <w:r>
                    <w:rPr>
                      <w:rFonts w:eastAsiaTheme="minorEastAsia"/>
                      <w:bCs/>
                      <w:spacing w:val="-11"/>
                      <w:kern w:val="0"/>
                      <w:szCs w:val="22"/>
                    </w:rPr>
                    <w:t>污染物</w:t>
                  </w:r>
                </w:p>
              </w:tc>
              <w:tc>
                <w:tcPr>
                  <w:tcW w:w="1933" w:type="dxa"/>
                  <w:vMerge w:val="restart"/>
                  <w:vAlign w:val="center"/>
                </w:tcPr>
                <w:p w14:paraId="78F67B0D">
                  <w:pPr>
                    <w:textAlignment w:val="baseline"/>
                    <w:rPr>
                      <w:rFonts w:eastAsiaTheme="minorEastAsia"/>
                      <w:bCs/>
                      <w:spacing w:val="-11"/>
                      <w:kern w:val="0"/>
                      <w:szCs w:val="22"/>
                    </w:rPr>
                  </w:pPr>
                  <w:r>
                    <w:rPr>
                      <w:rFonts w:eastAsiaTheme="minorEastAsia"/>
                      <w:bCs/>
                      <w:spacing w:val="-11"/>
                      <w:kern w:val="0"/>
                      <w:szCs w:val="22"/>
                    </w:rPr>
                    <w:t>无组织排放监控浓度限值（mg/m</w:t>
                  </w:r>
                  <w:r>
                    <w:rPr>
                      <w:rFonts w:eastAsiaTheme="minorEastAsia"/>
                      <w:bCs/>
                      <w:spacing w:val="-11"/>
                      <w:kern w:val="0"/>
                      <w:szCs w:val="22"/>
                      <w:vertAlign w:val="superscript"/>
                    </w:rPr>
                    <w:t>3</w:t>
                  </w:r>
                  <w:r>
                    <w:rPr>
                      <w:rFonts w:eastAsiaTheme="minorEastAsia"/>
                      <w:bCs/>
                      <w:spacing w:val="-11"/>
                      <w:kern w:val="0"/>
                      <w:szCs w:val="22"/>
                    </w:rPr>
                    <w:t>）</w:t>
                  </w:r>
                </w:p>
              </w:tc>
              <w:tc>
                <w:tcPr>
                  <w:tcW w:w="2802" w:type="dxa"/>
                  <w:vMerge w:val="restart"/>
                  <w:vAlign w:val="center"/>
                </w:tcPr>
                <w:p w14:paraId="38CD8FE8">
                  <w:pPr>
                    <w:jc w:val="center"/>
                    <w:textAlignment w:val="baseline"/>
                    <w:rPr>
                      <w:rFonts w:eastAsiaTheme="minorEastAsia"/>
                      <w:bCs/>
                      <w:spacing w:val="-11"/>
                      <w:kern w:val="0"/>
                      <w:szCs w:val="22"/>
                    </w:rPr>
                  </w:pPr>
                  <w:r>
                    <w:rPr>
                      <w:rFonts w:eastAsiaTheme="minorEastAsia"/>
                      <w:bCs/>
                      <w:spacing w:val="-11"/>
                      <w:kern w:val="0"/>
                      <w:szCs w:val="22"/>
                    </w:rPr>
                    <w:t>标准来源</w:t>
                  </w:r>
                </w:p>
              </w:tc>
            </w:tr>
            <w:tr w14:paraId="3E87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0" w:type="dxa"/>
                  <w:gridSpan w:val="2"/>
                  <w:vMerge w:val="continue"/>
                  <w:vAlign w:val="center"/>
                </w:tcPr>
                <w:p w14:paraId="79E6F412">
                  <w:pPr>
                    <w:jc w:val="center"/>
                    <w:textAlignment w:val="baseline"/>
                    <w:rPr>
                      <w:rFonts w:eastAsiaTheme="minorEastAsia"/>
                      <w:bCs/>
                      <w:spacing w:val="-11"/>
                      <w:kern w:val="0"/>
                      <w:szCs w:val="22"/>
                    </w:rPr>
                  </w:pPr>
                </w:p>
              </w:tc>
              <w:tc>
                <w:tcPr>
                  <w:tcW w:w="1933" w:type="dxa"/>
                  <w:vMerge w:val="continue"/>
                  <w:vAlign w:val="center"/>
                </w:tcPr>
                <w:p w14:paraId="43698551">
                  <w:pPr>
                    <w:jc w:val="center"/>
                    <w:textAlignment w:val="baseline"/>
                    <w:rPr>
                      <w:rFonts w:eastAsiaTheme="minorEastAsia"/>
                      <w:bCs/>
                      <w:spacing w:val="-11"/>
                      <w:kern w:val="0"/>
                      <w:szCs w:val="22"/>
                    </w:rPr>
                  </w:pPr>
                </w:p>
              </w:tc>
              <w:tc>
                <w:tcPr>
                  <w:tcW w:w="2802" w:type="dxa"/>
                  <w:vMerge w:val="continue"/>
                  <w:vAlign w:val="center"/>
                </w:tcPr>
                <w:p w14:paraId="6E0BE034">
                  <w:pPr>
                    <w:jc w:val="center"/>
                    <w:textAlignment w:val="baseline"/>
                    <w:rPr>
                      <w:rFonts w:eastAsiaTheme="minorEastAsia"/>
                      <w:bCs/>
                      <w:spacing w:val="-11"/>
                      <w:kern w:val="0"/>
                      <w:szCs w:val="22"/>
                    </w:rPr>
                  </w:pPr>
                </w:p>
              </w:tc>
            </w:tr>
            <w:tr w14:paraId="7248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Merge w:val="restart"/>
                  <w:vAlign w:val="center"/>
                </w:tcPr>
                <w:p w14:paraId="016412BD">
                  <w:pPr>
                    <w:jc w:val="center"/>
                    <w:rPr>
                      <w:rFonts w:eastAsiaTheme="minorEastAsia"/>
                      <w:bCs/>
                    </w:rPr>
                  </w:pPr>
                  <w:r>
                    <w:rPr>
                      <w:rFonts w:hint="eastAsia" w:eastAsiaTheme="minorEastAsia"/>
                      <w:bCs/>
                    </w:rPr>
                    <w:t>恶臭废气</w:t>
                  </w:r>
                </w:p>
              </w:tc>
              <w:tc>
                <w:tcPr>
                  <w:tcW w:w="1167" w:type="dxa"/>
                  <w:vAlign w:val="center"/>
                </w:tcPr>
                <w:p w14:paraId="3F855926">
                  <w:pPr>
                    <w:jc w:val="center"/>
                    <w:rPr>
                      <w:rFonts w:eastAsiaTheme="minorEastAsia"/>
                      <w:bCs/>
                    </w:rPr>
                  </w:pPr>
                  <w:r>
                    <w:rPr>
                      <w:rFonts w:eastAsiaTheme="minorEastAsia"/>
                      <w:bCs/>
                    </w:rPr>
                    <w:t>NH</w:t>
                  </w:r>
                  <w:r>
                    <w:rPr>
                      <w:rFonts w:eastAsiaTheme="minorEastAsia"/>
                      <w:bCs/>
                      <w:vertAlign w:val="subscript"/>
                    </w:rPr>
                    <w:t>3</w:t>
                  </w:r>
                </w:p>
              </w:tc>
              <w:tc>
                <w:tcPr>
                  <w:tcW w:w="1933" w:type="dxa"/>
                  <w:vAlign w:val="center"/>
                </w:tcPr>
                <w:p w14:paraId="5D820F2A">
                  <w:pPr>
                    <w:jc w:val="center"/>
                    <w:textAlignment w:val="baseline"/>
                    <w:rPr>
                      <w:rFonts w:eastAsiaTheme="minorEastAsia"/>
                      <w:bCs/>
                      <w:spacing w:val="-11"/>
                      <w:kern w:val="0"/>
                      <w:szCs w:val="22"/>
                    </w:rPr>
                  </w:pPr>
                  <w:r>
                    <w:rPr>
                      <w:rFonts w:eastAsiaTheme="minorEastAsia"/>
                      <w:bCs/>
                      <w:spacing w:val="-11"/>
                      <w:kern w:val="0"/>
                      <w:szCs w:val="22"/>
                    </w:rPr>
                    <w:t>1.5</w:t>
                  </w:r>
                </w:p>
              </w:tc>
              <w:tc>
                <w:tcPr>
                  <w:tcW w:w="2802" w:type="dxa"/>
                  <w:vMerge w:val="restart"/>
                  <w:vAlign w:val="center"/>
                </w:tcPr>
                <w:p w14:paraId="1ECD9F3C">
                  <w:pPr>
                    <w:textAlignment w:val="baseline"/>
                    <w:rPr>
                      <w:rFonts w:eastAsiaTheme="minorEastAsia"/>
                      <w:bCs/>
                      <w:spacing w:val="-11"/>
                      <w:kern w:val="0"/>
                      <w:szCs w:val="22"/>
                    </w:rPr>
                  </w:pPr>
                  <w:r>
                    <w:rPr>
                      <w:rFonts w:eastAsiaTheme="minorEastAsia"/>
                      <w:bCs/>
                      <w:spacing w:val="-11"/>
                      <w:kern w:val="0"/>
                      <w:szCs w:val="22"/>
                    </w:rPr>
                    <w:t>GB14554-93《恶臭污染物排放标准》表</w:t>
                  </w:r>
                  <w:r>
                    <w:rPr>
                      <w:rFonts w:hint="eastAsia" w:eastAsiaTheme="minorEastAsia"/>
                      <w:bCs/>
                      <w:spacing w:val="-11"/>
                      <w:kern w:val="0"/>
                      <w:szCs w:val="22"/>
                    </w:rPr>
                    <w:t>1</w:t>
                  </w:r>
                  <w:r>
                    <w:rPr>
                      <w:rFonts w:eastAsiaTheme="minorEastAsia"/>
                      <w:bCs/>
                      <w:spacing w:val="-11"/>
                      <w:kern w:val="0"/>
                      <w:szCs w:val="22"/>
                    </w:rPr>
                    <w:t>中标准</w:t>
                  </w:r>
                </w:p>
              </w:tc>
            </w:tr>
            <w:tr w14:paraId="287F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Merge w:val="continue"/>
                  <w:vAlign w:val="center"/>
                </w:tcPr>
                <w:p w14:paraId="4982CFD6">
                  <w:pPr>
                    <w:jc w:val="center"/>
                    <w:rPr>
                      <w:rFonts w:eastAsiaTheme="minorEastAsia"/>
                      <w:bCs/>
                    </w:rPr>
                  </w:pPr>
                </w:p>
              </w:tc>
              <w:tc>
                <w:tcPr>
                  <w:tcW w:w="1167" w:type="dxa"/>
                  <w:vAlign w:val="center"/>
                </w:tcPr>
                <w:p w14:paraId="28426089">
                  <w:pPr>
                    <w:jc w:val="center"/>
                    <w:rPr>
                      <w:rFonts w:eastAsiaTheme="minorEastAsia"/>
                      <w:bCs/>
                    </w:rPr>
                  </w:pPr>
                  <w:r>
                    <w:rPr>
                      <w:rFonts w:eastAsiaTheme="minorEastAsia"/>
                      <w:bCs/>
                    </w:rPr>
                    <w:t>H</w:t>
                  </w:r>
                  <w:r>
                    <w:rPr>
                      <w:rFonts w:eastAsiaTheme="minorEastAsia"/>
                      <w:bCs/>
                      <w:vertAlign w:val="subscript"/>
                    </w:rPr>
                    <w:t>2</w:t>
                  </w:r>
                  <w:r>
                    <w:rPr>
                      <w:rFonts w:eastAsiaTheme="minorEastAsia"/>
                      <w:bCs/>
                    </w:rPr>
                    <w:t>S</w:t>
                  </w:r>
                </w:p>
              </w:tc>
              <w:tc>
                <w:tcPr>
                  <w:tcW w:w="1933" w:type="dxa"/>
                  <w:vAlign w:val="center"/>
                </w:tcPr>
                <w:p w14:paraId="5934BE43">
                  <w:pPr>
                    <w:jc w:val="center"/>
                    <w:textAlignment w:val="baseline"/>
                    <w:rPr>
                      <w:rFonts w:eastAsiaTheme="minorEastAsia"/>
                      <w:bCs/>
                      <w:spacing w:val="-11"/>
                      <w:kern w:val="0"/>
                      <w:szCs w:val="22"/>
                    </w:rPr>
                  </w:pPr>
                  <w:r>
                    <w:rPr>
                      <w:rFonts w:eastAsiaTheme="minorEastAsia"/>
                      <w:bCs/>
                      <w:spacing w:val="-11"/>
                      <w:kern w:val="0"/>
                      <w:szCs w:val="22"/>
                    </w:rPr>
                    <w:t>0.06</w:t>
                  </w:r>
                </w:p>
              </w:tc>
              <w:tc>
                <w:tcPr>
                  <w:tcW w:w="2802" w:type="dxa"/>
                  <w:vMerge w:val="continue"/>
                  <w:vAlign w:val="center"/>
                </w:tcPr>
                <w:p w14:paraId="7FDE43E7">
                  <w:pPr>
                    <w:textAlignment w:val="baseline"/>
                    <w:rPr>
                      <w:rFonts w:eastAsiaTheme="minorEastAsia"/>
                      <w:bCs/>
                      <w:spacing w:val="-11"/>
                      <w:kern w:val="0"/>
                      <w:szCs w:val="22"/>
                    </w:rPr>
                  </w:pPr>
                </w:p>
              </w:tc>
            </w:tr>
            <w:tr w14:paraId="3AAC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Merge w:val="continue"/>
                  <w:vAlign w:val="center"/>
                </w:tcPr>
                <w:p w14:paraId="56BAD733">
                  <w:pPr>
                    <w:jc w:val="center"/>
                    <w:rPr>
                      <w:rFonts w:eastAsiaTheme="minorEastAsia"/>
                      <w:bCs/>
                    </w:rPr>
                  </w:pPr>
                </w:p>
              </w:tc>
              <w:tc>
                <w:tcPr>
                  <w:tcW w:w="1167" w:type="dxa"/>
                  <w:vAlign w:val="center"/>
                </w:tcPr>
                <w:p w14:paraId="72D0D368">
                  <w:pPr>
                    <w:jc w:val="center"/>
                    <w:rPr>
                      <w:rFonts w:eastAsiaTheme="minorEastAsia"/>
                      <w:bCs/>
                    </w:rPr>
                  </w:pPr>
                  <w:r>
                    <w:rPr>
                      <w:rFonts w:hint="eastAsia" w:eastAsiaTheme="minorEastAsia"/>
                      <w:bCs/>
                    </w:rPr>
                    <w:t>臭气浓度</w:t>
                  </w:r>
                </w:p>
              </w:tc>
              <w:tc>
                <w:tcPr>
                  <w:tcW w:w="1933" w:type="dxa"/>
                  <w:vAlign w:val="center"/>
                </w:tcPr>
                <w:p w14:paraId="30A01885">
                  <w:pPr>
                    <w:jc w:val="center"/>
                    <w:textAlignment w:val="baseline"/>
                    <w:rPr>
                      <w:rFonts w:eastAsiaTheme="minorEastAsia"/>
                      <w:bCs/>
                      <w:spacing w:val="-11"/>
                      <w:kern w:val="0"/>
                      <w:szCs w:val="22"/>
                    </w:rPr>
                  </w:pPr>
                  <w:r>
                    <w:rPr>
                      <w:rFonts w:hint="eastAsia" w:eastAsiaTheme="minorEastAsia"/>
                      <w:bCs/>
                      <w:spacing w:val="-11"/>
                      <w:kern w:val="0"/>
                      <w:szCs w:val="22"/>
                    </w:rPr>
                    <w:t>20（无量纲）</w:t>
                  </w:r>
                </w:p>
              </w:tc>
              <w:tc>
                <w:tcPr>
                  <w:tcW w:w="2802" w:type="dxa"/>
                  <w:vMerge w:val="continue"/>
                  <w:vAlign w:val="center"/>
                </w:tcPr>
                <w:p w14:paraId="667BE5F4">
                  <w:pPr>
                    <w:textAlignment w:val="baseline"/>
                    <w:rPr>
                      <w:rFonts w:eastAsiaTheme="minorEastAsia"/>
                      <w:bCs/>
                      <w:spacing w:val="-11"/>
                      <w:kern w:val="0"/>
                      <w:szCs w:val="22"/>
                    </w:rPr>
                  </w:pPr>
                </w:p>
              </w:tc>
            </w:tr>
            <w:tr w14:paraId="3309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Align w:val="center"/>
                </w:tcPr>
                <w:p w14:paraId="4249585E">
                  <w:pPr>
                    <w:jc w:val="center"/>
                    <w:rPr>
                      <w:rFonts w:eastAsiaTheme="minorEastAsia"/>
                      <w:bCs/>
                    </w:rPr>
                  </w:pPr>
                  <w:r>
                    <w:rPr>
                      <w:rFonts w:eastAsiaTheme="minorEastAsia"/>
                      <w:bCs/>
                    </w:rPr>
                    <w:t>生产工序粉尘</w:t>
                  </w:r>
                </w:p>
              </w:tc>
              <w:tc>
                <w:tcPr>
                  <w:tcW w:w="1167" w:type="dxa"/>
                  <w:vAlign w:val="center"/>
                </w:tcPr>
                <w:p w14:paraId="59AD784D">
                  <w:pPr>
                    <w:jc w:val="center"/>
                    <w:rPr>
                      <w:rFonts w:eastAsiaTheme="minorEastAsia"/>
                      <w:bCs/>
                    </w:rPr>
                  </w:pPr>
                  <w:r>
                    <w:rPr>
                      <w:rFonts w:eastAsiaTheme="minorEastAsia"/>
                      <w:bCs/>
                    </w:rPr>
                    <w:t>颗粒物</w:t>
                  </w:r>
                </w:p>
              </w:tc>
              <w:tc>
                <w:tcPr>
                  <w:tcW w:w="1933" w:type="dxa"/>
                  <w:vAlign w:val="center"/>
                </w:tcPr>
                <w:p w14:paraId="6C472066">
                  <w:pPr>
                    <w:jc w:val="center"/>
                    <w:rPr>
                      <w:rFonts w:eastAsiaTheme="minorEastAsia"/>
                      <w:kern w:val="0"/>
                    </w:rPr>
                  </w:pPr>
                  <w:r>
                    <w:rPr>
                      <w:rFonts w:eastAsiaTheme="minorEastAsia"/>
                      <w:kern w:val="0"/>
                    </w:rPr>
                    <w:t>1.0</w:t>
                  </w:r>
                </w:p>
              </w:tc>
              <w:tc>
                <w:tcPr>
                  <w:tcW w:w="2802" w:type="dxa"/>
                  <w:vAlign w:val="center"/>
                </w:tcPr>
                <w:p w14:paraId="70BF8A07">
                  <w:pPr>
                    <w:rPr>
                      <w:rFonts w:eastAsiaTheme="minorEastAsia"/>
                      <w:kern w:val="0"/>
                    </w:rPr>
                  </w:pPr>
                  <w:r>
                    <w:rPr>
                      <w:rFonts w:eastAsiaTheme="minorEastAsia"/>
                      <w:bCs/>
                      <w:kern w:val="0"/>
                    </w:rPr>
                    <w:t>GB16297－1996《大气污染物综合排放标准》表</w:t>
                  </w:r>
                  <w:r>
                    <w:rPr>
                      <w:rFonts w:hint="eastAsia" w:eastAsiaTheme="minorEastAsia"/>
                      <w:bCs/>
                      <w:kern w:val="0"/>
                    </w:rPr>
                    <w:t>1</w:t>
                  </w:r>
                  <w:r>
                    <w:rPr>
                      <w:rFonts w:eastAsiaTheme="minorEastAsia"/>
                      <w:bCs/>
                      <w:kern w:val="0"/>
                    </w:rPr>
                    <w:t>中的二级标准</w:t>
                  </w:r>
                </w:p>
              </w:tc>
            </w:tr>
          </w:tbl>
          <w:p w14:paraId="4BCD6310">
            <w:pPr>
              <w:adjustRightInd w:val="0"/>
              <w:snapToGrid w:val="0"/>
              <w:spacing w:before="120" w:beforeLines="50" w:line="360" w:lineRule="auto"/>
              <w:ind w:firstLine="482" w:firstLineChars="200"/>
              <w:jc w:val="left"/>
              <w:rPr>
                <w:b/>
                <w:sz w:val="24"/>
              </w:rPr>
            </w:pPr>
            <w:r>
              <w:rPr>
                <w:b/>
                <w:sz w:val="24"/>
              </w:rPr>
              <w:t>2、厂界噪声排放标准</w:t>
            </w:r>
          </w:p>
          <w:p w14:paraId="425F3548">
            <w:pPr>
              <w:widowControl/>
              <w:snapToGrid w:val="0"/>
              <w:spacing w:line="360" w:lineRule="auto"/>
              <w:ind w:firstLine="480" w:firstLineChars="200"/>
              <w:rPr>
                <w:sz w:val="24"/>
              </w:rPr>
            </w:pPr>
            <w:r>
              <w:rPr>
                <w:sz w:val="24"/>
              </w:rPr>
              <w:t>项目营运期</w:t>
            </w:r>
            <w:r>
              <w:rPr>
                <w:bCs/>
                <w:snapToGrid w:val="0"/>
                <w:kern w:val="0"/>
                <w:sz w:val="24"/>
                <w:szCs w:val="21"/>
              </w:rPr>
              <w:t>厂界噪声</w:t>
            </w:r>
            <w:r>
              <w:rPr>
                <w:sz w:val="24"/>
              </w:rPr>
              <w:t>执行《工业企业厂界环境噪声排放标准》（GB12348-2008）中的</w:t>
            </w:r>
            <w:r>
              <w:rPr>
                <w:rFonts w:hint="eastAsia"/>
                <w:sz w:val="24"/>
              </w:rPr>
              <w:t>3</w:t>
            </w:r>
            <w:r>
              <w:rPr>
                <w:sz w:val="24"/>
              </w:rPr>
              <w:t>类标准，标准限值见表3-</w:t>
            </w:r>
            <w:r>
              <w:rPr>
                <w:rFonts w:hint="eastAsia"/>
                <w:sz w:val="24"/>
              </w:rPr>
              <w:t>7</w:t>
            </w:r>
            <w:r>
              <w:rPr>
                <w:sz w:val="24"/>
              </w:rPr>
              <w:t>。</w:t>
            </w:r>
          </w:p>
          <w:p w14:paraId="7F0CAFFB">
            <w:pPr>
              <w:snapToGrid w:val="0"/>
              <w:jc w:val="center"/>
              <w:rPr>
                <w:b/>
              </w:rPr>
            </w:pPr>
            <w:r>
              <w:rPr>
                <w:b/>
              </w:rPr>
              <w:t>表3-</w:t>
            </w:r>
            <w:r>
              <w:rPr>
                <w:rFonts w:hint="eastAsia"/>
                <w:b/>
              </w:rPr>
              <w:t>7</w:t>
            </w:r>
            <w:r>
              <w:rPr>
                <w:b/>
              </w:rPr>
              <w:t xml:space="preserve">   工业企业厂界环境噪声排放标准   单位：dB(A)</w:t>
            </w:r>
          </w:p>
          <w:tbl>
            <w:tblPr>
              <w:tblStyle w:val="2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39"/>
              <w:gridCol w:w="2564"/>
              <w:gridCol w:w="2697"/>
            </w:tblGrid>
            <w:tr w14:paraId="7BA707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2739" w:type="dxa"/>
                  <w:vAlign w:val="center"/>
                </w:tcPr>
                <w:p w14:paraId="11FB037C">
                  <w:pPr>
                    <w:snapToGrid w:val="0"/>
                    <w:jc w:val="center"/>
                    <w:rPr>
                      <w:bCs/>
                    </w:rPr>
                  </w:pPr>
                  <w:r>
                    <w:rPr>
                      <w:bCs/>
                    </w:rPr>
                    <w:t>类别</w:t>
                  </w:r>
                </w:p>
              </w:tc>
              <w:tc>
                <w:tcPr>
                  <w:tcW w:w="2564" w:type="dxa"/>
                  <w:vAlign w:val="center"/>
                </w:tcPr>
                <w:p w14:paraId="422A7864">
                  <w:pPr>
                    <w:snapToGrid w:val="0"/>
                    <w:jc w:val="center"/>
                    <w:rPr>
                      <w:bCs/>
                    </w:rPr>
                  </w:pPr>
                  <w:r>
                    <w:rPr>
                      <w:bCs/>
                    </w:rPr>
                    <w:t>昼间</w:t>
                  </w:r>
                </w:p>
              </w:tc>
              <w:tc>
                <w:tcPr>
                  <w:tcW w:w="2697" w:type="dxa"/>
                  <w:vAlign w:val="center"/>
                </w:tcPr>
                <w:p w14:paraId="7DB0597A">
                  <w:pPr>
                    <w:snapToGrid w:val="0"/>
                    <w:jc w:val="center"/>
                    <w:rPr>
                      <w:bCs/>
                    </w:rPr>
                  </w:pPr>
                  <w:r>
                    <w:rPr>
                      <w:bCs/>
                    </w:rPr>
                    <w:t>夜间</w:t>
                  </w:r>
                </w:p>
              </w:tc>
            </w:tr>
            <w:tr w14:paraId="118661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2739" w:type="dxa"/>
                  <w:vAlign w:val="center"/>
                </w:tcPr>
                <w:p w14:paraId="76E19074">
                  <w:pPr>
                    <w:snapToGrid w:val="0"/>
                    <w:jc w:val="center"/>
                  </w:pPr>
                  <w:r>
                    <w:rPr>
                      <w:rFonts w:hint="eastAsia"/>
                    </w:rPr>
                    <w:t>3</w:t>
                  </w:r>
                </w:p>
              </w:tc>
              <w:tc>
                <w:tcPr>
                  <w:tcW w:w="2564" w:type="dxa"/>
                  <w:vAlign w:val="center"/>
                </w:tcPr>
                <w:p w14:paraId="1800B833">
                  <w:pPr>
                    <w:snapToGrid w:val="0"/>
                    <w:jc w:val="center"/>
                  </w:pPr>
                  <w:r>
                    <w:rPr>
                      <w:rFonts w:hint="eastAsia"/>
                    </w:rPr>
                    <w:t>65</w:t>
                  </w:r>
                </w:p>
              </w:tc>
              <w:tc>
                <w:tcPr>
                  <w:tcW w:w="2697" w:type="dxa"/>
                  <w:vAlign w:val="center"/>
                </w:tcPr>
                <w:p w14:paraId="5D6277FD">
                  <w:pPr>
                    <w:snapToGrid w:val="0"/>
                    <w:jc w:val="center"/>
                  </w:pPr>
                  <w:r>
                    <w:t>5</w:t>
                  </w:r>
                  <w:r>
                    <w:rPr>
                      <w:rFonts w:hint="eastAsia"/>
                    </w:rPr>
                    <w:t>5</w:t>
                  </w:r>
                </w:p>
              </w:tc>
            </w:tr>
          </w:tbl>
          <w:p w14:paraId="7911EC18">
            <w:pPr>
              <w:adjustRightInd w:val="0"/>
              <w:snapToGrid w:val="0"/>
              <w:spacing w:before="120" w:beforeLines="50" w:line="360" w:lineRule="auto"/>
              <w:ind w:firstLine="482" w:firstLineChars="200"/>
              <w:jc w:val="left"/>
              <w:rPr>
                <w:b/>
                <w:sz w:val="24"/>
              </w:rPr>
            </w:pPr>
            <w:r>
              <w:rPr>
                <w:b/>
                <w:sz w:val="24"/>
              </w:rPr>
              <w:t>3、废水排放标准</w:t>
            </w:r>
          </w:p>
          <w:p w14:paraId="062C7B5A">
            <w:pPr>
              <w:spacing w:line="360" w:lineRule="auto"/>
              <w:ind w:firstLine="482"/>
              <w:rPr>
                <w:b/>
                <w:sz w:val="24"/>
              </w:rPr>
            </w:pPr>
            <w:r>
              <w:rPr>
                <w:kern w:val="0"/>
                <w:sz w:val="24"/>
              </w:rPr>
              <w:t>项目运营期</w:t>
            </w:r>
            <w:r>
              <w:rPr>
                <w:rFonts w:hint="eastAsia"/>
                <w:kern w:val="0"/>
                <w:sz w:val="24"/>
              </w:rPr>
              <w:t>生产工艺中产生的废水经收集池收集后回用于发酵工序，不外排，员工均不在项目区食宿。产生的生活污水依托</w:t>
            </w:r>
            <w:r>
              <w:rPr>
                <w:rFonts w:hint="eastAsia" w:eastAsiaTheme="minorEastAsia"/>
                <w:bCs/>
                <w:kern w:val="0"/>
                <w:sz w:val="24"/>
                <w:szCs w:val="22"/>
              </w:rPr>
              <w:t>云南建工云岭水泥有限公司</w:t>
            </w:r>
            <w:r>
              <w:rPr>
                <w:rFonts w:hint="eastAsia"/>
                <w:kern w:val="0"/>
                <w:sz w:val="24"/>
              </w:rPr>
              <w:t>已建的化粪池、一体化污水处理设备进行处理后，回用绿化和洒水降尘，不外排</w:t>
            </w:r>
            <w:r>
              <w:rPr>
                <w:kern w:val="0"/>
                <w:sz w:val="24"/>
              </w:rPr>
              <w:t>。</w:t>
            </w:r>
            <w:r>
              <w:rPr>
                <w:rFonts w:hint="eastAsia"/>
                <w:kern w:val="0"/>
                <w:sz w:val="24"/>
              </w:rPr>
              <w:t>运营期不设废水排放标准。</w:t>
            </w:r>
          </w:p>
          <w:p w14:paraId="21399A1B">
            <w:pPr>
              <w:snapToGrid w:val="0"/>
              <w:spacing w:line="360" w:lineRule="auto"/>
              <w:ind w:firstLine="482" w:firstLineChars="200"/>
              <w:jc w:val="left"/>
              <w:rPr>
                <w:b/>
                <w:sz w:val="24"/>
              </w:rPr>
            </w:pPr>
            <w:r>
              <w:rPr>
                <w:b/>
                <w:sz w:val="24"/>
              </w:rPr>
              <w:t>4、固体废物排放标准</w:t>
            </w:r>
          </w:p>
          <w:p w14:paraId="472F8BED">
            <w:pPr>
              <w:adjustRightInd w:val="0"/>
              <w:snapToGrid w:val="0"/>
              <w:spacing w:line="360" w:lineRule="auto"/>
              <w:ind w:firstLine="480" w:firstLineChars="200"/>
              <w:rPr>
                <w:sz w:val="24"/>
              </w:rPr>
            </w:pPr>
            <w:r>
              <w:rPr>
                <w:sz w:val="24"/>
              </w:rPr>
              <w:t>（1）项目运营期产生一般固体废物在项目内的暂存执行《一般工业固体废物贮存和填埋污染控制标准》（GB18599-2020）。</w:t>
            </w:r>
          </w:p>
          <w:p w14:paraId="38F11592">
            <w:pPr>
              <w:adjustRightInd w:val="0"/>
              <w:snapToGrid w:val="0"/>
              <w:spacing w:line="360" w:lineRule="auto"/>
              <w:ind w:firstLine="480" w:firstLineChars="200"/>
              <w:rPr>
                <w:kern w:val="0"/>
                <w:szCs w:val="21"/>
              </w:rPr>
            </w:pPr>
            <w:r>
              <w:rPr>
                <w:sz w:val="24"/>
              </w:rPr>
              <w:t>（2）项目运营期产生的危险废物暂存执行</w:t>
            </w:r>
            <w:r>
              <w:rPr>
                <w:kern w:val="0"/>
                <w:sz w:val="24"/>
              </w:rPr>
              <w:t>《危险废物贮存污染控制标准》（GB18597-2023）</w:t>
            </w:r>
            <w:r>
              <w:rPr>
                <w:sz w:val="24"/>
              </w:rPr>
              <w:t>。</w:t>
            </w:r>
          </w:p>
        </w:tc>
      </w:tr>
      <w:tr w14:paraId="1EAB3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800" w:type="dxa"/>
            <w:vAlign w:val="center"/>
          </w:tcPr>
          <w:p w14:paraId="0CB5397E">
            <w:pPr>
              <w:adjustRightInd w:val="0"/>
              <w:snapToGrid w:val="0"/>
              <w:jc w:val="center"/>
              <w:rPr>
                <w:kern w:val="0"/>
                <w:sz w:val="24"/>
              </w:rPr>
            </w:pPr>
            <w:r>
              <w:rPr>
                <w:kern w:val="0"/>
                <w:sz w:val="24"/>
              </w:rPr>
              <w:t>总量</w:t>
            </w:r>
          </w:p>
          <w:p w14:paraId="00E9578B">
            <w:pPr>
              <w:adjustRightInd w:val="0"/>
              <w:snapToGrid w:val="0"/>
              <w:jc w:val="center"/>
              <w:rPr>
                <w:kern w:val="0"/>
                <w:sz w:val="24"/>
              </w:rPr>
            </w:pPr>
            <w:r>
              <w:rPr>
                <w:kern w:val="0"/>
                <w:sz w:val="24"/>
              </w:rPr>
              <w:t>控制</w:t>
            </w:r>
          </w:p>
          <w:p w14:paraId="23699E93">
            <w:pPr>
              <w:adjustRightInd w:val="0"/>
              <w:snapToGrid w:val="0"/>
              <w:jc w:val="center"/>
              <w:rPr>
                <w:kern w:val="0"/>
                <w:szCs w:val="21"/>
              </w:rPr>
            </w:pPr>
            <w:r>
              <w:rPr>
                <w:kern w:val="0"/>
                <w:sz w:val="24"/>
              </w:rPr>
              <w:t>指标</w:t>
            </w:r>
          </w:p>
        </w:tc>
        <w:tc>
          <w:tcPr>
            <w:tcW w:w="8190" w:type="dxa"/>
            <w:vAlign w:val="center"/>
          </w:tcPr>
          <w:p w14:paraId="4751D35A">
            <w:pPr>
              <w:adjustRightInd w:val="0"/>
              <w:snapToGrid w:val="0"/>
              <w:spacing w:line="360" w:lineRule="auto"/>
              <w:ind w:firstLine="482" w:firstLineChars="200"/>
              <w:rPr>
                <w:sz w:val="24"/>
              </w:rPr>
            </w:pPr>
            <w:r>
              <w:rPr>
                <w:b/>
                <w:sz w:val="24"/>
              </w:rPr>
              <w:t>废水：</w:t>
            </w:r>
            <w:r>
              <w:rPr>
                <w:sz w:val="24"/>
                <w:lang w:val="zh-CN"/>
              </w:rPr>
              <w:t>项目</w:t>
            </w:r>
            <w:r>
              <w:rPr>
                <w:rFonts w:hint="eastAsia"/>
                <w:sz w:val="24"/>
              </w:rPr>
              <w:t>不设废水总量控制指标。</w:t>
            </w:r>
          </w:p>
          <w:p w14:paraId="35C6B4B5">
            <w:pPr>
              <w:adjustRightInd w:val="0"/>
              <w:snapToGrid w:val="0"/>
              <w:spacing w:line="360" w:lineRule="auto"/>
              <w:ind w:firstLine="482" w:firstLineChars="200"/>
              <w:rPr>
                <w:sz w:val="24"/>
              </w:rPr>
            </w:pPr>
            <w:r>
              <w:rPr>
                <w:b/>
                <w:bCs/>
                <w:sz w:val="24"/>
                <w:lang w:val="zh-CN"/>
              </w:rPr>
              <w:t>废气：</w:t>
            </w:r>
            <w:r>
              <w:rPr>
                <w:sz w:val="24"/>
                <w:lang w:val="zh-CN"/>
              </w:rPr>
              <w:t>颗粒</w:t>
            </w:r>
            <w:r>
              <w:rPr>
                <w:sz w:val="24"/>
                <w:szCs w:val="22"/>
                <w:lang w:val="zh-CN"/>
              </w:rPr>
              <w:t>物：</w:t>
            </w:r>
            <w:r>
              <w:rPr>
                <w:sz w:val="24"/>
                <w:szCs w:val="22"/>
              </w:rPr>
              <w:t>无组织排放量</w:t>
            </w:r>
            <w:r>
              <w:rPr>
                <w:rFonts w:hint="eastAsia"/>
                <w:sz w:val="24"/>
                <w:szCs w:val="22"/>
              </w:rPr>
              <w:t>0.143</w:t>
            </w:r>
            <w:r>
              <w:rPr>
                <w:sz w:val="24"/>
                <w:szCs w:val="22"/>
              </w:rPr>
              <w:t>t/a</w:t>
            </w:r>
            <w:r>
              <w:rPr>
                <w:rFonts w:hint="eastAsia"/>
                <w:sz w:val="24"/>
                <w:szCs w:val="22"/>
              </w:rPr>
              <w:t>。</w:t>
            </w:r>
          </w:p>
          <w:p w14:paraId="494AC69E">
            <w:pPr>
              <w:adjustRightInd w:val="0"/>
              <w:snapToGrid w:val="0"/>
              <w:spacing w:line="360" w:lineRule="auto"/>
              <w:ind w:firstLine="482" w:firstLineChars="200"/>
              <w:rPr>
                <w:sz w:val="24"/>
              </w:rPr>
            </w:pPr>
            <w:r>
              <w:rPr>
                <w:b/>
                <w:sz w:val="24"/>
              </w:rPr>
              <w:t>固体废弃物：</w:t>
            </w:r>
            <w:r>
              <w:rPr>
                <w:sz w:val="24"/>
              </w:rPr>
              <w:t>本项目固体废弃物处置率为100%。</w:t>
            </w:r>
          </w:p>
          <w:p w14:paraId="0C8B8057">
            <w:pPr>
              <w:adjustRightInd w:val="0"/>
              <w:snapToGrid w:val="0"/>
              <w:rPr>
                <w:rFonts w:hint="eastAsia"/>
                <w:kern w:val="0"/>
                <w:szCs w:val="21"/>
              </w:rPr>
            </w:pPr>
          </w:p>
          <w:p w14:paraId="1A9FB134">
            <w:pPr>
              <w:adjustRightInd w:val="0"/>
              <w:snapToGrid w:val="0"/>
              <w:rPr>
                <w:rFonts w:hint="eastAsia"/>
                <w:kern w:val="0"/>
                <w:szCs w:val="21"/>
              </w:rPr>
            </w:pPr>
          </w:p>
          <w:p w14:paraId="22F2FDCF">
            <w:pPr>
              <w:adjustRightInd w:val="0"/>
              <w:snapToGrid w:val="0"/>
              <w:rPr>
                <w:rFonts w:hint="eastAsia"/>
                <w:kern w:val="0"/>
                <w:szCs w:val="21"/>
              </w:rPr>
            </w:pPr>
          </w:p>
          <w:p w14:paraId="0064D2C7">
            <w:pPr>
              <w:adjustRightInd w:val="0"/>
              <w:snapToGrid w:val="0"/>
              <w:rPr>
                <w:rFonts w:hint="eastAsia"/>
                <w:kern w:val="0"/>
                <w:szCs w:val="21"/>
              </w:rPr>
            </w:pPr>
          </w:p>
          <w:p w14:paraId="15AD371C">
            <w:pPr>
              <w:adjustRightInd w:val="0"/>
              <w:snapToGrid w:val="0"/>
              <w:rPr>
                <w:rFonts w:hint="eastAsia"/>
                <w:kern w:val="0"/>
                <w:szCs w:val="21"/>
              </w:rPr>
            </w:pPr>
          </w:p>
          <w:p w14:paraId="6D1AE050">
            <w:pPr>
              <w:adjustRightInd w:val="0"/>
              <w:snapToGrid w:val="0"/>
              <w:rPr>
                <w:rFonts w:hint="eastAsia"/>
                <w:kern w:val="0"/>
                <w:szCs w:val="21"/>
              </w:rPr>
            </w:pPr>
          </w:p>
          <w:p w14:paraId="61043C3A">
            <w:pPr>
              <w:adjustRightInd w:val="0"/>
              <w:snapToGrid w:val="0"/>
              <w:rPr>
                <w:rFonts w:hint="eastAsia"/>
                <w:kern w:val="0"/>
                <w:szCs w:val="21"/>
              </w:rPr>
            </w:pPr>
          </w:p>
          <w:p w14:paraId="46AD5FAA">
            <w:pPr>
              <w:adjustRightInd w:val="0"/>
              <w:snapToGrid w:val="0"/>
              <w:rPr>
                <w:rFonts w:hint="eastAsia"/>
                <w:kern w:val="0"/>
                <w:szCs w:val="21"/>
              </w:rPr>
            </w:pPr>
          </w:p>
          <w:p w14:paraId="07186D62">
            <w:pPr>
              <w:adjustRightInd w:val="0"/>
              <w:snapToGrid w:val="0"/>
              <w:rPr>
                <w:rFonts w:hint="eastAsia"/>
                <w:kern w:val="0"/>
                <w:szCs w:val="21"/>
              </w:rPr>
            </w:pPr>
          </w:p>
          <w:p w14:paraId="45F9F66A">
            <w:pPr>
              <w:adjustRightInd w:val="0"/>
              <w:snapToGrid w:val="0"/>
              <w:rPr>
                <w:rFonts w:hint="eastAsia"/>
                <w:kern w:val="0"/>
                <w:szCs w:val="21"/>
              </w:rPr>
            </w:pPr>
          </w:p>
          <w:p w14:paraId="17D10AAE">
            <w:pPr>
              <w:adjustRightInd w:val="0"/>
              <w:snapToGrid w:val="0"/>
              <w:rPr>
                <w:rFonts w:hint="eastAsia"/>
                <w:kern w:val="0"/>
                <w:szCs w:val="21"/>
              </w:rPr>
            </w:pPr>
          </w:p>
          <w:p w14:paraId="4A20C5C5">
            <w:pPr>
              <w:adjustRightInd w:val="0"/>
              <w:snapToGrid w:val="0"/>
              <w:rPr>
                <w:rFonts w:hint="eastAsia"/>
                <w:kern w:val="0"/>
                <w:szCs w:val="21"/>
              </w:rPr>
            </w:pPr>
          </w:p>
          <w:p w14:paraId="23CA316B">
            <w:pPr>
              <w:adjustRightInd w:val="0"/>
              <w:snapToGrid w:val="0"/>
              <w:rPr>
                <w:rFonts w:hint="eastAsia"/>
                <w:kern w:val="0"/>
                <w:szCs w:val="21"/>
              </w:rPr>
            </w:pPr>
          </w:p>
          <w:p w14:paraId="4D9217B4">
            <w:pPr>
              <w:adjustRightInd w:val="0"/>
              <w:snapToGrid w:val="0"/>
              <w:rPr>
                <w:rFonts w:hint="eastAsia"/>
                <w:kern w:val="0"/>
                <w:szCs w:val="21"/>
              </w:rPr>
            </w:pPr>
          </w:p>
          <w:p w14:paraId="6BDDB562">
            <w:pPr>
              <w:adjustRightInd w:val="0"/>
              <w:snapToGrid w:val="0"/>
              <w:rPr>
                <w:rFonts w:hint="eastAsia"/>
                <w:kern w:val="0"/>
                <w:szCs w:val="21"/>
              </w:rPr>
            </w:pPr>
          </w:p>
          <w:p w14:paraId="2B8ED793">
            <w:pPr>
              <w:adjustRightInd w:val="0"/>
              <w:snapToGrid w:val="0"/>
              <w:rPr>
                <w:rFonts w:hint="eastAsia"/>
                <w:kern w:val="0"/>
                <w:szCs w:val="21"/>
              </w:rPr>
            </w:pPr>
          </w:p>
          <w:p w14:paraId="062AFD37">
            <w:pPr>
              <w:adjustRightInd w:val="0"/>
              <w:snapToGrid w:val="0"/>
              <w:rPr>
                <w:rFonts w:hint="eastAsia"/>
                <w:kern w:val="0"/>
                <w:szCs w:val="21"/>
              </w:rPr>
            </w:pPr>
          </w:p>
          <w:p w14:paraId="24339A26">
            <w:pPr>
              <w:adjustRightInd w:val="0"/>
              <w:snapToGrid w:val="0"/>
              <w:rPr>
                <w:rFonts w:hint="eastAsia"/>
                <w:kern w:val="0"/>
                <w:szCs w:val="21"/>
              </w:rPr>
            </w:pPr>
          </w:p>
          <w:p w14:paraId="51B3F956">
            <w:pPr>
              <w:adjustRightInd w:val="0"/>
              <w:snapToGrid w:val="0"/>
              <w:rPr>
                <w:rFonts w:hint="eastAsia"/>
                <w:kern w:val="0"/>
                <w:szCs w:val="21"/>
              </w:rPr>
            </w:pPr>
          </w:p>
          <w:p w14:paraId="7C82D6EA">
            <w:pPr>
              <w:adjustRightInd w:val="0"/>
              <w:snapToGrid w:val="0"/>
              <w:rPr>
                <w:rFonts w:hint="eastAsia"/>
                <w:kern w:val="0"/>
                <w:szCs w:val="21"/>
              </w:rPr>
            </w:pPr>
          </w:p>
          <w:p w14:paraId="1E65A2EC">
            <w:pPr>
              <w:adjustRightInd w:val="0"/>
              <w:snapToGrid w:val="0"/>
              <w:rPr>
                <w:rFonts w:hint="eastAsia"/>
                <w:kern w:val="0"/>
                <w:szCs w:val="21"/>
              </w:rPr>
            </w:pPr>
          </w:p>
          <w:p w14:paraId="1CF14B0E">
            <w:pPr>
              <w:adjustRightInd w:val="0"/>
              <w:snapToGrid w:val="0"/>
              <w:rPr>
                <w:rFonts w:hint="eastAsia"/>
                <w:kern w:val="0"/>
                <w:szCs w:val="21"/>
              </w:rPr>
            </w:pPr>
          </w:p>
          <w:p w14:paraId="35F32DD7">
            <w:pPr>
              <w:adjustRightInd w:val="0"/>
              <w:snapToGrid w:val="0"/>
              <w:rPr>
                <w:kern w:val="0"/>
                <w:szCs w:val="21"/>
              </w:rPr>
            </w:pPr>
          </w:p>
        </w:tc>
      </w:tr>
    </w:tbl>
    <w:p w14:paraId="117C851E">
      <w:pPr>
        <w:pStyle w:val="19"/>
        <w:spacing w:before="120" w:beforeLines="50" w:beforeAutospacing="0" w:after="120" w:afterLines="5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27" w:name="_Toc21914"/>
      <w:r>
        <w:rPr>
          <w:rFonts w:ascii="Times New Roman" w:hAnsi="Times New Roman" w:eastAsia="黑体"/>
          <w:snapToGrid w:val="0"/>
          <w:sz w:val="30"/>
          <w:szCs w:val="30"/>
        </w:rPr>
        <w:t>四、主要环境影响和保护措施</w:t>
      </w:r>
      <w:bookmarkEnd w:id="27"/>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93"/>
      </w:tblGrid>
      <w:tr w14:paraId="4DDAB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9" w:hRule="atLeast"/>
          <w:jc w:val="center"/>
        </w:trPr>
        <w:tc>
          <w:tcPr>
            <w:tcW w:w="288" w:type="dxa"/>
            <w:tcMar>
              <w:left w:w="28" w:type="dxa"/>
              <w:right w:w="28" w:type="dxa"/>
            </w:tcMar>
            <w:vAlign w:val="center"/>
          </w:tcPr>
          <w:p w14:paraId="454A18B7">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14:paraId="6B3DC2B7">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14:paraId="6331E6BF">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14:paraId="1E3BEFBF">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14:paraId="1CCCBABB">
            <w:pPr>
              <w:pStyle w:val="19"/>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w:t>
            </w:r>
          </w:p>
        </w:tc>
        <w:tc>
          <w:tcPr>
            <w:tcW w:w="8693" w:type="dxa"/>
            <w:vAlign w:val="center"/>
          </w:tcPr>
          <w:p w14:paraId="47D04976">
            <w:pPr>
              <w:numPr>
                <w:ilvl w:val="0"/>
                <w:numId w:val="4"/>
              </w:numPr>
              <w:adjustRightInd w:val="0"/>
              <w:snapToGrid w:val="0"/>
              <w:spacing w:line="360" w:lineRule="auto"/>
              <w:ind w:firstLine="480" w:firstLineChars="200"/>
              <w:rPr>
                <w:sz w:val="24"/>
              </w:rPr>
            </w:pPr>
            <w:r>
              <w:rPr>
                <w:sz w:val="24"/>
              </w:rPr>
              <w:t>废气</w:t>
            </w:r>
          </w:p>
          <w:p w14:paraId="1677AF91">
            <w:pPr>
              <w:pStyle w:val="15"/>
              <w:adjustRightInd w:val="0"/>
              <w:spacing w:line="360" w:lineRule="auto"/>
              <w:ind w:firstLine="480" w:firstLineChars="200"/>
              <w:rPr>
                <w:sz w:val="24"/>
                <w:szCs w:val="24"/>
              </w:rPr>
            </w:pPr>
            <w:r>
              <w:rPr>
                <w:sz w:val="24"/>
                <w:szCs w:val="24"/>
              </w:rPr>
              <w:t>施工期废气主要为扬尘、焊接废气和燃油废气。</w:t>
            </w:r>
          </w:p>
          <w:p w14:paraId="66A63187">
            <w:pPr>
              <w:spacing w:line="360" w:lineRule="auto"/>
              <w:ind w:firstLine="480" w:firstLineChars="200"/>
              <w:rPr>
                <w:rFonts w:eastAsiaTheme="minorEastAsia"/>
                <w:sz w:val="24"/>
              </w:rPr>
            </w:pPr>
            <w:r>
              <w:rPr>
                <w:rFonts w:eastAsiaTheme="minorEastAsia"/>
                <w:sz w:val="24"/>
              </w:rPr>
              <w:t>本项目施工过程中需采取如下防尘和抑尘措施：</w:t>
            </w:r>
          </w:p>
          <w:p w14:paraId="36B5933C">
            <w:pPr>
              <w:spacing w:line="360" w:lineRule="auto"/>
              <w:ind w:firstLine="480" w:firstLineChars="200"/>
              <w:rPr>
                <w:rFonts w:eastAsiaTheme="minorEastAsia"/>
                <w:sz w:val="24"/>
              </w:rPr>
            </w:pPr>
            <w:r>
              <w:rPr>
                <w:rFonts w:eastAsiaTheme="minorEastAsia"/>
                <w:sz w:val="24"/>
              </w:rPr>
              <w:t>（1）在项目施工出入口处铺垫碎石道路，保持出入口的清洁；材料运输过程中杜绝抛、撒、飞、漏等扬尘污染。</w:t>
            </w:r>
          </w:p>
          <w:p w14:paraId="686AC5FA">
            <w:pPr>
              <w:spacing w:line="360" w:lineRule="auto"/>
              <w:ind w:firstLine="480" w:firstLineChars="200"/>
              <w:rPr>
                <w:rFonts w:eastAsiaTheme="minorEastAsia"/>
                <w:sz w:val="24"/>
              </w:rPr>
            </w:pPr>
            <w:r>
              <w:rPr>
                <w:rFonts w:eastAsiaTheme="minorEastAsia"/>
                <w:sz w:val="24"/>
              </w:rPr>
              <w:t>（2）施工场地定期洒水，防止扬尘产生，一般每天不少于2次；若遇到大风或干燥天气要适当增加洒水次数。</w:t>
            </w:r>
          </w:p>
          <w:p w14:paraId="0FD4AFAE">
            <w:pPr>
              <w:tabs>
                <w:tab w:val="left" w:pos="855"/>
                <w:tab w:val="left" w:pos="958"/>
                <w:tab w:val="left" w:pos="1164"/>
              </w:tabs>
              <w:spacing w:line="360" w:lineRule="auto"/>
              <w:ind w:firstLine="480" w:firstLineChars="200"/>
              <w:rPr>
                <w:rFonts w:eastAsiaTheme="minorEastAsia"/>
                <w:sz w:val="24"/>
              </w:rPr>
            </w:pPr>
            <w:r>
              <w:rPr>
                <w:rFonts w:eastAsiaTheme="minorEastAsia"/>
                <w:sz w:val="24"/>
              </w:rPr>
              <w:t>（3）将开挖土方集中堆放，及时回填，临时堆放场时应采用土工布进行覆盖，减少扬尘影响时间。废弃土石方，建筑材料弃渣及时清运，物料设置专门封闭堆存间、无法封闭堆存的物料应采用土工布进行全封闭的遮盖，减少物料在项目内的堆存时间。</w:t>
            </w:r>
          </w:p>
          <w:p w14:paraId="133850D0">
            <w:pPr>
              <w:tabs>
                <w:tab w:val="left" w:pos="855"/>
                <w:tab w:val="left" w:pos="958"/>
                <w:tab w:val="left" w:pos="1164"/>
              </w:tabs>
              <w:spacing w:line="360" w:lineRule="auto"/>
              <w:ind w:firstLine="480" w:firstLineChars="200"/>
              <w:rPr>
                <w:rFonts w:eastAsiaTheme="minorEastAsia"/>
                <w:sz w:val="24"/>
              </w:rPr>
            </w:pPr>
            <w:r>
              <w:rPr>
                <w:rFonts w:eastAsiaTheme="minorEastAsia"/>
                <w:sz w:val="24"/>
              </w:rPr>
              <w:t>（4）在施工中合理组织施工，缩短施工时间，尽量减少施工污染。</w:t>
            </w:r>
          </w:p>
          <w:p w14:paraId="4D13F65D">
            <w:pPr>
              <w:spacing w:line="360" w:lineRule="auto"/>
              <w:ind w:firstLine="480" w:firstLineChars="200"/>
              <w:rPr>
                <w:rFonts w:eastAsiaTheme="minorEastAsia"/>
                <w:sz w:val="24"/>
              </w:rPr>
            </w:pPr>
            <w:r>
              <w:rPr>
                <w:rFonts w:eastAsiaTheme="minorEastAsia"/>
                <w:sz w:val="24"/>
              </w:rPr>
              <w:t>（5）在施工机械的选型上考虑相应的环保型产品，主要使用轻质柴油或电作为能源，不得使用劣质燃料。</w:t>
            </w:r>
          </w:p>
          <w:p w14:paraId="6C903B44">
            <w:pPr>
              <w:spacing w:line="360" w:lineRule="auto"/>
              <w:ind w:firstLine="480" w:firstLineChars="200"/>
              <w:rPr>
                <w:rFonts w:eastAsiaTheme="minorEastAsia"/>
                <w:sz w:val="24"/>
              </w:rPr>
            </w:pPr>
            <w:r>
              <w:rPr>
                <w:rFonts w:eastAsiaTheme="minorEastAsia"/>
                <w:sz w:val="24"/>
              </w:rPr>
              <w:t>（6）施工道路应保持平整，设施工道路养护、维修、清扫专职人员，保持道路清洁、运行状态良好。</w:t>
            </w:r>
          </w:p>
          <w:p w14:paraId="2782FCAE">
            <w:pPr>
              <w:spacing w:line="360" w:lineRule="auto"/>
              <w:ind w:firstLine="480" w:firstLineChars="200"/>
              <w:rPr>
                <w:rFonts w:eastAsiaTheme="minorEastAsia"/>
                <w:sz w:val="24"/>
              </w:rPr>
            </w:pPr>
            <w:r>
              <w:rPr>
                <w:rFonts w:eastAsiaTheme="minorEastAsia"/>
                <w:sz w:val="24"/>
              </w:rPr>
              <w:t>（</w:t>
            </w:r>
            <w:r>
              <w:rPr>
                <w:rFonts w:hint="eastAsia" w:eastAsiaTheme="minorEastAsia"/>
                <w:sz w:val="24"/>
              </w:rPr>
              <w:t>7</w:t>
            </w:r>
            <w:r>
              <w:rPr>
                <w:rFonts w:eastAsiaTheme="minorEastAsia"/>
                <w:sz w:val="24"/>
              </w:rPr>
              <w:t>）运输车辆进入施工场地应低速行驶，或限速行驶，以减少产尘量，并定时对车辆进行冲洗。防止带泥土的运输车辆驶出现场和遗撤渣土在路途中。</w:t>
            </w:r>
          </w:p>
          <w:p w14:paraId="5E84BFAF">
            <w:pPr>
              <w:spacing w:line="360" w:lineRule="auto"/>
              <w:ind w:firstLine="480" w:firstLineChars="200"/>
              <w:rPr>
                <w:rFonts w:eastAsiaTheme="minorEastAsia"/>
                <w:sz w:val="24"/>
              </w:rPr>
            </w:pPr>
            <w:r>
              <w:rPr>
                <w:rFonts w:eastAsiaTheme="minorEastAsia"/>
                <w:sz w:val="24"/>
              </w:rPr>
              <w:t>（</w:t>
            </w:r>
            <w:r>
              <w:rPr>
                <w:rFonts w:hint="eastAsia" w:eastAsiaTheme="minorEastAsia"/>
                <w:sz w:val="24"/>
              </w:rPr>
              <w:t>8</w:t>
            </w:r>
            <w:r>
              <w:rPr>
                <w:rFonts w:eastAsiaTheme="minorEastAsia"/>
                <w:sz w:val="24"/>
              </w:rPr>
              <w:t>）粉细散装材料，应尽量采取库内存放，如露天存放应采用土工布进行严密遮盖及围挡措施。</w:t>
            </w:r>
          </w:p>
          <w:p w14:paraId="02D967D9">
            <w:pPr>
              <w:pStyle w:val="15"/>
              <w:adjustRightInd w:val="0"/>
              <w:spacing w:line="360" w:lineRule="auto"/>
              <w:ind w:firstLine="480" w:firstLineChars="200"/>
              <w:rPr>
                <w:sz w:val="24"/>
                <w:szCs w:val="24"/>
              </w:rPr>
            </w:pPr>
            <w:r>
              <w:rPr>
                <w:rFonts w:eastAsiaTheme="minorEastAsia"/>
                <w:sz w:val="24"/>
                <w:szCs w:val="24"/>
              </w:rPr>
              <w:t>（</w:t>
            </w:r>
            <w:r>
              <w:rPr>
                <w:rFonts w:hint="eastAsia" w:eastAsiaTheme="minorEastAsia"/>
                <w:sz w:val="24"/>
                <w:szCs w:val="24"/>
              </w:rPr>
              <w:t>9</w:t>
            </w:r>
            <w:r>
              <w:rPr>
                <w:rFonts w:eastAsiaTheme="minorEastAsia"/>
                <w:sz w:val="24"/>
                <w:szCs w:val="24"/>
              </w:rPr>
              <w:t>）车辆运输建筑垃圾时必须加盖封闭运输，减少抛洒。</w:t>
            </w:r>
          </w:p>
          <w:p w14:paraId="022C8632">
            <w:pPr>
              <w:spacing w:line="360" w:lineRule="auto"/>
              <w:ind w:firstLine="480" w:firstLineChars="200"/>
              <w:jc w:val="left"/>
              <w:rPr>
                <w:sz w:val="24"/>
              </w:rPr>
            </w:pPr>
            <w:r>
              <w:rPr>
                <w:sz w:val="24"/>
              </w:rPr>
              <w:t>项目在主体建筑及配套设施建设的过程中需要进行焊接、切割，产生的切割、焊接废气，为无组织排放，切割主要集中在地面，切割粉尘粒径、密度较大，很快会沉降在地面，所产生的烟尘和粉尘的量均不大，影响范围局限于焊接点和切割点，主要成分为粉尘，由于施工区域空旷，在露天环境下很快得到扩散，不会形成局部高浓度区域，通过自然扩散对周边环境影响较小。</w:t>
            </w:r>
          </w:p>
          <w:p w14:paraId="31B138BA">
            <w:pPr>
              <w:spacing w:line="360" w:lineRule="auto"/>
              <w:ind w:firstLine="480" w:firstLineChars="200"/>
              <w:jc w:val="left"/>
              <w:rPr>
                <w:sz w:val="24"/>
              </w:rPr>
            </w:pPr>
            <w:r>
              <w:rPr>
                <w:sz w:val="24"/>
              </w:rPr>
              <w:t>项目施工期间，汽车和各种施工机械消耗油料产生的燃油废气，主要成分为CO、NOx和总碳氢化合物（THC），由于施工点多且比较分散，加之其排放方式为间断排放，因此对于每个施工点而言施工时产生的燃油废气较少，在环境空气中经自然扩散、稀释，对周围环境产生的影响在可接受范围内。</w:t>
            </w:r>
          </w:p>
          <w:p w14:paraId="36038E7D">
            <w:pPr>
              <w:pStyle w:val="15"/>
              <w:adjustRightInd w:val="0"/>
              <w:spacing w:line="360" w:lineRule="auto"/>
              <w:ind w:firstLine="480" w:firstLineChars="200"/>
              <w:rPr>
                <w:sz w:val="24"/>
                <w:szCs w:val="24"/>
              </w:rPr>
            </w:pPr>
            <w:r>
              <w:rPr>
                <w:sz w:val="24"/>
                <w:szCs w:val="24"/>
              </w:rPr>
              <w:t>2、废水</w:t>
            </w:r>
          </w:p>
          <w:p w14:paraId="047BB204">
            <w:pPr>
              <w:spacing w:line="360" w:lineRule="auto"/>
              <w:ind w:firstLine="480" w:firstLineChars="200"/>
              <w:rPr>
                <w:rFonts w:eastAsiaTheme="minorEastAsia"/>
                <w:sz w:val="24"/>
              </w:rPr>
            </w:pPr>
            <w:r>
              <w:rPr>
                <w:rFonts w:eastAsiaTheme="minorEastAsia"/>
                <w:sz w:val="24"/>
              </w:rPr>
              <w:t>项目施工期间产生的废水主要来自少量施工人员生活废水、施工废水。</w:t>
            </w:r>
          </w:p>
          <w:p w14:paraId="727F7DE4">
            <w:pPr>
              <w:spacing w:line="360" w:lineRule="auto"/>
              <w:ind w:firstLine="470" w:firstLineChars="196"/>
              <w:rPr>
                <w:rFonts w:eastAsiaTheme="minorEastAsia"/>
                <w:bCs/>
                <w:sz w:val="24"/>
              </w:rPr>
            </w:pPr>
            <w:r>
              <w:rPr>
                <w:rFonts w:eastAsiaTheme="minorEastAsia"/>
                <w:bCs/>
                <w:sz w:val="24"/>
              </w:rPr>
              <w:t>（1）生活污水</w:t>
            </w:r>
          </w:p>
          <w:p w14:paraId="54523C4C">
            <w:pPr>
              <w:spacing w:line="360" w:lineRule="auto"/>
              <w:ind w:firstLine="480" w:firstLineChars="200"/>
              <w:rPr>
                <w:rFonts w:eastAsiaTheme="minorEastAsia"/>
                <w:sz w:val="24"/>
              </w:rPr>
            </w:pPr>
            <w:r>
              <w:rPr>
                <w:rFonts w:eastAsiaTheme="minorEastAsia"/>
                <w:sz w:val="24"/>
              </w:rPr>
              <w:t>本项目不设置施工营地，将施工人员均为附近村民，公厕和施工人员洗手依托现有生活设施。</w:t>
            </w:r>
          </w:p>
          <w:p w14:paraId="21C35295">
            <w:pPr>
              <w:adjustRightInd w:val="0"/>
              <w:snapToGrid w:val="0"/>
              <w:spacing w:line="360" w:lineRule="auto"/>
              <w:ind w:firstLine="480" w:firstLineChars="200"/>
              <w:rPr>
                <w:rFonts w:eastAsiaTheme="minorEastAsia"/>
                <w:bCs/>
                <w:sz w:val="24"/>
                <w:szCs w:val="22"/>
              </w:rPr>
            </w:pPr>
            <w:r>
              <w:rPr>
                <w:rFonts w:eastAsiaTheme="minorEastAsia"/>
                <w:bCs/>
                <w:sz w:val="24"/>
                <w:szCs w:val="22"/>
              </w:rPr>
              <w:t>（2）施工废水</w:t>
            </w:r>
          </w:p>
          <w:p w14:paraId="451D517F">
            <w:pPr>
              <w:adjustRightInd w:val="0"/>
              <w:snapToGrid w:val="0"/>
              <w:spacing w:line="360" w:lineRule="auto"/>
              <w:ind w:firstLine="480" w:firstLineChars="200"/>
              <w:rPr>
                <w:rFonts w:eastAsiaTheme="minorEastAsia"/>
                <w:sz w:val="24"/>
              </w:rPr>
            </w:pPr>
            <w:r>
              <w:rPr>
                <w:rFonts w:eastAsiaTheme="minorEastAsia"/>
                <w:sz w:val="24"/>
                <w:szCs w:val="22"/>
              </w:rPr>
              <w:t>施工废水主要来自设备清洗废水</w:t>
            </w:r>
            <w:r>
              <w:rPr>
                <w:rFonts w:hint="eastAsia" w:eastAsiaTheme="minorEastAsia"/>
                <w:sz w:val="24"/>
                <w:szCs w:val="22"/>
              </w:rPr>
              <w:t>，</w:t>
            </w:r>
            <w:r>
              <w:rPr>
                <w:rFonts w:eastAsiaTheme="minorEastAsia"/>
                <w:sz w:val="24"/>
              </w:rPr>
              <w:t>经一个容积为1m</w:t>
            </w:r>
            <w:r>
              <w:rPr>
                <w:rFonts w:eastAsiaTheme="minorEastAsia"/>
                <w:sz w:val="24"/>
                <w:vertAlign w:val="superscript"/>
              </w:rPr>
              <w:t>3</w:t>
            </w:r>
            <w:r>
              <w:rPr>
                <w:rFonts w:eastAsiaTheme="minorEastAsia"/>
                <w:sz w:val="24"/>
              </w:rPr>
              <w:t>的施工废水收集池沉淀处理之后</w:t>
            </w:r>
            <w:r>
              <w:rPr>
                <w:rFonts w:eastAsiaTheme="minorEastAsia"/>
                <w:sz w:val="24"/>
                <w:szCs w:val="22"/>
              </w:rPr>
              <w:t>回用于项目内洒水降尘，不外排。</w:t>
            </w:r>
          </w:p>
          <w:p w14:paraId="385C7F7D">
            <w:pPr>
              <w:spacing w:line="360" w:lineRule="auto"/>
              <w:ind w:firstLine="480" w:firstLineChars="200"/>
              <w:rPr>
                <w:bCs/>
                <w:sz w:val="24"/>
              </w:rPr>
            </w:pPr>
            <w:r>
              <w:rPr>
                <w:bCs/>
                <w:sz w:val="24"/>
              </w:rPr>
              <w:t>综上所述，项目施工过程中严格采取环评提出的措施后，对周围地表水环境的影响不大。</w:t>
            </w:r>
          </w:p>
          <w:p w14:paraId="6A42C21D">
            <w:pPr>
              <w:pStyle w:val="15"/>
              <w:adjustRightInd w:val="0"/>
              <w:spacing w:line="360" w:lineRule="auto"/>
              <w:ind w:firstLine="480" w:firstLineChars="200"/>
              <w:rPr>
                <w:sz w:val="24"/>
                <w:szCs w:val="24"/>
              </w:rPr>
            </w:pPr>
            <w:r>
              <w:rPr>
                <w:sz w:val="24"/>
                <w:szCs w:val="24"/>
              </w:rPr>
              <w:t>3、噪声</w:t>
            </w:r>
          </w:p>
          <w:p w14:paraId="193FDB06">
            <w:pPr>
              <w:spacing w:line="360" w:lineRule="auto"/>
              <w:ind w:firstLine="480" w:firstLineChars="200"/>
              <w:rPr>
                <w:rFonts w:eastAsiaTheme="minorEastAsia"/>
                <w:sz w:val="24"/>
              </w:rPr>
            </w:pPr>
            <w:r>
              <w:rPr>
                <w:kern w:val="0"/>
                <w:sz w:val="24"/>
              </w:rPr>
              <w:t>施工期主要噪声源为各类机械设备噪声及物料运输的交通噪声。各噪声源声功率级介于75~110dB（A），会对周围声环境产生一定的影响。但施工期其噪声影响是短暂的，一旦施工活动结束，施工噪声也将随之结束。为保证项目周边声环境质量不受过分的影响，施工单位务必规范施工行为，采取如下污染防范措施：</w:t>
            </w:r>
          </w:p>
          <w:p w14:paraId="0C33C186">
            <w:pPr>
              <w:spacing w:line="360" w:lineRule="auto"/>
              <w:ind w:firstLine="480" w:firstLineChars="200"/>
              <w:rPr>
                <w:rFonts w:eastAsiaTheme="minorEastAsia"/>
                <w:sz w:val="24"/>
              </w:rPr>
            </w:pPr>
            <w:r>
              <w:rPr>
                <w:rFonts w:eastAsiaTheme="minorEastAsia"/>
                <w:sz w:val="24"/>
              </w:rPr>
              <w:t>（1）建设单位应尽量选用低噪声机械设备。同时在施工过程中设专人对设备进行保养和维护，并负责对现场工作人员进行培训，严格按操作规范使用各类机械。</w:t>
            </w:r>
          </w:p>
          <w:p w14:paraId="15763523">
            <w:pPr>
              <w:spacing w:line="360" w:lineRule="auto"/>
              <w:ind w:firstLine="480" w:firstLineChars="200"/>
              <w:rPr>
                <w:rFonts w:eastAsiaTheme="minorEastAsia"/>
                <w:sz w:val="24"/>
              </w:rPr>
            </w:pPr>
            <w:r>
              <w:rPr>
                <w:rFonts w:eastAsiaTheme="minorEastAsia"/>
                <w:sz w:val="24"/>
              </w:rPr>
              <w:t>（</w:t>
            </w:r>
            <w:r>
              <w:rPr>
                <w:rFonts w:hint="eastAsia" w:eastAsiaTheme="minorEastAsia"/>
                <w:sz w:val="24"/>
              </w:rPr>
              <w:t>2</w:t>
            </w:r>
            <w:r>
              <w:rPr>
                <w:rFonts w:eastAsiaTheme="minorEastAsia"/>
                <w:sz w:val="24"/>
              </w:rPr>
              <w:t>）施工期运输车辆应尽量保持良好车况，合理调度，尽可能匀速慢行。</w:t>
            </w:r>
          </w:p>
          <w:p w14:paraId="2D0DA066">
            <w:pPr>
              <w:spacing w:line="360" w:lineRule="auto"/>
              <w:ind w:firstLine="480" w:firstLineChars="200"/>
              <w:outlineLvl w:val="0"/>
              <w:rPr>
                <w:rFonts w:eastAsiaTheme="minorEastAsia"/>
                <w:sz w:val="24"/>
              </w:rPr>
            </w:pPr>
            <w:bookmarkStart w:id="28" w:name="_Toc507402452"/>
            <w:r>
              <w:rPr>
                <w:rFonts w:eastAsiaTheme="minorEastAsia"/>
                <w:sz w:val="24"/>
              </w:rPr>
              <w:t>（</w:t>
            </w:r>
            <w:r>
              <w:rPr>
                <w:rFonts w:hint="eastAsia" w:eastAsiaTheme="minorEastAsia"/>
                <w:sz w:val="24"/>
              </w:rPr>
              <w:t>3</w:t>
            </w:r>
            <w:r>
              <w:rPr>
                <w:rFonts w:eastAsiaTheme="minorEastAsia"/>
                <w:sz w:val="24"/>
              </w:rPr>
              <w:t>）施工期间必须严格按GB12523-20</w:t>
            </w:r>
            <w:r>
              <w:rPr>
                <w:rFonts w:hint="eastAsia" w:eastAsiaTheme="minorEastAsia"/>
                <w:sz w:val="24"/>
              </w:rPr>
              <w:t>25</w:t>
            </w:r>
            <w:r>
              <w:rPr>
                <w:rFonts w:eastAsiaTheme="minorEastAsia"/>
                <w:sz w:val="24"/>
              </w:rPr>
              <w:t>《建筑施工噪声排放标准》进行施工时间、施工噪声的控制，以减少工程建设施工对周边造成的声环境影响。</w:t>
            </w:r>
            <w:bookmarkEnd w:id="28"/>
          </w:p>
          <w:p w14:paraId="7B1EEE05">
            <w:pPr>
              <w:adjustRightInd w:val="0"/>
              <w:snapToGrid w:val="0"/>
              <w:spacing w:line="360" w:lineRule="auto"/>
              <w:ind w:firstLine="480" w:firstLineChars="200"/>
              <w:rPr>
                <w:rFonts w:eastAsiaTheme="minorEastAsia"/>
                <w:sz w:val="24"/>
              </w:rPr>
            </w:pPr>
            <w:bookmarkStart w:id="29" w:name="_Toc507402453"/>
            <w:r>
              <w:rPr>
                <w:rFonts w:eastAsiaTheme="minorEastAsia"/>
                <w:sz w:val="24"/>
              </w:rPr>
              <w:t>（</w:t>
            </w:r>
            <w:r>
              <w:rPr>
                <w:rFonts w:hint="eastAsia" w:eastAsiaTheme="minorEastAsia"/>
                <w:sz w:val="24"/>
              </w:rPr>
              <w:t>4</w:t>
            </w:r>
            <w:r>
              <w:rPr>
                <w:rFonts w:eastAsiaTheme="minorEastAsia"/>
                <w:sz w:val="24"/>
              </w:rPr>
              <w:t>）建设管理部门应加强对施工场地的噪声管理，施工企业也应对施工噪声进行自律，文明施工，避免因施工噪声产生纠纷。</w:t>
            </w:r>
            <w:bookmarkEnd w:id="29"/>
          </w:p>
          <w:p w14:paraId="6965DBBF">
            <w:pPr>
              <w:adjustRightInd w:val="0"/>
              <w:snapToGrid w:val="0"/>
              <w:spacing w:line="360" w:lineRule="auto"/>
              <w:ind w:firstLine="480" w:firstLineChars="200"/>
              <w:rPr>
                <w:kern w:val="0"/>
                <w:sz w:val="24"/>
              </w:rPr>
            </w:pPr>
            <w:r>
              <w:rPr>
                <w:rFonts w:hint="eastAsia"/>
                <w:kern w:val="0"/>
                <w:sz w:val="24"/>
              </w:rPr>
              <w:t>（5）</w:t>
            </w:r>
            <w:r>
              <w:rPr>
                <w:kern w:val="0"/>
                <w:sz w:val="24"/>
              </w:rPr>
              <w:t>加强个人防护措施。按照劳动卫生标准，控制高噪声机械施工人员的工作时间，对机械操作者及有关人员采取个人防护措施，如戴耳塞、头盔等。</w:t>
            </w:r>
          </w:p>
          <w:p w14:paraId="24B228B8">
            <w:pPr>
              <w:spacing w:line="360" w:lineRule="auto"/>
              <w:ind w:firstLine="480" w:firstLineChars="200"/>
              <w:outlineLvl w:val="0"/>
              <w:rPr>
                <w:rFonts w:eastAsiaTheme="minorEastAsia"/>
                <w:sz w:val="24"/>
              </w:rPr>
            </w:pPr>
            <w:r>
              <w:rPr>
                <w:kern w:val="0"/>
                <w:sz w:val="24"/>
              </w:rPr>
              <w:t>采取以上措施后可以有效减轻施工噪声对周围环境及保护目标的影响，措施可行。</w:t>
            </w:r>
          </w:p>
          <w:p w14:paraId="7F3DD5DF">
            <w:pPr>
              <w:pStyle w:val="15"/>
              <w:adjustRightInd w:val="0"/>
              <w:spacing w:line="360" w:lineRule="auto"/>
              <w:ind w:firstLine="480" w:firstLineChars="200"/>
              <w:rPr>
                <w:sz w:val="24"/>
                <w:szCs w:val="24"/>
              </w:rPr>
            </w:pPr>
            <w:r>
              <w:rPr>
                <w:sz w:val="24"/>
                <w:szCs w:val="24"/>
              </w:rPr>
              <w:t>4、固废</w:t>
            </w:r>
          </w:p>
          <w:p w14:paraId="63186A13">
            <w:pPr>
              <w:spacing w:line="360" w:lineRule="auto"/>
              <w:ind w:firstLine="480" w:firstLineChars="200"/>
              <w:rPr>
                <w:rFonts w:eastAsiaTheme="minorEastAsia"/>
                <w:bCs/>
                <w:sz w:val="24"/>
              </w:rPr>
            </w:pPr>
            <w:r>
              <w:rPr>
                <w:rFonts w:eastAsiaTheme="minorEastAsia"/>
                <w:bCs/>
                <w:sz w:val="24"/>
              </w:rPr>
              <w:t>（</w:t>
            </w:r>
            <w:r>
              <w:rPr>
                <w:rFonts w:hint="eastAsia" w:eastAsiaTheme="minorEastAsia"/>
                <w:bCs/>
                <w:sz w:val="24"/>
              </w:rPr>
              <w:t>1</w:t>
            </w:r>
            <w:r>
              <w:rPr>
                <w:rFonts w:eastAsiaTheme="minorEastAsia"/>
                <w:bCs/>
                <w:sz w:val="24"/>
              </w:rPr>
              <w:t>）建筑垃圾</w:t>
            </w:r>
          </w:p>
          <w:p w14:paraId="723C1F98">
            <w:pPr>
              <w:tabs>
                <w:tab w:val="left" w:pos="1800"/>
              </w:tabs>
              <w:adjustRightInd w:val="0"/>
              <w:snapToGrid w:val="0"/>
              <w:spacing w:line="360" w:lineRule="auto"/>
              <w:ind w:firstLine="480" w:firstLineChars="200"/>
              <w:rPr>
                <w:rFonts w:eastAsiaTheme="minorEastAsia"/>
                <w:sz w:val="24"/>
              </w:rPr>
            </w:pPr>
            <w:r>
              <w:rPr>
                <w:rFonts w:eastAsiaTheme="minorEastAsia"/>
                <w:sz w:val="24"/>
              </w:rPr>
              <w:t>本项目产生的建筑垃圾集中处理，分类收集并尽可能的回收再利用，不能回收利用的统一收集、清运至城建部门指定地点，因此对周边环境影响较小。</w:t>
            </w:r>
          </w:p>
          <w:p w14:paraId="7EB958DB">
            <w:pPr>
              <w:spacing w:line="360" w:lineRule="auto"/>
              <w:ind w:firstLine="480" w:firstLineChars="200"/>
              <w:rPr>
                <w:rFonts w:eastAsiaTheme="minorEastAsia"/>
                <w:bCs/>
                <w:sz w:val="24"/>
              </w:rPr>
            </w:pPr>
            <w:r>
              <w:rPr>
                <w:rFonts w:eastAsiaTheme="minorEastAsia"/>
                <w:bCs/>
                <w:sz w:val="24"/>
              </w:rPr>
              <w:t>（</w:t>
            </w:r>
            <w:r>
              <w:rPr>
                <w:rFonts w:hint="eastAsia" w:eastAsiaTheme="minorEastAsia"/>
                <w:bCs/>
                <w:sz w:val="24"/>
              </w:rPr>
              <w:t>2</w:t>
            </w:r>
            <w:r>
              <w:rPr>
                <w:rFonts w:eastAsiaTheme="minorEastAsia"/>
                <w:bCs/>
                <w:sz w:val="24"/>
              </w:rPr>
              <w:t>）施工人员生活垃圾</w:t>
            </w:r>
          </w:p>
          <w:p w14:paraId="74C4A63C">
            <w:pPr>
              <w:spacing w:line="360" w:lineRule="auto"/>
              <w:ind w:firstLine="480" w:firstLineChars="200"/>
              <w:rPr>
                <w:rFonts w:eastAsiaTheme="minorEastAsia"/>
                <w:sz w:val="24"/>
              </w:rPr>
            </w:pPr>
            <w:r>
              <w:rPr>
                <w:kern w:val="0"/>
                <w:sz w:val="24"/>
              </w:rPr>
              <w:t>本项目施工期为</w:t>
            </w:r>
            <w:r>
              <w:rPr>
                <w:rFonts w:hint="eastAsia"/>
                <w:kern w:val="0"/>
                <w:sz w:val="24"/>
              </w:rPr>
              <w:t>3</w:t>
            </w:r>
            <w:r>
              <w:rPr>
                <w:kern w:val="0"/>
                <w:sz w:val="24"/>
              </w:rPr>
              <w:t>个月，施工期施工人员按10人计算，每人每天产生0.5kg，施工期生活垃圾产生量约0.</w:t>
            </w:r>
            <w:r>
              <w:rPr>
                <w:rFonts w:hint="eastAsia"/>
                <w:kern w:val="0"/>
                <w:sz w:val="24"/>
              </w:rPr>
              <w:t>45</w:t>
            </w:r>
            <w:r>
              <w:rPr>
                <w:kern w:val="0"/>
                <w:sz w:val="24"/>
              </w:rPr>
              <w:t>t，</w:t>
            </w:r>
            <w:r>
              <w:rPr>
                <w:rFonts w:eastAsiaTheme="minorEastAsia"/>
                <w:sz w:val="24"/>
              </w:rPr>
              <w:t>本项目施工现场设置生活垃圾集中堆放点，同时还应加强管理，</w:t>
            </w:r>
            <w:r>
              <w:rPr>
                <w:rFonts w:eastAsiaTheme="minorEastAsia"/>
                <w:sz w:val="24"/>
                <w:szCs w:val="22"/>
              </w:rPr>
              <w:t>增强施工人员环境保护意识，从而减轻集中收集的难度，</w:t>
            </w:r>
            <w:r>
              <w:rPr>
                <w:rFonts w:eastAsiaTheme="minorEastAsia"/>
                <w:sz w:val="24"/>
              </w:rPr>
              <w:t>统一收集后交由当地环卫部门定期清运，对周围环境影响不大。</w:t>
            </w:r>
          </w:p>
          <w:p w14:paraId="55447193">
            <w:pPr>
              <w:spacing w:line="360" w:lineRule="auto"/>
              <w:ind w:firstLine="480" w:firstLineChars="200"/>
              <w:rPr>
                <w:rFonts w:eastAsiaTheme="minorEastAsia"/>
                <w:bCs/>
                <w:sz w:val="24"/>
              </w:rPr>
            </w:pPr>
            <w:r>
              <w:rPr>
                <w:rFonts w:hint="eastAsia" w:eastAsiaTheme="minorEastAsia"/>
                <w:bCs/>
                <w:sz w:val="24"/>
              </w:rPr>
              <w:t>（3）土石方</w:t>
            </w:r>
          </w:p>
          <w:p w14:paraId="637E7F44">
            <w:pPr>
              <w:spacing w:line="360" w:lineRule="auto"/>
              <w:ind w:firstLine="480" w:firstLineChars="200"/>
              <w:rPr>
                <w:rFonts w:eastAsiaTheme="minorEastAsia"/>
                <w:sz w:val="24"/>
              </w:rPr>
            </w:pPr>
            <w:r>
              <w:rPr>
                <w:rFonts w:hint="eastAsia" w:eastAsiaTheme="minorEastAsia"/>
                <w:bCs/>
                <w:sz w:val="24"/>
              </w:rPr>
              <w:t>本项目租用已建建筑，</w:t>
            </w:r>
            <w:r>
              <w:rPr>
                <w:rFonts w:hint="eastAsia"/>
                <w:sz w:val="24"/>
              </w:rPr>
              <w:t>施工期主要对现有厂房进行改造，并配套安装生产设备和环保设施等，施工期土石方开挖量较少，经</w:t>
            </w:r>
            <w:r>
              <w:rPr>
                <w:rFonts w:eastAsiaTheme="minorEastAsia"/>
                <w:sz w:val="24"/>
              </w:rPr>
              <w:t>统一收集、清运至城建部门指定地点</w:t>
            </w:r>
            <w:r>
              <w:rPr>
                <w:rFonts w:hint="eastAsia" w:eastAsiaTheme="minorEastAsia"/>
                <w:sz w:val="24"/>
              </w:rPr>
              <w:t>。</w:t>
            </w:r>
          </w:p>
          <w:p w14:paraId="1B8F02A7">
            <w:pPr>
              <w:spacing w:line="360" w:lineRule="auto"/>
              <w:ind w:firstLine="480" w:firstLineChars="200"/>
              <w:rPr>
                <w:bCs/>
                <w:sz w:val="24"/>
              </w:rPr>
            </w:pPr>
            <w:r>
              <w:rPr>
                <w:bCs/>
                <w:sz w:val="24"/>
              </w:rPr>
              <w:t>综上所述，项目施工过程中严格采取环评提出的措施后，固体废物均得到妥善处置，对周围环境影响不大。</w:t>
            </w:r>
          </w:p>
          <w:p w14:paraId="020455BF">
            <w:pPr>
              <w:pStyle w:val="15"/>
              <w:adjustRightInd w:val="0"/>
              <w:spacing w:line="360" w:lineRule="auto"/>
              <w:ind w:firstLine="480" w:firstLineChars="200"/>
              <w:rPr>
                <w:bCs/>
                <w:sz w:val="24"/>
              </w:rPr>
            </w:pPr>
          </w:p>
          <w:p w14:paraId="588F7080">
            <w:pPr>
              <w:pStyle w:val="15"/>
              <w:adjustRightInd w:val="0"/>
              <w:spacing w:line="360" w:lineRule="auto"/>
              <w:ind w:firstLine="480" w:firstLineChars="200"/>
              <w:rPr>
                <w:bCs/>
                <w:sz w:val="24"/>
              </w:rPr>
            </w:pPr>
          </w:p>
          <w:p w14:paraId="1F4DCA15">
            <w:pPr>
              <w:pStyle w:val="15"/>
              <w:adjustRightInd w:val="0"/>
              <w:spacing w:line="360" w:lineRule="auto"/>
              <w:ind w:firstLine="480" w:firstLineChars="200"/>
              <w:rPr>
                <w:bCs/>
                <w:sz w:val="24"/>
              </w:rPr>
            </w:pPr>
          </w:p>
          <w:p w14:paraId="40C78F22">
            <w:pPr>
              <w:pStyle w:val="15"/>
              <w:adjustRightInd w:val="0"/>
              <w:spacing w:line="360" w:lineRule="auto"/>
              <w:ind w:firstLine="480" w:firstLineChars="200"/>
              <w:rPr>
                <w:bCs/>
                <w:sz w:val="24"/>
              </w:rPr>
            </w:pPr>
          </w:p>
          <w:p w14:paraId="349DC266">
            <w:pPr>
              <w:pStyle w:val="15"/>
              <w:adjustRightInd w:val="0"/>
              <w:spacing w:line="360" w:lineRule="auto"/>
              <w:ind w:firstLine="480" w:firstLineChars="200"/>
              <w:rPr>
                <w:bCs/>
                <w:sz w:val="24"/>
              </w:rPr>
            </w:pPr>
          </w:p>
          <w:p w14:paraId="1113AA63">
            <w:pPr>
              <w:pStyle w:val="15"/>
              <w:adjustRightInd w:val="0"/>
              <w:spacing w:line="360" w:lineRule="auto"/>
              <w:ind w:firstLine="480" w:firstLineChars="200"/>
              <w:rPr>
                <w:bCs/>
                <w:sz w:val="24"/>
              </w:rPr>
            </w:pPr>
          </w:p>
          <w:p w14:paraId="2CA9E353">
            <w:pPr>
              <w:pStyle w:val="15"/>
              <w:adjustRightInd w:val="0"/>
              <w:spacing w:line="360" w:lineRule="auto"/>
              <w:ind w:firstLine="480" w:firstLineChars="200"/>
              <w:rPr>
                <w:rFonts w:hint="eastAsia"/>
                <w:bCs/>
                <w:sz w:val="24"/>
              </w:rPr>
            </w:pPr>
          </w:p>
          <w:p w14:paraId="1813D7E5">
            <w:pPr>
              <w:pStyle w:val="15"/>
              <w:adjustRightInd w:val="0"/>
              <w:spacing w:line="360" w:lineRule="auto"/>
              <w:ind w:firstLine="480" w:firstLineChars="200"/>
              <w:rPr>
                <w:rFonts w:hint="eastAsia"/>
                <w:bCs/>
                <w:sz w:val="24"/>
              </w:rPr>
            </w:pPr>
          </w:p>
          <w:p w14:paraId="5517A063">
            <w:pPr>
              <w:pStyle w:val="15"/>
              <w:adjustRightInd w:val="0"/>
              <w:spacing w:line="360" w:lineRule="auto"/>
              <w:ind w:firstLine="480" w:firstLineChars="200"/>
              <w:rPr>
                <w:rFonts w:hint="eastAsia"/>
                <w:bCs/>
                <w:sz w:val="24"/>
              </w:rPr>
            </w:pPr>
          </w:p>
          <w:p w14:paraId="5F5C5AAA">
            <w:pPr>
              <w:pStyle w:val="15"/>
              <w:adjustRightInd w:val="0"/>
              <w:spacing w:line="360" w:lineRule="auto"/>
              <w:ind w:firstLine="480" w:firstLineChars="200"/>
              <w:rPr>
                <w:rFonts w:hint="eastAsia"/>
                <w:bCs/>
                <w:sz w:val="24"/>
              </w:rPr>
            </w:pPr>
          </w:p>
          <w:p w14:paraId="56A03F4B">
            <w:pPr>
              <w:pStyle w:val="15"/>
              <w:adjustRightInd w:val="0"/>
              <w:spacing w:line="360" w:lineRule="auto"/>
              <w:ind w:firstLine="480" w:firstLineChars="200"/>
              <w:rPr>
                <w:rFonts w:hint="eastAsia"/>
                <w:bCs/>
                <w:sz w:val="24"/>
              </w:rPr>
            </w:pPr>
          </w:p>
          <w:p w14:paraId="2AB6BDA7">
            <w:pPr>
              <w:pStyle w:val="15"/>
              <w:adjustRightInd w:val="0"/>
              <w:spacing w:line="360" w:lineRule="auto"/>
              <w:ind w:firstLine="480" w:firstLineChars="200"/>
              <w:rPr>
                <w:rFonts w:hint="eastAsia"/>
                <w:bCs/>
                <w:sz w:val="24"/>
              </w:rPr>
            </w:pPr>
          </w:p>
          <w:p w14:paraId="3199AD11">
            <w:pPr>
              <w:pStyle w:val="15"/>
              <w:adjustRightInd w:val="0"/>
              <w:spacing w:line="360" w:lineRule="auto"/>
              <w:ind w:firstLine="480" w:firstLineChars="200"/>
              <w:rPr>
                <w:rFonts w:hint="eastAsia"/>
                <w:bCs/>
                <w:sz w:val="24"/>
              </w:rPr>
            </w:pPr>
          </w:p>
          <w:p w14:paraId="116BBB46">
            <w:pPr>
              <w:pStyle w:val="15"/>
              <w:adjustRightInd w:val="0"/>
              <w:spacing w:line="360" w:lineRule="auto"/>
              <w:ind w:firstLine="480" w:firstLineChars="200"/>
              <w:rPr>
                <w:bCs/>
                <w:sz w:val="24"/>
              </w:rPr>
            </w:pPr>
          </w:p>
        </w:tc>
      </w:tr>
    </w:tbl>
    <w:p w14:paraId="568FE1BA">
      <w:pPr>
        <w:adjustRightInd w:val="0"/>
        <w:snapToGrid w:val="0"/>
        <w:jc w:val="center"/>
        <w:rPr>
          <w:bCs/>
          <w:sz w:val="24"/>
        </w:rPr>
      </w:pPr>
      <w:r>
        <w:rPr>
          <w:bCs/>
          <w:sz w:val="24"/>
        </w:rPr>
        <w:br w:type="page"/>
      </w: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93"/>
      </w:tblGrid>
      <w:tr w14:paraId="19E21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1" w:hRule="atLeast"/>
          <w:jc w:val="center"/>
        </w:trPr>
        <w:tc>
          <w:tcPr>
            <w:tcW w:w="288" w:type="dxa"/>
            <w:tcMar>
              <w:left w:w="28" w:type="dxa"/>
              <w:right w:w="28" w:type="dxa"/>
            </w:tcMar>
            <w:vAlign w:val="center"/>
          </w:tcPr>
          <w:p w14:paraId="456EF579">
            <w:pPr>
              <w:adjustRightInd w:val="0"/>
              <w:snapToGrid w:val="0"/>
              <w:jc w:val="center"/>
              <w:rPr>
                <w:bCs/>
                <w:sz w:val="24"/>
              </w:rPr>
            </w:pPr>
            <w:r>
              <w:rPr>
                <w:bCs/>
                <w:sz w:val="24"/>
              </w:rPr>
              <w:t>运营</w:t>
            </w:r>
          </w:p>
          <w:p w14:paraId="7D3845D0">
            <w:pPr>
              <w:adjustRightInd w:val="0"/>
              <w:snapToGrid w:val="0"/>
              <w:jc w:val="center"/>
              <w:rPr>
                <w:bCs/>
                <w:sz w:val="24"/>
              </w:rPr>
            </w:pPr>
            <w:r>
              <w:rPr>
                <w:bCs/>
                <w:sz w:val="24"/>
              </w:rPr>
              <w:t>期环</w:t>
            </w:r>
          </w:p>
          <w:p w14:paraId="7F4353EE">
            <w:pPr>
              <w:adjustRightInd w:val="0"/>
              <w:snapToGrid w:val="0"/>
              <w:jc w:val="center"/>
              <w:rPr>
                <w:bCs/>
                <w:sz w:val="24"/>
              </w:rPr>
            </w:pPr>
            <w:r>
              <w:rPr>
                <w:bCs/>
                <w:sz w:val="24"/>
              </w:rPr>
              <w:t>境影</w:t>
            </w:r>
          </w:p>
          <w:p w14:paraId="75532E16">
            <w:pPr>
              <w:adjustRightInd w:val="0"/>
              <w:snapToGrid w:val="0"/>
              <w:jc w:val="center"/>
              <w:rPr>
                <w:bCs/>
                <w:sz w:val="24"/>
              </w:rPr>
            </w:pPr>
            <w:r>
              <w:rPr>
                <w:bCs/>
                <w:sz w:val="24"/>
              </w:rPr>
              <w:t>响和</w:t>
            </w:r>
          </w:p>
          <w:p w14:paraId="558560EF">
            <w:pPr>
              <w:adjustRightInd w:val="0"/>
              <w:snapToGrid w:val="0"/>
              <w:jc w:val="center"/>
              <w:rPr>
                <w:bCs/>
                <w:sz w:val="24"/>
              </w:rPr>
            </w:pPr>
            <w:r>
              <w:rPr>
                <w:bCs/>
                <w:sz w:val="24"/>
              </w:rPr>
              <w:t>保护</w:t>
            </w:r>
          </w:p>
          <w:p w14:paraId="3566C12B">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bCs/>
                <w:szCs w:val="24"/>
              </w:rPr>
              <w:t>措施</w:t>
            </w:r>
          </w:p>
        </w:tc>
        <w:tc>
          <w:tcPr>
            <w:tcW w:w="8693" w:type="dxa"/>
            <w:vMerge w:val="restart"/>
            <w:vAlign w:val="center"/>
          </w:tcPr>
          <w:p w14:paraId="27403BEC">
            <w:pPr>
              <w:pStyle w:val="15"/>
              <w:adjustRightInd w:val="0"/>
              <w:spacing w:line="360" w:lineRule="auto"/>
              <w:rPr>
                <w:b/>
                <w:bCs/>
                <w:spacing w:val="-10"/>
                <w:sz w:val="24"/>
                <w:szCs w:val="24"/>
              </w:rPr>
            </w:pPr>
            <w:r>
              <w:rPr>
                <w:b/>
                <w:bCs/>
                <w:sz w:val="24"/>
                <w:szCs w:val="24"/>
              </w:rPr>
              <w:t>一、废气</w:t>
            </w:r>
          </w:p>
          <w:p w14:paraId="50DB295B">
            <w:pPr>
              <w:adjustRightInd w:val="0"/>
              <w:snapToGrid w:val="0"/>
              <w:spacing w:line="360" w:lineRule="auto"/>
              <w:ind w:firstLine="482" w:firstLineChars="200"/>
              <w:rPr>
                <w:b/>
                <w:sz w:val="24"/>
              </w:rPr>
            </w:pPr>
            <w:r>
              <w:rPr>
                <w:b/>
                <w:sz w:val="24"/>
              </w:rPr>
              <w:t>1、废气污染物产排核算过程</w:t>
            </w:r>
          </w:p>
          <w:p w14:paraId="04DB73DB">
            <w:pPr>
              <w:pStyle w:val="80"/>
              <w:spacing w:line="360" w:lineRule="auto"/>
              <w:ind w:firstLine="480" w:firstLineChars="200"/>
              <w:rPr>
                <w:sz w:val="24"/>
                <w:szCs w:val="24"/>
              </w:rPr>
            </w:pPr>
            <w:r>
              <w:rPr>
                <w:sz w:val="24"/>
                <w:szCs w:val="24"/>
              </w:rPr>
              <w:t>本项目废气主要为</w:t>
            </w:r>
            <w:r>
              <w:rPr>
                <w:rFonts w:hint="eastAsia"/>
                <w:sz w:val="24"/>
                <w:szCs w:val="24"/>
              </w:rPr>
              <w:t>投料</w:t>
            </w:r>
            <w:r>
              <w:rPr>
                <w:sz w:val="24"/>
                <w:szCs w:val="24"/>
              </w:rPr>
              <w:t>粉尘</w:t>
            </w:r>
            <w:r>
              <w:rPr>
                <w:rFonts w:hint="eastAsia"/>
                <w:sz w:val="24"/>
                <w:szCs w:val="24"/>
              </w:rPr>
              <w:t>、原料煤堆存少量粉尘、混合（翻堆搅拌）粉尘、异味</w:t>
            </w:r>
            <w:r>
              <w:rPr>
                <w:sz w:val="24"/>
                <w:szCs w:val="24"/>
              </w:rPr>
              <w:t>。</w:t>
            </w:r>
          </w:p>
          <w:p w14:paraId="053CAD66">
            <w:pPr>
              <w:adjustRightInd w:val="0"/>
              <w:spacing w:line="360" w:lineRule="auto"/>
              <w:ind w:firstLine="482" w:firstLineChars="200"/>
              <w:outlineLvl w:val="0"/>
              <w:rPr>
                <w:b/>
                <w:sz w:val="24"/>
              </w:rPr>
            </w:pPr>
            <w:r>
              <w:rPr>
                <w:rFonts w:hint="eastAsia"/>
                <w:b/>
                <w:sz w:val="24"/>
              </w:rPr>
              <w:t>1.1</w:t>
            </w:r>
            <w:r>
              <w:rPr>
                <w:b/>
                <w:sz w:val="24"/>
              </w:rPr>
              <w:t>污染物产生源强核算</w:t>
            </w:r>
          </w:p>
          <w:p w14:paraId="2EF5E31F">
            <w:pPr>
              <w:pStyle w:val="80"/>
              <w:spacing w:line="360" w:lineRule="auto"/>
              <w:ind w:firstLine="482" w:firstLineChars="200"/>
              <w:rPr>
                <w:b/>
                <w:bCs/>
                <w:sz w:val="24"/>
                <w:szCs w:val="24"/>
              </w:rPr>
            </w:pPr>
            <w:r>
              <w:rPr>
                <w:rFonts w:hint="eastAsia"/>
                <w:b/>
                <w:bCs/>
                <w:sz w:val="24"/>
                <w:szCs w:val="24"/>
              </w:rPr>
              <w:t>（1）原料库堆场粉尘</w:t>
            </w:r>
          </w:p>
          <w:p w14:paraId="54565E03">
            <w:pPr>
              <w:pStyle w:val="81"/>
              <w:spacing w:line="360" w:lineRule="auto"/>
              <w:ind w:right="176" w:firstLine="496" w:firstLineChars="200"/>
              <w:rPr>
                <w:rFonts w:ascii="Times New Roman" w:hAnsi="Times New Roman" w:cs="Times New Roman"/>
                <w:sz w:val="24"/>
                <w:szCs w:val="24"/>
                <w:lang w:eastAsia="zh-CN"/>
              </w:rPr>
            </w:pPr>
            <w:r>
              <w:rPr>
                <w:rFonts w:hint="eastAsia" w:ascii="Times New Roman" w:hAnsi="Times New Roman" w:cs="Times New Roman"/>
                <w:spacing w:val="4"/>
                <w:sz w:val="24"/>
                <w:szCs w:val="24"/>
                <w:lang w:eastAsia="zh-CN"/>
              </w:rPr>
              <w:t>本项目原料库堆场</w:t>
            </w:r>
            <w:r>
              <w:rPr>
                <w:rFonts w:ascii="Times New Roman" w:hAnsi="Times New Roman" w:cs="Times New Roman"/>
                <w:spacing w:val="-1"/>
                <w:sz w:val="24"/>
                <w:szCs w:val="24"/>
                <w:lang w:eastAsia="zh-CN"/>
              </w:rPr>
              <w:t>在晴朗有风天气条件下会产生扬尘，呈无组织排放</w:t>
            </w:r>
            <w:r>
              <w:rPr>
                <w:rFonts w:hint="eastAsia" w:ascii="Times New Roman" w:hAnsi="Times New Roman" w:cs="Times New Roman"/>
                <w:spacing w:val="-1"/>
                <w:sz w:val="24"/>
                <w:szCs w:val="24"/>
                <w:lang w:eastAsia="zh-CN"/>
              </w:rPr>
              <w:t>；</w:t>
            </w:r>
            <w:r>
              <w:rPr>
                <w:rFonts w:ascii="Times New Roman" w:hAnsi="Times New Roman" w:cs="Times New Roman"/>
                <w:spacing w:val="-1"/>
                <w:sz w:val="24"/>
                <w:szCs w:val="24"/>
                <w:lang w:eastAsia="zh-CN"/>
              </w:rPr>
              <w:t>采用西安冶金建筑学院的起尘量推荐公式计算，公式为：</w:t>
            </w:r>
          </w:p>
          <w:p w14:paraId="2FEED0A2">
            <w:pPr>
              <w:spacing w:line="360" w:lineRule="auto"/>
              <w:ind w:left="1821"/>
              <w:rPr>
                <w:sz w:val="24"/>
              </w:rPr>
            </w:pPr>
            <w:r>
              <w:rPr>
                <w:spacing w:val="-1"/>
                <w:position w:val="3"/>
                <w:sz w:val="24"/>
              </w:rPr>
              <w:t>Q=4.23×10</w:t>
            </w:r>
            <w:r>
              <w:rPr>
                <w:spacing w:val="-1"/>
                <w:position w:val="10"/>
                <w:sz w:val="24"/>
              </w:rPr>
              <w:t>-4</w:t>
            </w:r>
            <w:r>
              <w:rPr>
                <w:spacing w:val="-1"/>
                <w:position w:val="3"/>
                <w:sz w:val="24"/>
              </w:rPr>
              <w:t>×U</w:t>
            </w:r>
            <w:r>
              <w:rPr>
                <w:spacing w:val="-1"/>
                <w:position w:val="10"/>
                <w:sz w:val="24"/>
              </w:rPr>
              <w:t>4.9</w:t>
            </w:r>
            <w:r>
              <w:rPr>
                <w:spacing w:val="-19"/>
                <w:position w:val="10"/>
                <w:sz w:val="24"/>
              </w:rPr>
              <w:t xml:space="preserve"> </w:t>
            </w:r>
            <w:r>
              <w:rPr>
                <w:spacing w:val="-1"/>
                <w:position w:val="3"/>
                <w:sz w:val="24"/>
              </w:rPr>
              <w:t>×AP</w:t>
            </w:r>
          </w:p>
          <w:p w14:paraId="5F3EF379">
            <w:pPr>
              <w:pStyle w:val="81"/>
              <w:spacing w:line="360" w:lineRule="auto"/>
              <w:ind w:left="1125"/>
              <w:rPr>
                <w:rFonts w:ascii="Times New Roman" w:hAnsi="Times New Roman" w:cs="Times New Roman"/>
                <w:sz w:val="24"/>
                <w:szCs w:val="24"/>
                <w:lang w:eastAsia="zh-CN"/>
              </w:rPr>
            </w:pPr>
            <w:r>
              <w:rPr>
                <w:rFonts w:ascii="Times New Roman" w:hAnsi="Times New Roman" w:cs="Times New Roman"/>
                <w:spacing w:val="-1"/>
                <w:sz w:val="24"/>
                <w:szCs w:val="24"/>
                <w:lang w:eastAsia="zh-CN"/>
              </w:rPr>
              <w:t>式中：Q—堆场起尘强度，mg/s；</w:t>
            </w:r>
          </w:p>
          <w:p w14:paraId="27A1CE11">
            <w:pPr>
              <w:pStyle w:val="81"/>
              <w:spacing w:line="360" w:lineRule="auto"/>
              <w:ind w:left="1715" w:right="3537"/>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U—地面平均风速</w:t>
            </w:r>
            <w:r>
              <w:rPr>
                <w:rFonts w:hint="eastAsia" w:ascii="Times New Roman" w:hAnsi="Times New Roman" w:cs="Times New Roman"/>
                <w:spacing w:val="-5"/>
                <w:sz w:val="24"/>
                <w:szCs w:val="24"/>
                <w:lang w:eastAsia="zh-CN"/>
              </w:rPr>
              <w:t>1.2</w:t>
            </w:r>
            <w:r>
              <w:rPr>
                <w:rFonts w:ascii="Times New Roman" w:hAnsi="Times New Roman" w:cs="Times New Roman"/>
                <w:spacing w:val="-5"/>
                <w:sz w:val="24"/>
                <w:szCs w:val="24"/>
                <w:lang w:eastAsia="zh-CN"/>
              </w:rPr>
              <w:t>m/s；</w:t>
            </w:r>
          </w:p>
          <w:p w14:paraId="399F2DA2">
            <w:pPr>
              <w:pStyle w:val="81"/>
              <w:spacing w:line="360" w:lineRule="auto"/>
              <w:ind w:left="1715" w:right="3537"/>
              <w:rPr>
                <w:rFonts w:ascii="Times New Roman" w:hAnsi="Times New Roman" w:cs="Times New Roman"/>
                <w:sz w:val="24"/>
                <w:szCs w:val="24"/>
                <w:lang w:eastAsia="zh-CN"/>
              </w:rPr>
            </w:pPr>
            <w:r>
              <w:rPr>
                <w:rFonts w:ascii="Times New Roman" w:hAnsi="Times New Roman" w:cs="Times New Roman"/>
                <w:spacing w:val="-1"/>
                <w:sz w:val="24"/>
                <w:szCs w:val="24"/>
                <w:lang w:eastAsia="zh-CN"/>
              </w:rPr>
              <w:t>AP—起尘面积，m</w:t>
            </w:r>
            <w:r>
              <w:rPr>
                <w:rFonts w:hint="eastAsia" w:ascii="Times New Roman" w:hAnsi="Times New Roman" w:cs="Times New Roman"/>
                <w:spacing w:val="-1"/>
                <w:sz w:val="24"/>
                <w:szCs w:val="24"/>
                <w:vertAlign w:val="superscript"/>
                <w:lang w:eastAsia="zh-CN"/>
              </w:rPr>
              <w:t>2</w:t>
            </w:r>
            <w:r>
              <w:rPr>
                <w:rFonts w:ascii="Times New Roman" w:hAnsi="Times New Roman" w:cs="Times New Roman"/>
                <w:spacing w:val="-1"/>
                <w:sz w:val="24"/>
                <w:szCs w:val="24"/>
                <w:lang w:eastAsia="zh-CN"/>
              </w:rPr>
              <w:t>；</w:t>
            </w:r>
          </w:p>
          <w:p w14:paraId="0BC9DB3A">
            <w:pPr>
              <w:spacing w:line="360" w:lineRule="auto"/>
              <w:ind w:firstLine="496" w:firstLineChars="200"/>
              <w:rPr>
                <w:sz w:val="24"/>
              </w:rPr>
            </w:pPr>
            <w:r>
              <w:rPr>
                <w:rFonts w:hint="eastAsia"/>
                <w:spacing w:val="4"/>
                <w:sz w:val="24"/>
              </w:rPr>
              <w:t>项目堆场</w:t>
            </w:r>
            <w:r>
              <w:rPr>
                <w:spacing w:val="4"/>
                <w:sz w:val="24"/>
              </w:rPr>
              <w:t>面积</w:t>
            </w:r>
            <w:r>
              <w:rPr>
                <w:rFonts w:hint="eastAsia"/>
                <w:spacing w:val="4"/>
                <w:sz w:val="24"/>
              </w:rPr>
              <w:t>约1000</w:t>
            </w:r>
            <w:r>
              <w:rPr>
                <w:spacing w:val="4"/>
                <w:sz w:val="24"/>
              </w:rPr>
              <w:t>m</w:t>
            </w:r>
            <w:r>
              <w:rPr>
                <w:spacing w:val="4"/>
                <w:sz w:val="24"/>
                <w:vertAlign w:val="superscript"/>
              </w:rPr>
              <w:t>2</w:t>
            </w:r>
            <w:r>
              <w:rPr>
                <w:spacing w:val="4"/>
                <w:sz w:val="24"/>
              </w:rPr>
              <w:t>，则计算堆场起尘量为</w:t>
            </w:r>
            <w:r>
              <w:rPr>
                <w:rFonts w:hint="eastAsia"/>
                <w:spacing w:val="4"/>
                <w:sz w:val="24"/>
              </w:rPr>
              <w:t>1.03mg</w:t>
            </w:r>
            <w:r>
              <w:rPr>
                <w:spacing w:val="4"/>
                <w:sz w:val="24"/>
              </w:rPr>
              <w:t>/</w:t>
            </w:r>
            <w:r>
              <w:rPr>
                <w:rFonts w:hint="eastAsia"/>
                <w:spacing w:val="4"/>
                <w:sz w:val="24"/>
              </w:rPr>
              <w:t>s</w:t>
            </w:r>
            <w:r>
              <w:rPr>
                <w:spacing w:val="4"/>
                <w:sz w:val="24"/>
              </w:rPr>
              <w:t>，</w:t>
            </w:r>
            <w:r>
              <w:rPr>
                <w:rFonts w:hint="eastAsia"/>
                <w:spacing w:val="4"/>
                <w:sz w:val="24"/>
              </w:rPr>
              <w:t>堆放</w:t>
            </w:r>
            <w:r>
              <w:rPr>
                <w:rFonts w:hint="eastAsia"/>
                <w:sz w:val="24"/>
              </w:rPr>
              <w:t>时间365天</w:t>
            </w:r>
          </w:p>
          <w:p w14:paraId="3E5E4410">
            <w:pPr>
              <w:spacing w:line="360" w:lineRule="auto"/>
              <w:rPr>
                <w:sz w:val="24"/>
              </w:rPr>
            </w:pPr>
            <w:r>
              <w:rPr>
                <w:rFonts w:hint="eastAsia"/>
                <w:sz w:val="24"/>
              </w:rPr>
              <w:t>24h起尘，</w:t>
            </w:r>
            <w:r>
              <w:rPr>
                <w:spacing w:val="4"/>
                <w:sz w:val="24"/>
              </w:rPr>
              <w:t>即为</w:t>
            </w:r>
            <w:r>
              <w:rPr>
                <w:rFonts w:hint="eastAsia"/>
                <w:spacing w:val="4"/>
                <w:sz w:val="24"/>
              </w:rPr>
              <w:t>0.032</w:t>
            </w:r>
            <w:r>
              <w:rPr>
                <w:spacing w:val="4"/>
                <w:sz w:val="24"/>
              </w:rPr>
              <w:t>t/a</w:t>
            </w:r>
            <w:r>
              <w:rPr>
                <w:rFonts w:hint="eastAsia"/>
                <w:spacing w:val="4"/>
                <w:sz w:val="24"/>
              </w:rPr>
              <w:t>，0.0037kg/h</w:t>
            </w:r>
            <w:r>
              <w:rPr>
                <w:rFonts w:hint="eastAsia"/>
                <w:sz w:val="24"/>
              </w:rPr>
              <w:t>。西侧厂房内</w:t>
            </w:r>
            <w:r>
              <w:rPr>
                <w:rFonts w:hint="eastAsia"/>
                <w:spacing w:val="4"/>
                <w:sz w:val="24"/>
              </w:rPr>
              <w:t>设置一台移动式雾炮机，并在密闭式的厂房内进行，根据《固体物料堆存颗粒物产排污核算系数手册》，表4粉尘控制措施-洒水抑制效率为74%；项目密闭式厂房物料运输时会打开，按照半敞开式厂房抑制效率为60%，综合抑制效率为90%，</w:t>
            </w:r>
            <w:r>
              <w:rPr>
                <w:spacing w:val="4"/>
                <w:sz w:val="24"/>
              </w:rPr>
              <w:t>堆场扬尘排放量为</w:t>
            </w:r>
            <w:r>
              <w:rPr>
                <w:rFonts w:hint="eastAsia"/>
                <w:spacing w:val="4"/>
                <w:sz w:val="24"/>
              </w:rPr>
              <w:t>0.003</w:t>
            </w:r>
            <w:r>
              <w:rPr>
                <w:spacing w:val="4"/>
                <w:sz w:val="24"/>
              </w:rPr>
              <w:t>t/a</w:t>
            </w:r>
            <w:r>
              <w:rPr>
                <w:rFonts w:hint="eastAsia"/>
                <w:spacing w:val="4"/>
                <w:sz w:val="24"/>
              </w:rPr>
              <w:t>，0.0004kg/h</w:t>
            </w:r>
            <w:r>
              <w:rPr>
                <w:rFonts w:hint="eastAsia"/>
                <w:sz w:val="24"/>
              </w:rPr>
              <w:t>。</w:t>
            </w:r>
          </w:p>
          <w:p w14:paraId="109B10A3">
            <w:pPr>
              <w:pStyle w:val="80"/>
              <w:spacing w:line="360" w:lineRule="auto"/>
              <w:ind w:firstLine="482" w:firstLineChars="200"/>
              <w:rPr>
                <w:b/>
                <w:bCs/>
                <w:sz w:val="24"/>
                <w:szCs w:val="24"/>
              </w:rPr>
            </w:pPr>
            <w:r>
              <w:rPr>
                <w:rFonts w:hint="eastAsia"/>
                <w:b/>
                <w:bCs/>
                <w:sz w:val="24"/>
                <w:szCs w:val="24"/>
              </w:rPr>
              <w:t>（2）原料混合、配料粉尘</w:t>
            </w:r>
          </w:p>
          <w:p w14:paraId="0BB1E3AC">
            <w:pPr>
              <w:pStyle w:val="15"/>
              <w:adjustRightInd w:val="0"/>
              <w:spacing w:line="360" w:lineRule="auto"/>
              <w:ind w:firstLine="480" w:firstLineChars="200"/>
              <w:rPr>
                <w:sz w:val="24"/>
                <w:szCs w:val="24"/>
              </w:rPr>
            </w:pPr>
            <w:r>
              <w:rPr>
                <w:sz w:val="24"/>
                <w:szCs w:val="24"/>
              </w:rPr>
              <w:t>本项目年产有机肥</w:t>
            </w:r>
            <w:r>
              <w:rPr>
                <w:rFonts w:hint="eastAsia"/>
                <w:sz w:val="24"/>
                <w:szCs w:val="24"/>
              </w:rPr>
              <w:t>5</w:t>
            </w:r>
            <w:r>
              <w:rPr>
                <w:sz w:val="24"/>
                <w:szCs w:val="24"/>
              </w:rPr>
              <w:t>万吨</w:t>
            </w:r>
            <w:r>
              <w:rPr>
                <w:rFonts w:hint="eastAsia"/>
                <w:sz w:val="24"/>
                <w:szCs w:val="24"/>
              </w:rPr>
              <w:t>、中量元素有机肥5</w:t>
            </w:r>
            <w:r>
              <w:rPr>
                <w:sz w:val="24"/>
                <w:szCs w:val="24"/>
              </w:rPr>
              <w:t>万吨，本项目采取</w:t>
            </w:r>
            <w:r>
              <w:rPr>
                <w:rFonts w:hint="eastAsia"/>
                <w:sz w:val="24"/>
                <w:szCs w:val="24"/>
              </w:rPr>
              <w:t>装载机进行原料混合，发酵完成后的有机肥掺入尾矿进行配料生产中量元素有机肥，西侧和</w:t>
            </w:r>
            <w:r>
              <w:rPr>
                <w:rFonts w:hint="eastAsia"/>
                <w:sz w:val="24"/>
              </w:rPr>
              <w:t>东侧厂房内各</w:t>
            </w:r>
            <w:r>
              <w:rPr>
                <w:rFonts w:hint="eastAsia"/>
                <w:spacing w:val="4"/>
                <w:sz w:val="24"/>
                <w:szCs w:val="24"/>
              </w:rPr>
              <w:t>设置一台移动式雾炮机，并在密闭式的厂房内进行。</w:t>
            </w:r>
          </w:p>
          <w:p w14:paraId="3FF1C944">
            <w:pPr>
              <w:spacing w:line="360" w:lineRule="auto"/>
              <w:ind w:firstLine="480" w:firstLineChars="200"/>
              <w:rPr>
                <w:sz w:val="24"/>
              </w:rPr>
            </w:pPr>
            <w:r>
              <w:rPr>
                <w:rFonts w:hint="eastAsia"/>
                <w:sz w:val="24"/>
              </w:rPr>
              <w:t>参考</w:t>
            </w:r>
            <w:r>
              <w:rPr>
                <w:sz w:val="24"/>
                <w:lang w:val="zh-CN"/>
              </w:rPr>
              <w:t>《逸散性工业粉尘控制技术》</w:t>
            </w:r>
            <w:r>
              <w:rPr>
                <w:rFonts w:hint="eastAsia"/>
                <w:sz w:val="24"/>
              </w:rPr>
              <w:t xml:space="preserve">第十八章 表18-1 </w:t>
            </w:r>
            <w:r>
              <w:rPr>
                <w:sz w:val="24"/>
                <w:lang w:val="zh-CN"/>
              </w:rPr>
              <w:t>粉尘产生量以0.01kg/t（</w:t>
            </w:r>
            <w:r>
              <w:rPr>
                <w:rFonts w:hint="eastAsia"/>
                <w:sz w:val="24"/>
              </w:rPr>
              <w:t>装</w:t>
            </w:r>
            <w:r>
              <w:rPr>
                <w:sz w:val="24"/>
                <w:lang w:val="zh-CN"/>
              </w:rPr>
              <w:t>卸料）计</w:t>
            </w:r>
            <w:r>
              <w:rPr>
                <w:sz w:val="24"/>
              </w:rPr>
              <w:t>，本项目生产过程</w:t>
            </w:r>
            <w:r>
              <w:rPr>
                <w:rFonts w:hint="eastAsia"/>
                <w:sz w:val="24"/>
              </w:rPr>
              <w:t>原料主要为低变质褐煤、锯木屑和尾矿，低变质褐煤含水率为30%-40%，不易产尘，故产尘原料主要为锯木屑和尾矿，总用量为40000</w:t>
            </w:r>
            <w:r>
              <w:rPr>
                <w:sz w:val="24"/>
              </w:rPr>
              <w:t>t/a，则粉尘产生量为</w:t>
            </w:r>
            <w:r>
              <w:rPr>
                <w:rFonts w:hint="eastAsia"/>
                <w:sz w:val="24"/>
              </w:rPr>
              <w:t>0.4</w:t>
            </w:r>
            <w:r>
              <w:rPr>
                <w:sz w:val="24"/>
              </w:rPr>
              <w:t>t/a</w:t>
            </w:r>
            <w:r>
              <w:rPr>
                <w:rFonts w:hint="eastAsia"/>
                <w:sz w:val="24"/>
              </w:rPr>
              <w:t>，0.13kg/h</w:t>
            </w:r>
            <w:r>
              <w:rPr>
                <w:sz w:val="24"/>
              </w:rPr>
              <w:t>。</w:t>
            </w:r>
            <w:r>
              <w:rPr>
                <w:rFonts w:hint="eastAsia"/>
                <w:spacing w:val="4"/>
                <w:sz w:val="24"/>
              </w:rPr>
              <w:t>洒水抑尘效率为74%，半敞开式厂房抑尘效率为60%，综合抑尘效率为90%，混合粉尘</w:t>
            </w:r>
            <w:r>
              <w:rPr>
                <w:spacing w:val="4"/>
                <w:sz w:val="24"/>
              </w:rPr>
              <w:t>排放量为</w:t>
            </w:r>
            <w:r>
              <w:rPr>
                <w:rFonts w:hint="eastAsia"/>
                <w:spacing w:val="4"/>
                <w:sz w:val="24"/>
              </w:rPr>
              <w:t>0.04</w:t>
            </w:r>
            <w:r>
              <w:rPr>
                <w:spacing w:val="4"/>
                <w:sz w:val="24"/>
              </w:rPr>
              <w:t>t/a</w:t>
            </w:r>
            <w:r>
              <w:rPr>
                <w:rFonts w:hint="eastAsia"/>
                <w:spacing w:val="4"/>
                <w:sz w:val="24"/>
              </w:rPr>
              <w:t>，0.013kg/h</w:t>
            </w:r>
            <w:r>
              <w:rPr>
                <w:rFonts w:hint="eastAsia"/>
                <w:sz w:val="24"/>
              </w:rPr>
              <w:t>。</w:t>
            </w:r>
          </w:p>
          <w:p w14:paraId="0F441839">
            <w:pPr>
              <w:pStyle w:val="80"/>
              <w:spacing w:line="360" w:lineRule="auto"/>
              <w:ind w:firstLine="482" w:firstLineChars="200"/>
              <w:rPr>
                <w:b/>
                <w:bCs/>
                <w:sz w:val="24"/>
                <w:szCs w:val="24"/>
              </w:rPr>
            </w:pPr>
            <w:r>
              <w:rPr>
                <w:rFonts w:hint="eastAsia"/>
                <w:b/>
                <w:bCs/>
                <w:sz w:val="24"/>
                <w:szCs w:val="24"/>
              </w:rPr>
              <w:t>（3）堆肥发酵异味</w:t>
            </w:r>
          </w:p>
          <w:p w14:paraId="04860BA9">
            <w:pPr>
              <w:pStyle w:val="80"/>
              <w:spacing w:line="360" w:lineRule="auto"/>
              <w:ind w:firstLine="480" w:firstLineChars="200"/>
              <w:rPr>
                <w:sz w:val="24"/>
                <w:szCs w:val="24"/>
              </w:rPr>
            </w:pPr>
            <w:r>
              <w:rPr>
                <w:rFonts w:hint="eastAsia"/>
                <w:sz w:val="24"/>
                <w:szCs w:val="24"/>
              </w:rPr>
              <w:t>在常规化学研究中，尿素在100℃时不会分解产生气体。尿素是一种稳定的有机化合物，其分解需要达到一定的温度条件。一般来说，当温度超过130℃时，尿素才会开始逐渐分解，分解过程中会产生气体，如氨气、二氧化碳等。所以，本项目在堆肥过程中最高温度为70</w:t>
            </w:r>
            <w:r>
              <w:rPr>
                <w:sz w:val="24"/>
                <w:szCs w:val="24"/>
              </w:rPr>
              <w:t>℃，</w:t>
            </w:r>
            <w:r>
              <w:rPr>
                <w:rFonts w:hint="eastAsia"/>
                <w:sz w:val="24"/>
                <w:szCs w:val="24"/>
              </w:rPr>
              <w:t>且持续时间较短，达不到尿素分解的温度，不会发生尿素分解反应从而产生气体。</w:t>
            </w:r>
          </w:p>
          <w:p w14:paraId="487C76D6">
            <w:pPr>
              <w:pStyle w:val="80"/>
              <w:spacing w:line="360" w:lineRule="auto"/>
              <w:ind w:firstLine="480" w:firstLineChars="200"/>
              <w:rPr>
                <w:sz w:val="24"/>
                <w:szCs w:val="24"/>
              </w:rPr>
            </w:pPr>
            <w:r>
              <w:rPr>
                <w:rFonts w:hint="eastAsia"/>
                <w:sz w:val="24"/>
                <w:szCs w:val="24"/>
              </w:rPr>
              <w:t>项目有机肥生产线采用低变质褐煤、锯木屑、尿素和尾矿作为原料，不使用粪便，发酵工序产生少量异味气体。低变质褐煤中主要成分为有机质和腐殖酸，根据查阅相关资料，腐殖酸大分子的基本结构是芳环和脂环组成，环上连有羟基、羧基、羰基、甲氧基等官能团，并含有一定量的自由基，具有生理活性，和锯木屑、尿素在堆肥发酵过程中会产生少量的异味。</w:t>
            </w:r>
          </w:p>
          <w:p w14:paraId="34B0BAD9">
            <w:pPr>
              <w:pStyle w:val="80"/>
              <w:spacing w:line="360" w:lineRule="auto"/>
              <w:ind w:firstLine="480" w:firstLineChars="200"/>
              <w:rPr>
                <w:sz w:val="24"/>
                <w:szCs w:val="24"/>
              </w:rPr>
            </w:pPr>
            <w:r>
              <w:rPr>
                <w:rFonts w:hint="eastAsia"/>
                <w:sz w:val="24"/>
                <w:szCs w:val="24"/>
              </w:rPr>
              <w:t>在发酵期间采用稀释后的微生物除臭剂对发酵区物料进行除臭，参考文献《除</w:t>
            </w:r>
          </w:p>
          <w:p w14:paraId="6534D13C">
            <w:pPr>
              <w:pStyle w:val="80"/>
              <w:spacing w:line="360" w:lineRule="auto"/>
              <w:rPr>
                <w:sz w:val="24"/>
                <w:szCs w:val="24"/>
              </w:rPr>
            </w:pPr>
            <w:r>
              <w:rPr>
                <w:rFonts w:hint="eastAsia"/>
                <w:sz w:val="24"/>
                <w:szCs w:val="24"/>
              </w:rPr>
              <w:t>臭菌株对NH</w:t>
            </w:r>
            <w:r>
              <w:rPr>
                <w:rFonts w:hint="eastAsia"/>
                <w:sz w:val="24"/>
                <w:szCs w:val="24"/>
                <w:vertAlign w:val="subscript"/>
              </w:rPr>
              <w:t>3</w:t>
            </w:r>
            <w:r>
              <w:rPr>
                <w:rFonts w:hint="eastAsia"/>
                <w:sz w:val="24"/>
                <w:szCs w:val="24"/>
              </w:rPr>
              <w:t>和 H</w:t>
            </w:r>
            <w:r>
              <w:rPr>
                <w:rFonts w:hint="eastAsia"/>
                <w:sz w:val="24"/>
                <w:szCs w:val="24"/>
                <w:vertAlign w:val="subscript"/>
              </w:rPr>
              <w:t>2</w:t>
            </w:r>
            <w:r>
              <w:rPr>
                <w:rFonts w:hint="eastAsia"/>
                <w:sz w:val="24"/>
                <w:szCs w:val="24"/>
              </w:rPr>
              <w:t>S 释放及物质转化的影响》（农业环境科学学报，2011，30（3）：585-590，刘春梅，徐凤花等）：添加除臭剂后，有机肥在发酵过程中将减少50%以上的恶臭气体产生量。本项目采取生产时厂房密闭，定期喷洒生物除臭剂对恶臭进行控制，并在厂房的顶部安装有抽排风系统，产生的少量恶臭经车间顶部抽排风系统无组织排放，对周围环境影响不大。</w:t>
            </w:r>
          </w:p>
          <w:p w14:paraId="33CFF2E7">
            <w:pPr>
              <w:pStyle w:val="80"/>
              <w:spacing w:line="360" w:lineRule="auto"/>
              <w:ind w:firstLine="482" w:firstLineChars="200"/>
              <w:rPr>
                <w:b/>
                <w:bCs/>
                <w:sz w:val="24"/>
                <w:szCs w:val="24"/>
              </w:rPr>
            </w:pPr>
            <w:r>
              <w:rPr>
                <w:rFonts w:hint="eastAsia"/>
                <w:b/>
                <w:bCs/>
                <w:sz w:val="24"/>
                <w:szCs w:val="24"/>
              </w:rPr>
              <w:t>（4）包装粉尘</w:t>
            </w:r>
          </w:p>
          <w:p w14:paraId="75F764BD">
            <w:pPr>
              <w:spacing w:line="360" w:lineRule="auto"/>
              <w:ind w:firstLine="480" w:firstLineChars="200"/>
              <w:rPr>
                <w:sz w:val="24"/>
              </w:rPr>
            </w:pPr>
            <w:r>
              <w:rPr>
                <w:rFonts w:hint="eastAsia"/>
                <w:sz w:val="24"/>
              </w:rPr>
              <w:t>发酵完成后的物料，质地松软，体积缩小，含水率约为10%-30%，在包装过程中会产生少量的粉尘。参考</w:t>
            </w:r>
            <w:r>
              <w:rPr>
                <w:sz w:val="24"/>
                <w:lang w:val="zh-CN"/>
              </w:rPr>
              <w:t>《逸散性工业粉尘控制技术》</w:t>
            </w:r>
            <w:r>
              <w:rPr>
                <w:rFonts w:hint="eastAsia"/>
                <w:sz w:val="24"/>
              </w:rPr>
              <w:t xml:space="preserve">第十八章 表18-1 </w:t>
            </w:r>
            <w:r>
              <w:rPr>
                <w:sz w:val="24"/>
                <w:lang w:val="zh-CN"/>
              </w:rPr>
              <w:t>粉尘产生量以0.01kg/t（</w:t>
            </w:r>
            <w:r>
              <w:rPr>
                <w:rFonts w:hint="eastAsia"/>
                <w:sz w:val="24"/>
              </w:rPr>
              <w:t>装</w:t>
            </w:r>
            <w:r>
              <w:rPr>
                <w:sz w:val="24"/>
                <w:lang w:val="zh-CN"/>
              </w:rPr>
              <w:t>卸料）计</w:t>
            </w:r>
            <w:r>
              <w:rPr>
                <w:sz w:val="24"/>
              </w:rPr>
              <w:t>，本项目</w:t>
            </w:r>
            <w:r>
              <w:rPr>
                <w:rFonts w:hint="eastAsia"/>
                <w:sz w:val="24"/>
              </w:rPr>
              <w:t>产品共计10万</w:t>
            </w:r>
            <w:r>
              <w:rPr>
                <w:sz w:val="24"/>
              </w:rPr>
              <w:t>t/a，则粉尘产生量为</w:t>
            </w:r>
            <w:r>
              <w:rPr>
                <w:rFonts w:hint="eastAsia"/>
                <w:sz w:val="24"/>
              </w:rPr>
              <w:t>1</w:t>
            </w:r>
            <w:r>
              <w:rPr>
                <w:sz w:val="24"/>
              </w:rPr>
              <w:t>t/a</w:t>
            </w:r>
            <w:r>
              <w:rPr>
                <w:rFonts w:hint="eastAsia"/>
                <w:sz w:val="24"/>
              </w:rPr>
              <w:t>，0.33kg/h</w:t>
            </w:r>
            <w:r>
              <w:rPr>
                <w:sz w:val="24"/>
              </w:rPr>
              <w:t>。</w:t>
            </w:r>
            <w:r>
              <w:rPr>
                <w:rFonts w:hint="eastAsia"/>
                <w:sz w:val="24"/>
              </w:rPr>
              <w:t>包装位于包装区内进行，东侧厂房内</w:t>
            </w:r>
            <w:r>
              <w:rPr>
                <w:rFonts w:hint="eastAsia"/>
                <w:spacing w:val="4"/>
                <w:sz w:val="24"/>
              </w:rPr>
              <w:t>设置一台移动式雾炮机，并在半封闭式的厂房内进行，洒水抑尘效率为74%，半敞开式厂房抑尘效率为60%，综合抑尘效率为90%，</w:t>
            </w:r>
            <w:r>
              <w:rPr>
                <w:rFonts w:hint="eastAsia"/>
                <w:sz w:val="24"/>
              </w:rPr>
              <w:t>包装</w:t>
            </w:r>
            <w:r>
              <w:rPr>
                <w:rFonts w:hint="eastAsia"/>
                <w:spacing w:val="4"/>
                <w:sz w:val="24"/>
              </w:rPr>
              <w:t>粉尘</w:t>
            </w:r>
            <w:r>
              <w:rPr>
                <w:spacing w:val="4"/>
                <w:sz w:val="24"/>
              </w:rPr>
              <w:t>排放量为</w:t>
            </w:r>
            <w:r>
              <w:rPr>
                <w:rFonts w:hint="eastAsia"/>
                <w:spacing w:val="4"/>
                <w:sz w:val="24"/>
              </w:rPr>
              <w:t>0.1</w:t>
            </w:r>
            <w:r>
              <w:rPr>
                <w:spacing w:val="4"/>
                <w:sz w:val="24"/>
              </w:rPr>
              <w:t>t/a</w:t>
            </w:r>
            <w:r>
              <w:rPr>
                <w:rFonts w:hint="eastAsia"/>
                <w:spacing w:val="4"/>
                <w:sz w:val="24"/>
              </w:rPr>
              <w:t>，0.033kg/h</w:t>
            </w:r>
            <w:r>
              <w:rPr>
                <w:rFonts w:hint="eastAsia"/>
                <w:sz w:val="24"/>
              </w:rPr>
              <w:t>。</w:t>
            </w:r>
          </w:p>
          <w:p w14:paraId="5BE4A559">
            <w:pPr>
              <w:spacing w:line="360" w:lineRule="auto"/>
              <w:ind w:firstLine="482" w:firstLineChars="200"/>
              <w:rPr>
                <w:b/>
                <w:bCs/>
                <w:sz w:val="24"/>
              </w:rPr>
            </w:pPr>
            <w:r>
              <w:rPr>
                <w:rFonts w:hint="eastAsia"/>
                <w:b/>
                <w:bCs/>
                <w:sz w:val="24"/>
              </w:rPr>
              <w:t>（5）机械废气和汽车尾气</w:t>
            </w:r>
          </w:p>
          <w:p w14:paraId="45699F65">
            <w:pPr>
              <w:adjustRightInd w:val="0"/>
              <w:snapToGrid w:val="0"/>
              <w:spacing w:line="360" w:lineRule="auto"/>
              <w:ind w:firstLine="480" w:firstLineChars="200"/>
              <w:rPr>
                <w:bCs/>
                <w:sz w:val="24"/>
              </w:rPr>
            </w:pPr>
            <w:r>
              <w:rPr>
                <w:bCs/>
                <w:sz w:val="24"/>
              </w:rPr>
              <w:t>本项目使用的</w:t>
            </w:r>
            <w:r>
              <w:rPr>
                <w:rFonts w:hint="eastAsia"/>
                <w:bCs/>
                <w:sz w:val="24"/>
              </w:rPr>
              <w:t>装载机、运输车辆</w:t>
            </w:r>
            <w:r>
              <w:rPr>
                <w:bCs/>
                <w:sz w:val="24"/>
              </w:rPr>
              <w:t>等运行过程中均产生汽车尾气，主要污染物有CO、HC和NO</w:t>
            </w:r>
            <w:r>
              <w:rPr>
                <w:bCs/>
                <w:sz w:val="24"/>
                <w:vertAlign w:val="subscript"/>
              </w:rPr>
              <w:t>2</w:t>
            </w:r>
            <w:r>
              <w:rPr>
                <w:bCs/>
                <w:sz w:val="24"/>
              </w:rPr>
              <w:t>等，由于项目装载车等车辆所用燃料均为符合国家质量标准的柴油，且车辆在项目内运行时间较短，所以废气产生量较小；同时项目所在地的地势高且地域空阔，扩散情况好，同时汽车按照交通管理部门要求定期检验，汽车尾气均能达到规定的排放标准，且通过项目区的绿化植物的吸收，项目汽车尾气对周围环境影响较小。少量汽车尾气经扩散降解后，对周围环境影响较小。</w:t>
            </w:r>
          </w:p>
          <w:p w14:paraId="108925CD">
            <w:pPr>
              <w:pStyle w:val="82"/>
              <w:spacing w:line="360" w:lineRule="auto"/>
              <w:ind w:firstLine="482"/>
              <w:rPr>
                <w:b/>
                <w:bCs/>
                <w:sz w:val="24"/>
              </w:rPr>
            </w:pPr>
            <w:r>
              <w:rPr>
                <w:rFonts w:hint="eastAsia"/>
                <w:b/>
                <w:bCs/>
                <w:sz w:val="24"/>
              </w:rPr>
              <w:t>3、污染物排放量核算</w:t>
            </w:r>
          </w:p>
          <w:p w14:paraId="173F9E16">
            <w:pPr>
              <w:adjustRightInd w:val="0"/>
              <w:snapToGrid w:val="0"/>
              <w:spacing w:line="360" w:lineRule="auto"/>
              <w:ind w:firstLine="480"/>
              <w:rPr>
                <w:b/>
                <w:sz w:val="24"/>
                <w:lang w:val="zh-CN"/>
              </w:rPr>
            </w:pPr>
            <w:r>
              <w:rPr>
                <w:sz w:val="24"/>
              </w:rPr>
              <w:t>项目废气主要</w:t>
            </w:r>
            <w:r>
              <w:rPr>
                <w:rFonts w:hint="eastAsia"/>
                <w:sz w:val="24"/>
              </w:rPr>
              <w:t>来自堆场、混合和配料、发酵和包装、运输</w:t>
            </w:r>
            <w:r>
              <w:rPr>
                <w:sz w:val="24"/>
              </w:rPr>
              <w:t>过程产生的废气。项目大气污染物年排放量核算表</w:t>
            </w:r>
            <w:r>
              <w:rPr>
                <w:rFonts w:hint="eastAsia"/>
                <w:sz w:val="24"/>
              </w:rPr>
              <w:t>见</w:t>
            </w:r>
            <w:r>
              <w:rPr>
                <w:sz w:val="24"/>
              </w:rPr>
              <w:t>表</w:t>
            </w:r>
            <w:r>
              <w:rPr>
                <w:rFonts w:hint="eastAsia"/>
                <w:sz w:val="24"/>
              </w:rPr>
              <w:t>4-1、4-2</w:t>
            </w:r>
            <w:r>
              <w:rPr>
                <w:sz w:val="24"/>
              </w:rPr>
              <w:t>。</w:t>
            </w:r>
          </w:p>
          <w:p w14:paraId="563809A7">
            <w:pPr>
              <w:adjustRightInd w:val="0"/>
              <w:snapToGrid w:val="0"/>
              <w:ind w:firstLine="422"/>
              <w:jc w:val="center"/>
              <w:rPr>
                <w:b/>
                <w:bCs/>
                <w:szCs w:val="21"/>
              </w:rPr>
            </w:pPr>
            <w:r>
              <w:rPr>
                <w:rFonts w:hint="eastAsia"/>
                <w:b/>
                <w:bCs/>
                <w:szCs w:val="21"/>
              </w:rPr>
              <w:t>表4-1  大气污染物无组织排放量核算表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967"/>
              <w:gridCol w:w="2649"/>
              <w:gridCol w:w="1256"/>
              <w:gridCol w:w="1080"/>
              <w:gridCol w:w="1386"/>
            </w:tblGrid>
            <w:tr w14:paraId="36F7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center"/>
                </w:tcPr>
                <w:p w14:paraId="28FFA2F6">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产污环节</w:t>
                  </w:r>
                </w:p>
              </w:tc>
              <w:tc>
                <w:tcPr>
                  <w:tcW w:w="967" w:type="dxa"/>
                  <w:vAlign w:val="center"/>
                </w:tcPr>
                <w:p w14:paraId="4687E6B6">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污染物</w:t>
                  </w:r>
                </w:p>
              </w:tc>
              <w:tc>
                <w:tcPr>
                  <w:tcW w:w="2649" w:type="dxa"/>
                  <w:vAlign w:val="center"/>
                </w:tcPr>
                <w:p w14:paraId="6690D4DF">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主要污染防治措施</w:t>
                  </w:r>
                </w:p>
              </w:tc>
              <w:tc>
                <w:tcPr>
                  <w:tcW w:w="1256" w:type="dxa"/>
                  <w:vAlign w:val="center"/>
                </w:tcPr>
                <w:p w14:paraId="391F835C">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污染物排放标准</w:t>
                  </w:r>
                </w:p>
              </w:tc>
              <w:tc>
                <w:tcPr>
                  <w:tcW w:w="1080" w:type="dxa"/>
                  <w:vAlign w:val="center"/>
                </w:tcPr>
                <w:p w14:paraId="3A82B350">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浓度限值/（mg/m</w:t>
                  </w:r>
                  <w:r>
                    <w:rPr>
                      <w:rFonts w:ascii="Times New Roman" w:hAnsi="Times New Roman"/>
                      <w:sz w:val="21"/>
                      <w:szCs w:val="21"/>
                      <w:vertAlign w:val="superscript"/>
                    </w:rPr>
                    <w:t>3</w:t>
                  </w:r>
                  <w:r>
                    <w:rPr>
                      <w:rFonts w:ascii="Times New Roman" w:hAnsi="Times New Roman"/>
                      <w:sz w:val="21"/>
                      <w:szCs w:val="21"/>
                    </w:rPr>
                    <w:t>）</w:t>
                  </w:r>
                </w:p>
              </w:tc>
              <w:tc>
                <w:tcPr>
                  <w:tcW w:w="1386" w:type="dxa"/>
                  <w:vAlign w:val="center"/>
                </w:tcPr>
                <w:p w14:paraId="6AB90BB1">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年排放量/（t/a）</w:t>
                  </w:r>
                </w:p>
              </w:tc>
            </w:tr>
            <w:tr w14:paraId="50C5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07A802B2">
                  <w:pPr>
                    <w:pStyle w:val="19"/>
                    <w:adjustRightInd w:val="0"/>
                    <w:snapToGrid w:val="0"/>
                    <w:spacing w:before="48" w:beforeLines="20" w:beforeAutospacing="0" w:after="0" w:afterAutospacing="0"/>
                    <w:jc w:val="center"/>
                    <w:rPr>
                      <w:rFonts w:ascii="Times New Roman" w:hAnsi="Times New Roman"/>
                      <w:sz w:val="21"/>
                      <w:szCs w:val="21"/>
                    </w:rPr>
                  </w:pPr>
                  <w:bookmarkStart w:id="30" w:name="_Hlk190102176"/>
                  <w:bookmarkStart w:id="31" w:name="OLE_LINK71" w:colFirst="5" w:colLast="5"/>
                  <w:bookmarkStart w:id="32" w:name="OLE_LINK70" w:colFirst="5" w:colLast="5"/>
                  <w:r>
                    <w:rPr>
                      <w:rFonts w:hint="eastAsia" w:ascii="Times New Roman" w:hAnsi="Times New Roman"/>
                      <w:sz w:val="21"/>
                      <w:szCs w:val="21"/>
                    </w:rPr>
                    <w:t>堆场</w:t>
                  </w:r>
                </w:p>
              </w:tc>
              <w:tc>
                <w:tcPr>
                  <w:tcW w:w="967" w:type="dxa"/>
                  <w:vAlign w:val="center"/>
                </w:tcPr>
                <w:p w14:paraId="14D6E2B4">
                  <w:pPr>
                    <w:pStyle w:val="19"/>
                    <w:wordWrap w:val="0"/>
                    <w:adjustRightInd w:val="0"/>
                    <w:snapToGrid w:val="0"/>
                    <w:spacing w:before="48" w:beforeLines="20" w:beforeAutospacing="0" w:afterAutospacing="0"/>
                    <w:jc w:val="center"/>
                    <w:rPr>
                      <w:rFonts w:ascii="Times New Roman" w:hAnsi="Times New Roman"/>
                      <w:sz w:val="21"/>
                      <w:szCs w:val="21"/>
                    </w:rPr>
                  </w:pPr>
                  <w:r>
                    <w:rPr>
                      <w:rFonts w:hint="eastAsia" w:ascii="Times New Roman" w:hAnsi="Times New Roman"/>
                      <w:sz w:val="21"/>
                      <w:szCs w:val="21"/>
                    </w:rPr>
                    <w:t>颗粒物</w:t>
                  </w:r>
                </w:p>
              </w:tc>
              <w:tc>
                <w:tcPr>
                  <w:tcW w:w="2649" w:type="dxa"/>
                  <w:vAlign w:val="center"/>
                </w:tcPr>
                <w:p w14:paraId="5C0AF481">
                  <w:pPr>
                    <w:pStyle w:val="19"/>
                    <w:wordWrap w:val="0"/>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厂房密闭、移动式雾炮机喷雾除尘</w:t>
                  </w:r>
                </w:p>
              </w:tc>
              <w:tc>
                <w:tcPr>
                  <w:tcW w:w="1256" w:type="dxa"/>
                  <w:vMerge w:val="restart"/>
                  <w:vAlign w:val="center"/>
                </w:tcPr>
                <w:p w14:paraId="227813D4">
                  <w:pPr>
                    <w:pStyle w:val="19"/>
                    <w:wordWrap w:val="0"/>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《大气污染物综合排放标准》（GB16297-1996）的表2中无组织排放监控浓度限值要求</w:t>
                  </w:r>
                </w:p>
              </w:tc>
              <w:tc>
                <w:tcPr>
                  <w:tcW w:w="1080" w:type="dxa"/>
                  <w:vAlign w:val="center"/>
                </w:tcPr>
                <w:p w14:paraId="0CD90368">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1.0</w:t>
                  </w:r>
                </w:p>
              </w:tc>
              <w:tc>
                <w:tcPr>
                  <w:tcW w:w="1386" w:type="dxa"/>
                  <w:vAlign w:val="center"/>
                </w:tcPr>
                <w:p w14:paraId="787F173F">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0.003</w:t>
                  </w:r>
                </w:p>
              </w:tc>
            </w:tr>
            <w:tr w14:paraId="3780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7064D43B">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混合、配料</w:t>
                  </w:r>
                </w:p>
              </w:tc>
              <w:tc>
                <w:tcPr>
                  <w:tcW w:w="967" w:type="dxa"/>
                  <w:vAlign w:val="center"/>
                </w:tcPr>
                <w:p w14:paraId="4EC7FF5A">
                  <w:pPr>
                    <w:pStyle w:val="19"/>
                    <w:wordWrap w:val="0"/>
                    <w:adjustRightInd w:val="0"/>
                    <w:snapToGrid w:val="0"/>
                    <w:spacing w:before="48" w:beforeLines="20" w:beforeAutospacing="0" w:afterAutospacing="0"/>
                    <w:jc w:val="center"/>
                    <w:rPr>
                      <w:rFonts w:ascii="Times New Roman" w:hAnsi="Times New Roman"/>
                      <w:sz w:val="21"/>
                      <w:szCs w:val="21"/>
                    </w:rPr>
                  </w:pPr>
                  <w:r>
                    <w:rPr>
                      <w:rFonts w:hint="eastAsia" w:ascii="Times New Roman" w:hAnsi="Times New Roman"/>
                      <w:sz w:val="21"/>
                      <w:szCs w:val="21"/>
                    </w:rPr>
                    <w:t>颗粒物</w:t>
                  </w:r>
                </w:p>
              </w:tc>
              <w:tc>
                <w:tcPr>
                  <w:tcW w:w="2649" w:type="dxa"/>
                  <w:vAlign w:val="center"/>
                </w:tcPr>
                <w:p w14:paraId="6088365A">
                  <w:pPr>
                    <w:pStyle w:val="19"/>
                    <w:wordWrap w:val="0"/>
                    <w:adjustRightInd w:val="0"/>
                    <w:snapToGrid w:val="0"/>
                    <w:spacing w:before="48" w:beforeLines="20" w:beforeAutospacing="0" w:after="0" w:afterAutospacing="0"/>
                    <w:jc w:val="center"/>
                    <w:rPr>
                      <w:sz w:val="21"/>
                      <w:szCs w:val="21"/>
                    </w:rPr>
                  </w:pPr>
                  <w:r>
                    <w:rPr>
                      <w:rFonts w:hint="eastAsia"/>
                      <w:sz w:val="21"/>
                      <w:szCs w:val="21"/>
                    </w:rPr>
                    <w:t>厂房密闭、喷水降尘/移动式雾炮机喷雾除尘</w:t>
                  </w:r>
                </w:p>
              </w:tc>
              <w:tc>
                <w:tcPr>
                  <w:tcW w:w="1256" w:type="dxa"/>
                  <w:vMerge w:val="continue"/>
                  <w:vAlign w:val="center"/>
                </w:tcPr>
                <w:p w14:paraId="54FBB8FA">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55AFBC2C">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1.0</w:t>
                  </w:r>
                </w:p>
              </w:tc>
              <w:tc>
                <w:tcPr>
                  <w:tcW w:w="1386" w:type="dxa"/>
                  <w:vAlign w:val="center"/>
                </w:tcPr>
                <w:p w14:paraId="792EA1E1">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0.04</w:t>
                  </w:r>
                </w:p>
              </w:tc>
            </w:tr>
            <w:tr w14:paraId="10CB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1FA12C82">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发酵</w:t>
                  </w:r>
                </w:p>
              </w:tc>
              <w:tc>
                <w:tcPr>
                  <w:tcW w:w="967" w:type="dxa"/>
                  <w:vAlign w:val="center"/>
                </w:tcPr>
                <w:p w14:paraId="413B658D">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异味</w:t>
                  </w:r>
                </w:p>
              </w:tc>
              <w:tc>
                <w:tcPr>
                  <w:tcW w:w="2649" w:type="dxa"/>
                  <w:vAlign w:val="center"/>
                </w:tcPr>
                <w:p w14:paraId="37F1D8CD">
                  <w:pPr>
                    <w:pStyle w:val="19"/>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厂房密闭、喷洒生物除臭剂、车间安装抽排风系统</w:t>
                  </w:r>
                </w:p>
              </w:tc>
              <w:tc>
                <w:tcPr>
                  <w:tcW w:w="1256" w:type="dxa"/>
                  <w:vMerge w:val="continue"/>
                  <w:vAlign w:val="center"/>
                </w:tcPr>
                <w:p w14:paraId="78AE50A9">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3967976C">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w:t>
                  </w:r>
                </w:p>
              </w:tc>
              <w:tc>
                <w:tcPr>
                  <w:tcW w:w="1386" w:type="dxa"/>
                  <w:vAlign w:val="center"/>
                </w:tcPr>
                <w:p w14:paraId="5C29BA3C">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少量</w:t>
                  </w:r>
                </w:p>
              </w:tc>
            </w:tr>
            <w:tr w14:paraId="29EC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321A9C4A">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包装</w:t>
                  </w:r>
                </w:p>
              </w:tc>
              <w:tc>
                <w:tcPr>
                  <w:tcW w:w="967" w:type="dxa"/>
                  <w:vAlign w:val="center"/>
                </w:tcPr>
                <w:p w14:paraId="1A3DC264">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颗粒物</w:t>
                  </w:r>
                </w:p>
              </w:tc>
              <w:tc>
                <w:tcPr>
                  <w:tcW w:w="2649" w:type="dxa"/>
                  <w:vAlign w:val="center"/>
                </w:tcPr>
                <w:p w14:paraId="55696585">
                  <w:pPr>
                    <w:pStyle w:val="19"/>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厂房密闭、移动式雾炮机喷雾除尘</w:t>
                  </w:r>
                </w:p>
              </w:tc>
              <w:tc>
                <w:tcPr>
                  <w:tcW w:w="1256" w:type="dxa"/>
                  <w:vMerge w:val="continue"/>
                  <w:vAlign w:val="center"/>
                </w:tcPr>
                <w:p w14:paraId="3B94EB8C">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74DDFC4F">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1.0</w:t>
                  </w:r>
                </w:p>
              </w:tc>
              <w:tc>
                <w:tcPr>
                  <w:tcW w:w="1386" w:type="dxa"/>
                  <w:vAlign w:val="center"/>
                </w:tcPr>
                <w:p w14:paraId="305861D9">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0.1</w:t>
                  </w:r>
                </w:p>
              </w:tc>
            </w:tr>
            <w:tr w14:paraId="769C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3F2B40F8">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汽车尾气</w:t>
                  </w:r>
                </w:p>
              </w:tc>
              <w:tc>
                <w:tcPr>
                  <w:tcW w:w="967" w:type="dxa"/>
                  <w:vAlign w:val="center"/>
                </w:tcPr>
                <w:p w14:paraId="358E61A6">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CO、HC和NO</w:t>
                  </w:r>
                  <w:r>
                    <w:rPr>
                      <w:rFonts w:hint="eastAsia" w:ascii="Times New Roman" w:hAnsi="Times New Roman"/>
                      <w:sz w:val="21"/>
                      <w:szCs w:val="21"/>
                      <w:vertAlign w:val="subscript"/>
                    </w:rPr>
                    <w:t>2</w:t>
                  </w:r>
                  <w:r>
                    <w:rPr>
                      <w:rFonts w:hint="eastAsia" w:ascii="Times New Roman" w:hAnsi="Times New Roman"/>
                      <w:sz w:val="21"/>
                      <w:szCs w:val="21"/>
                    </w:rPr>
                    <w:t>等</w:t>
                  </w:r>
                </w:p>
              </w:tc>
              <w:tc>
                <w:tcPr>
                  <w:tcW w:w="2649" w:type="dxa"/>
                  <w:vAlign w:val="center"/>
                </w:tcPr>
                <w:p w14:paraId="19AB5CAA">
                  <w:pPr>
                    <w:pStyle w:val="19"/>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定期检修、大气稀释扩散</w:t>
                  </w:r>
                </w:p>
              </w:tc>
              <w:tc>
                <w:tcPr>
                  <w:tcW w:w="1256" w:type="dxa"/>
                  <w:vMerge w:val="continue"/>
                  <w:vAlign w:val="center"/>
                </w:tcPr>
                <w:p w14:paraId="7ED66388">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1EFC8FFE">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w:t>
                  </w:r>
                </w:p>
              </w:tc>
              <w:tc>
                <w:tcPr>
                  <w:tcW w:w="1386" w:type="dxa"/>
                  <w:vAlign w:val="center"/>
                </w:tcPr>
                <w:p w14:paraId="40127ABA">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少量</w:t>
                  </w:r>
                </w:p>
              </w:tc>
            </w:tr>
            <w:bookmarkEnd w:id="30"/>
            <w:bookmarkEnd w:id="31"/>
            <w:bookmarkEnd w:id="32"/>
            <w:tr w14:paraId="5DCE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0" w:type="dxa"/>
                  <w:gridSpan w:val="6"/>
                  <w:vAlign w:val="center"/>
                </w:tcPr>
                <w:p w14:paraId="2B7FB368">
                  <w:pPr>
                    <w:pStyle w:val="19"/>
                    <w:wordWrap w:val="0"/>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bCs/>
                      <w:sz w:val="21"/>
                      <w:szCs w:val="21"/>
                      <w:lang w:val="zh-CN"/>
                    </w:rPr>
                    <w:t>无组织排放总计</w:t>
                  </w:r>
                </w:p>
              </w:tc>
            </w:tr>
            <w:tr w14:paraId="7460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9" w:type="dxa"/>
                  <w:gridSpan w:val="2"/>
                  <w:vAlign w:val="center"/>
                </w:tcPr>
                <w:p w14:paraId="25460DDE">
                  <w:pPr>
                    <w:widowControl/>
                    <w:wordWrap w:val="0"/>
                    <w:adjustRightInd w:val="0"/>
                    <w:snapToGrid w:val="0"/>
                    <w:spacing w:before="48" w:beforeLines="20"/>
                    <w:rPr>
                      <w:szCs w:val="21"/>
                    </w:rPr>
                  </w:pPr>
                  <w:r>
                    <w:rPr>
                      <w:szCs w:val="21"/>
                      <w:lang w:val="zh-CN"/>
                    </w:rPr>
                    <w:t>无组织排放总计</w:t>
                  </w:r>
                </w:p>
              </w:tc>
              <w:tc>
                <w:tcPr>
                  <w:tcW w:w="4985" w:type="dxa"/>
                  <w:gridSpan w:val="3"/>
                  <w:vAlign w:val="center"/>
                </w:tcPr>
                <w:p w14:paraId="406489EA">
                  <w:pPr>
                    <w:pStyle w:val="72"/>
                    <w:wordWrap w:val="0"/>
                    <w:adjustRightInd w:val="0"/>
                    <w:spacing w:before="48" w:beforeLines="20"/>
                    <w:contextualSpacing/>
                    <w:textAlignment w:val="auto"/>
                    <w:rPr>
                      <w:color w:val="auto"/>
                    </w:rPr>
                  </w:pPr>
                  <w:r>
                    <w:rPr>
                      <w:rFonts w:hint="eastAsia"/>
                      <w:color w:val="auto"/>
                    </w:rPr>
                    <w:t>颗粒物</w:t>
                  </w:r>
                </w:p>
              </w:tc>
              <w:tc>
                <w:tcPr>
                  <w:tcW w:w="1386" w:type="dxa"/>
                  <w:vAlign w:val="center"/>
                </w:tcPr>
                <w:p w14:paraId="661B6D71">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0.143</w:t>
                  </w:r>
                </w:p>
              </w:tc>
            </w:tr>
          </w:tbl>
          <w:p w14:paraId="0422EE63">
            <w:pPr>
              <w:adjustRightInd w:val="0"/>
              <w:snapToGrid w:val="0"/>
              <w:ind w:firstLine="422"/>
              <w:jc w:val="center"/>
              <w:rPr>
                <w:b/>
                <w:bCs/>
                <w:szCs w:val="21"/>
              </w:rPr>
            </w:pPr>
            <w:r>
              <w:rPr>
                <w:rFonts w:hint="eastAsia"/>
                <w:b/>
                <w:bCs/>
                <w:szCs w:val="21"/>
              </w:rPr>
              <w:t>表4-2 大气污染物年排放量核算一览表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2574"/>
              <w:gridCol w:w="3662"/>
            </w:tblGrid>
            <w:tr w14:paraId="1B7E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7F8836B9">
                  <w:pPr>
                    <w:widowControl/>
                    <w:spacing w:before="48" w:beforeLines="20" w:line="288" w:lineRule="auto"/>
                    <w:ind w:firstLine="420"/>
                    <w:jc w:val="center"/>
                    <w:rPr>
                      <w:bCs/>
                      <w:szCs w:val="21"/>
                      <w:lang w:val="zh-CN"/>
                    </w:rPr>
                  </w:pPr>
                  <w:r>
                    <w:rPr>
                      <w:bCs/>
                      <w:szCs w:val="21"/>
                      <w:lang w:val="zh-CN"/>
                    </w:rPr>
                    <w:t>序号</w:t>
                  </w:r>
                </w:p>
              </w:tc>
              <w:tc>
                <w:tcPr>
                  <w:tcW w:w="2574" w:type="dxa"/>
                  <w:vAlign w:val="center"/>
                </w:tcPr>
                <w:p w14:paraId="70AD67D1">
                  <w:pPr>
                    <w:widowControl/>
                    <w:spacing w:before="48" w:beforeLines="20" w:line="288" w:lineRule="auto"/>
                    <w:ind w:firstLine="420"/>
                    <w:jc w:val="center"/>
                    <w:rPr>
                      <w:bCs/>
                      <w:szCs w:val="21"/>
                      <w:lang w:val="zh-CN"/>
                    </w:rPr>
                  </w:pPr>
                  <w:r>
                    <w:rPr>
                      <w:bCs/>
                      <w:szCs w:val="21"/>
                      <w:lang w:val="zh-CN"/>
                    </w:rPr>
                    <w:t>污染物</w:t>
                  </w:r>
                </w:p>
              </w:tc>
              <w:tc>
                <w:tcPr>
                  <w:tcW w:w="3662" w:type="dxa"/>
                  <w:vAlign w:val="center"/>
                </w:tcPr>
                <w:p w14:paraId="097DAA5F">
                  <w:pPr>
                    <w:widowControl/>
                    <w:spacing w:before="48" w:beforeLines="20" w:line="288" w:lineRule="auto"/>
                    <w:ind w:firstLine="420"/>
                    <w:jc w:val="center"/>
                    <w:rPr>
                      <w:bCs/>
                      <w:szCs w:val="21"/>
                      <w:lang w:val="zh-CN"/>
                    </w:rPr>
                  </w:pPr>
                  <w:r>
                    <w:rPr>
                      <w:bCs/>
                      <w:szCs w:val="21"/>
                      <w:lang w:val="zh-CN"/>
                    </w:rPr>
                    <w:t>年排放量（t/a）</w:t>
                  </w:r>
                </w:p>
              </w:tc>
            </w:tr>
            <w:tr w14:paraId="3F79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27B9316D">
                  <w:pPr>
                    <w:widowControl/>
                    <w:spacing w:before="48" w:beforeLines="20" w:line="288" w:lineRule="auto"/>
                    <w:ind w:firstLine="420"/>
                    <w:jc w:val="center"/>
                    <w:rPr>
                      <w:bCs/>
                      <w:szCs w:val="21"/>
                    </w:rPr>
                  </w:pPr>
                  <w:r>
                    <w:rPr>
                      <w:rFonts w:hint="eastAsia"/>
                      <w:bCs/>
                      <w:szCs w:val="21"/>
                    </w:rPr>
                    <w:t>1</w:t>
                  </w:r>
                </w:p>
              </w:tc>
              <w:tc>
                <w:tcPr>
                  <w:tcW w:w="2574" w:type="dxa"/>
                  <w:vAlign w:val="center"/>
                </w:tcPr>
                <w:p w14:paraId="0E98B8F7">
                  <w:pPr>
                    <w:adjustRightInd w:val="0"/>
                    <w:snapToGrid w:val="0"/>
                    <w:spacing w:before="48" w:beforeLines="20" w:line="288" w:lineRule="auto"/>
                    <w:ind w:firstLine="420"/>
                    <w:jc w:val="center"/>
                    <w:rPr>
                      <w:bCs/>
                      <w:szCs w:val="21"/>
                    </w:rPr>
                  </w:pPr>
                  <w:r>
                    <w:rPr>
                      <w:rFonts w:hint="eastAsia"/>
                      <w:bCs/>
                      <w:szCs w:val="21"/>
                    </w:rPr>
                    <w:t>颗粒物</w:t>
                  </w:r>
                </w:p>
              </w:tc>
              <w:tc>
                <w:tcPr>
                  <w:tcW w:w="3662" w:type="dxa"/>
                  <w:vAlign w:val="center"/>
                </w:tcPr>
                <w:p w14:paraId="64D61D15">
                  <w:pPr>
                    <w:adjustRightInd w:val="0"/>
                    <w:snapToGrid w:val="0"/>
                    <w:spacing w:before="48" w:beforeLines="20" w:line="288" w:lineRule="auto"/>
                    <w:ind w:firstLine="420"/>
                    <w:jc w:val="center"/>
                    <w:rPr>
                      <w:bCs/>
                      <w:szCs w:val="21"/>
                    </w:rPr>
                  </w:pPr>
                  <w:r>
                    <w:rPr>
                      <w:rFonts w:hint="eastAsia"/>
                      <w:bCs/>
                      <w:szCs w:val="21"/>
                    </w:rPr>
                    <w:t>0.143</w:t>
                  </w:r>
                </w:p>
              </w:tc>
            </w:tr>
          </w:tbl>
          <w:p w14:paraId="4BA91FDB">
            <w:pPr>
              <w:pStyle w:val="15"/>
              <w:adjustRightInd w:val="0"/>
              <w:spacing w:line="360" w:lineRule="auto"/>
              <w:ind w:firstLine="442" w:firstLineChars="200"/>
              <w:rPr>
                <w:b/>
                <w:spacing w:val="-10"/>
                <w:sz w:val="24"/>
                <w:szCs w:val="24"/>
              </w:rPr>
            </w:pPr>
            <w:r>
              <w:rPr>
                <w:rFonts w:hint="eastAsia"/>
                <w:b/>
                <w:spacing w:val="-10"/>
                <w:sz w:val="24"/>
                <w:szCs w:val="24"/>
              </w:rPr>
              <w:t>4</w:t>
            </w:r>
            <w:r>
              <w:rPr>
                <w:b/>
                <w:spacing w:val="-10"/>
                <w:sz w:val="24"/>
                <w:szCs w:val="24"/>
              </w:rPr>
              <w:t>、废气治理设施可行性分析</w:t>
            </w:r>
          </w:p>
          <w:p w14:paraId="70868D8E">
            <w:pPr>
              <w:pStyle w:val="15"/>
              <w:adjustRightInd w:val="0"/>
              <w:spacing w:line="360" w:lineRule="auto"/>
              <w:ind w:firstLine="440" w:firstLineChars="200"/>
              <w:rPr>
                <w:bCs/>
                <w:spacing w:val="-10"/>
                <w:sz w:val="24"/>
                <w:szCs w:val="24"/>
              </w:rPr>
            </w:pPr>
            <w:r>
              <w:rPr>
                <w:bCs/>
                <w:spacing w:val="-10"/>
                <w:sz w:val="24"/>
                <w:szCs w:val="24"/>
              </w:rPr>
              <w:t>（1）恶臭废气污染治理</w:t>
            </w:r>
            <w:r>
              <w:rPr>
                <w:rFonts w:hint="eastAsia"/>
                <w:bCs/>
                <w:spacing w:val="-10"/>
                <w:sz w:val="24"/>
                <w:szCs w:val="24"/>
              </w:rPr>
              <w:t>措施</w:t>
            </w:r>
          </w:p>
          <w:p w14:paraId="6EB3D6CF">
            <w:pPr>
              <w:pStyle w:val="80"/>
              <w:spacing w:line="360" w:lineRule="auto"/>
              <w:ind w:firstLine="480" w:firstLineChars="200"/>
              <w:rPr>
                <w:sz w:val="24"/>
                <w:szCs w:val="24"/>
              </w:rPr>
            </w:pPr>
            <w:r>
              <w:rPr>
                <w:rFonts w:hint="eastAsia"/>
                <w:sz w:val="24"/>
                <w:szCs w:val="24"/>
              </w:rPr>
              <w:t>在常规化学研究中，当温度超过130℃时，尿素才会开始逐渐分解，分解过程中会产生气体，如氨气、二氧化碳等。所以，本项目在堆肥过程中最高温度为70</w:t>
            </w:r>
            <w:r>
              <w:rPr>
                <w:sz w:val="24"/>
                <w:szCs w:val="24"/>
              </w:rPr>
              <w:t>℃，</w:t>
            </w:r>
            <w:r>
              <w:rPr>
                <w:rFonts w:hint="eastAsia"/>
                <w:sz w:val="24"/>
                <w:szCs w:val="24"/>
              </w:rPr>
              <w:t>且持续时间较短，达不到尿素分解的温度，不会发生尿素分解反应从而产生气体。</w:t>
            </w:r>
          </w:p>
          <w:p w14:paraId="4F5D442C">
            <w:pPr>
              <w:pStyle w:val="80"/>
              <w:spacing w:line="360" w:lineRule="auto"/>
              <w:ind w:firstLine="440" w:firstLineChars="200"/>
              <w:rPr>
                <w:sz w:val="24"/>
                <w:szCs w:val="24"/>
              </w:rPr>
            </w:pPr>
            <w:r>
              <w:rPr>
                <w:bCs/>
                <w:spacing w:val="-10"/>
                <w:sz w:val="24"/>
                <w:szCs w:val="24"/>
              </w:rPr>
              <w:t>本项目</w:t>
            </w:r>
            <w:r>
              <w:rPr>
                <w:rFonts w:hint="eastAsia"/>
                <w:bCs/>
                <w:spacing w:val="-10"/>
                <w:sz w:val="24"/>
                <w:szCs w:val="24"/>
              </w:rPr>
              <w:t>不使用粪便，原料中的</w:t>
            </w:r>
            <w:r>
              <w:rPr>
                <w:rFonts w:hint="eastAsia"/>
                <w:sz w:val="24"/>
                <w:szCs w:val="24"/>
              </w:rPr>
              <w:t>低变质褐煤主要成分为有机质和腐殖酸，腐殖酸大分子的基本结构是芳环和脂环组成，环上连有羟基、羧基、羰基、甲氧基等官能团，不会产生大量恶臭气体。低变质褐煤和锯木屑、尿素在堆肥发酵过程中会产生少量的异味，项目采取厂房密闭，在发酵过程中喷洒生物除臭剂的方式进行恶臭气体的治理。</w:t>
            </w:r>
          </w:p>
          <w:p w14:paraId="642C1369">
            <w:pPr>
              <w:pStyle w:val="80"/>
              <w:spacing w:line="360" w:lineRule="auto"/>
              <w:ind w:firstLine="480" w:firstLineChars="200"/>
              <w:rPr>
                <w:sz w:val="24"/>
                <w:szCs w:val="24"/>
              </w:rPr>
            </w:pPr>
            <w:r>
              <w:rPr>
                <w:rFonts w:hint="eastAsia"/>
                <w:sz w:val="24"/>
                <w:szCs w:val="24"/>
              </w:rPr>
              <w:t>微生物除臭剂的工作原理：微生物除臭剂的核心在于利用特定微生物的代谢活动，将臭气中的有机物质分解为无害或低毒的物质。这些微生物通常具有高效的降解能力，可以针对常见的臭气成分进行有效分解。在适宜的条件下，这些微生物能够快速繁殖并形成优势菌群，通过竞争作用抑制臭气产生菌的生长，从而达到长期除臭的效果。微生物除臭剂的优势：①环保性，微生物除臭剂不会产生二次污染，符合绿色环保的理念；②经济性，相比其他除臭方法，微生物除臭剂的成本较低，适合长期大规模应用；③易操作性，微生物除臭剂的应用方法简单，不需要复杂的设备和技术支持；④长期效果，微生物除臭剂通过增强优势菌群的数量和活性来抑制臭气产生菌的生长，具有长期稳定的除臭效果。</w:t>
            </w:r>
          </w:p>
          <w:p w14:paraId="77565CC2">
            <w:pPr>
              <w:pStyle w:val="15"/>
              <w:adjustRightInd w:val="0"/>
              <w:spacing w:line="360" w:lineRule="auto"/>
              <w:ind w:firstLine="440" w:firstLineChars="200"/>
              <w:rPr>
                <w:bCs/>
                <w:spacing w:val="-10"/>
                <w:sz w:val="24"/>
                <w:szCs w:val="24"/>
              </w:rPr>
            </w:pPr>
            <w:r>
              <w:rPr>
                <w:bCs/>
                <w:spacing w:val="-10"/>
                <w:sz w:val="24"/>
                <w:szCs w:val="24"/>
              </w:rPr>
              <w:t>生物除臭剂普遍用于垃圾填埋场、垃圾中转站、养殖场等除臭抑蝇，能有效去除硫化氢、氨气等恶臭气体，除臭率和抑蝇率达70%以上，对人体和动植物无任何毒副作用，对环境不产生任何污染。</w:t>
            </w:r>
          </w:p>
          <w:p w14:paraId="2743ABE6">
            <w:pPr>
              <w:pStyle w:val="15"/>
              <w:adjustRightInd w:val="0"/>
              <w:spacing w:line="360" w:lineRule="auto"/>
              <w:ind w:firstLine="440" w:firstLineChars="200"/>
              <w:rPr>
                <w:bCs/>
                <w:spacing w:val="-10"/>
                <w:sz w:val="24"/>
                <w:szCs w:val="24"/>
              </w:rPr>
            </w:pPr>
            <w:r>
              <w:rPr>
                <w:bCs/>
                <w:spacing w:val="-10"/>
                <w:sz w:val="24"/>
                <w:szCs w:val="24"/>
              </w:rPr>
              <w:t>经查阅《排污许可证申请与核发技术规范磷肥、钾肥、复混肥料、有机肥料及微生物肥料工业》(HJ864.2-2018)中表 15 有机肥料及微生物肥料工业排污单位生产单元或设施废气治理可行技术参照表，本项目使用的生物除臭属于推荐的可行技术。</w:t>
            </w:r>
          </w:p>
          <w:p w14:paraId="27159975">
            <w:pPr>
              <w:pStyle w:val="15"/>
              <w:adjustRightInd w:val="0"/>
              <w:spacing w:line="360" w:lineRule="auto"/>
              <w:ind w:firstLine="440" w:firstLineChars="200"/>
              <w:rPr>
                <w:bCs/>
                <w:spacing w:val="-10"/>
                <w:sz w:val="24"/>
                <w:szCs w:val="24"/>
              </w:rPr>
            </w:pPr>
            <w:r>
              <w:rPr>
                <w:rFonts w:hint="eastAsia"/>
                <w:bCs/>
                <w:spacing w:val="-10"/>
                <w:sz w:val="24"/>
                <w:szCs w:val="24"/>
              </w:rPr>
              <w:t>同时，本项目类比《黑龙江省双鸭山市宝清县丰亨生物科技有限公司年产 15 万吨腐植酸生物有机肥项目竣工环境保护验收监测报告表》，对措施可行性进一步分析，与类比项目对比见下表所示。</w:t>
            </w:r>
          </w:p>
          <w:p w14:paraId="371359AE">
            <w:pPr>
              <w:pStyle w:val="56"/>
            </w:pPr>
            <w:r>
              <w:rPr>
                <w:rFonts w:hint="eastAsia"/>
              </w:rPr>
              <w:t>表4-3 类比项目与本项目对比情况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0"/>
              <w:gridCol w:w="4206"/>
              <w:gridCol w:w="3140"/>
              <w:gridCol w:w="8"/>
            </w:tblGrid>
            <w:tr w14:paraId="7189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194" w:hRule="atLeast"/>
              </w:trPr>
              <w:tc>
                <w:tcPr>
                  <w:tcW w:w="655" w:type="pct"/>
                  <w:vMerge w:val="restart"/>
                  <w:vAlign w:val="center"/>
                </w:tcPr>
                <w:p w14:paraId="3FAE304D">
                  <w:pPr>
                    <w:pStyle w:val="72"/>
                    <w:rPr>
                      <w:b w:val="0"/>
                      <w:color w:val="auto"/>
                    </w:rPr>
                  </w:pPr>
                  <w:r>
                    <w:rPr>
                      <w:rFonts w:hint="eastAsia"/>
                      <w:b w:val="0"/>
                      <w:color w:val="auto"/>
                    </w:rPr>
                    <w:t>基本情况</w:t>
                  </w:r>
                </w:p>
              </w:tc>
              <w:tc>
                <w:tcPr>
                  <w:tcW w:w="4339" w:type="pct"/>
                  <w:gridSpan w:val="2"/>
                  <w:vAlign w:val="center"/>
                </w:tcPr>
                <w:p w14:paraId="49627606">
                  <w:pPr>
                    <w:pStyle w:val="72"/>
                    <w:rPr>
                      <w:b w:val="0"/>
                      <w:color w:val="auto"/>
                    </w:rPr>
                  </w:pPr>
                  <w:r>
                    <w:rPr>
                      <w:rFonts w:hint="eastAsia"/>
                      <w:b w:val="0"/>
                      <w:color w:val="auto"/>
                    </w:rPr>
                    <w:t>类比项目（臭气浓度）</w:t>
                  </w:r>
                </w:p>
              </w:tc>
            </w:tr>
            <w:tr w14:paraId="06A1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55" w:type="pct"/>
                  <w:vMerge w:val="continue"/>
                  <w:vAlign w:val="center"/>
                </w:tcPr>
                <w:p w14:paraId="0F911363">
                  <w:pPr>
                    <w:pStyle w:val="72"/>
                    <w:rPr>
                      <w:b w:val="0"/>
                      <w:color w:val="auto"/>
                    </w:rPr>
                  </w:pPr>
                </w:p>
              </w:tc>
              <w:tc>
                <w:tcPr>
                  <w:tcW w:w="2484" w:type="pct"/>
                  <w:shd w:val="clear" w:color="auto" w:fill="auto"/>
                  <w:vAlign w:val="center"/>
                </w:tcPr>
                <w:p w14:paraId="5139EDC9">
                  <w:pPr>
                    <w:pStyle w:val="72"/>
                    <w:rPr>
                      <w:rFonts w:cs="宋体"/>
                      <w:b w:val="0"/>
                      <w:color w:val="auto"/>
                      <w:lang w:bidi="ar"/>
                    </w:rPr>
                  </w:pPr>
                  <w:r>
                    <w:rPr>
                      <w:rFonts w:hint="eastAsia"/>
                      <w:b w:val="0"/>
                      <w:color w:val="auto"/>
                    </w:rPr>
                    <w:t>黑龙江省双鸭山市宝清县丰亨生物科技有限公司年产 15 万吨腐植酸生物有机肥项目</w:t>
                  </w:r>
                </w:p>
              </w:tc>
              <w:tc>
                <w:tcPr>
                  <w:tcW w:w="1860" w:type="pct"/>
                  <w:gridSpan w:val="2"/>
                  <w:vAlign w:val="center"/>
                </w:tcPr>
                <w:p w14:paraId="0801A560">
                  <w:pPr>
                    <w:pStyle w:val="72"/>
                    <w:rPr>
                      <w:b w:val="0"/>
                      <w:color w:val="auto"/>
                    </w:rPr>
                  </w:pPr>
                  <w:r>
                    <w:rPr>
                      <w:rFonts w:hint="eastAsia"/>
                      <w:b w:val="0"/>
                      <w:color w:val="auto"/>
                    </w:rPr>
                    <w:t>本项目</w:t>
                  </w:r>
                </w:p>
              </w:tc>
            </w:tr>
            <w:tr w14:paraId="1F16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762C53D6">
                  <w:pPr>
                    <w:pStyle w:val="72"/>
                    <w:rPr>
                      <w:b w:val="0"/>
                      <w:color w:val="auto"/>
                    </w:rPr>
                  </w:pPr>
                  <w:r>
                    <w:rPr>
                      <w:rFonts w:hint="eastAsia"/>
                      <w:b w:val="0"/>
                      <w:color w:val="auto"/>
                    </w:rPr>
                    <w:t>原料</w:t>
                  </w:r>
                </w:p>
              </w:tc>
              <w:tc>
                <w:tcPr>
                  <w:tcW w:w="2484" w:type="pct"/>
                  <w:vAlign w:val="center"/>
                </w:tcPr>
                <w:p w14:paraId="2A8722DC">
                  <w:pPr>
                    <w:pStyle w:val="72"/>
                    <w:rPr>
                      <w:b w:val="0"/>
                      <w:color w:val="auto"/>
                    </w:rPr>
                  </w:pPr>
                  <w:r>
                    <w:rPr>
                      <w:rFonts w:hint="eastAsia"/>
                      <w:b w:val="0"/>
                      <w:color w:val="auto"/>
                    </w:rPr>
                    <w:t>褐煤、尿素二铵、发酵秸秆</w:t>
                  </w:r>
                </w:p>
              </w:tc>
              <w:tc>
                <w:tcPr>
                  <w:tcW w:w="1860" w:type="pct"/>
                  <w:gridSpan w:val="2"/>
                  <w:vAlign w:val="center"/>
                </w:tcPr>
                <w:p w14:paraId="7129C1F2">
                  <w:pPr>
                    <w:pStyle w:val="72"/>
                    <w:rPr>
                      <w:b w:val="0"/>
                      <w:color w:val="auto"/>
                    </w:rPr>
                  </w:pPr>
                  <w:r>
                    <w:rPr>
                      <w:rFonts w:hint="eastAsia"/>
                      <w:b w:val="0"/>
                      <w:color w:val="auto"/>
                    </w:rPr>
                    <w:t>低变质褐煤、尿素、锯木屑</w:t>
                  </w:r>
                </w:p>
              </w:tc>
            </w:tr>
            <w:tr w14:paraId="07CE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108028F5">
                  <w:pPr>
                    <w:pStyle w:val="72"/>
                    <w:rPr>
                      <w:b w:val="0"/>
                      <w:color w:val="auto"/>
                    </w:rPr>
                  </w:pPr>
                  <w:r>
                    <w:rPr>
                      <w:rFonts w:hint="eastAsia"/>
                      <w:b w:val="0"/>
                      <w:color w:val="auto"/>
                    </w:rPr>
                    <w:t>辅料</w:t>
                  </w:r>
                </w:p>
              </w:tc>
              <w:tc>
                <w:tcPr>
                  <w:tcW w:w="2484" w:type="pct"/>
                  <w:shd w:val="clear" w:color="auto" w:fill="auto"/>
                  <w:vAlign w:val="center"/>
                </w:tcPr>
                <w:p w14:paraId="03C04EA1">
                  <w:pPr>
                    <w:pStyle w:val="72"/>
                    <w:rPr>
                      <w:rFonts w:cs="宋体"/>
                      <w:b w:val="0"/>
                      <w:color w:val="auto"/>
                      <w:lang w:bidi="ar"/>
                    </w:rPr>
                  </w:pPr>
                  <w:r>
                    <w:rPr>
                      <w:rFonts w:hint="eastAsia"/>
                      <w:b w:val="0"/>
                      <w:color w:val="auto"/>
                    </w:rPr>
                    <w:t>发酵菌种</w:t>
                  </w:r>
                </w:p>
              </w:tc>
              <w:tc>
                <w:tcPr>
                  <w:tcW w:w="1860" w:type="pct"/>
                  <w:gridSpan w:val="2"/>
                  <w:vAlign w:val="center"/>
                </w:tcPr>
                <w:p w14:paraId="6B1263E5">
                  <w:pPr>
                    <w:pStyle w:val="72"/>
                    <w:rPr>
                      <w:b w:val="0"/>
                      <w:color w:val="auto"/>
                    </w:rPr>
                  </w:pPr>
                  <w:r>
                    <w:rPr>
                      <w:rFonts w:hint="eastAsia"/>
                      <w:b w:val="0"/>
                      <w:color w:val="auto"/>
                    </w:rPr>
                    <w:t>发酵菌种</w:t>
                  </w:r>
                </w:p>
              </w:tc>
            </w:tr>
            <w:tr w14:paraId="0213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1AF74D48">
                  <w:pPr>
                    <w:pStyle w:val="72"/>
                    <w:rPr>
                      <w:b w:val="0"/>
                      <w:color w:val="auto"/>
                    </w:rPr>
                  </w:pPr>
                  <w:r>
                    <w:rPr>
                      <w:rFonts w:hint="eastAsia"/>
                      <w:b w:val="0"/>
                      <w:color w:val="auto"/>
                    </w:rPr>
                    <w:t>工艺</w:t>
                  </w:r>
                </w:p>
              </w:tc>
              <w:tc>
                <w:tcPr>
                  <w:tcW w:w="2484" w:type="pct"/>
                  <w:shd w:val="clear" w:color="auto" w:fill="auto"/>
                  <w:vAlign w:val="center"/>
                </w:tcPr>
                <w:p w14:paraId="2EA86D18">
                  <w:pPr>
                    <w:pStyle w:val="72"/>
                    <w:rPr>
                      <w:rFonts w:cs="宋体"/>
                      <w:b w:val="0"/>
                      <w:color w:val="auto"/>
                      <w:lang w:bidi="ar"/>
                    </w:rPr>
                  </w:pPr>
                  <w:r>
                    <w:rPr>
                      <w:rFonts w:hint="eastAsia"/>
                      <w:b w:val="0"/>
                      <w:color w:val="auto"/>
                    </w:rPr>
                    <w:t>原料+破碎+搅拌+发酵+造粒+称重、打包+成品出厂</w:t>
                  </w:r>
                </w:p>
              </w:tc>
              <w:tc>
                <w:tcPr>
                  <w:tcW w:w="1860" w:type="pct"/>
                  <w:gridSpan w:val="2"/>
                  <w:vAlign w:val="center"/>
                </w:tcPr>
                <w:p w14:paraId="0E358338">
                  <w:pPr>
                    <w:pStyle w:val="72"/>
                    <w:rPr>
                      <w:b w:val="0"/>
                      <w:color w:val="auto"/>
                    </w:rPr>
                  </w:pPr>
                  <w:r>
                    <w:rPr>
                      <w:rFonts w:hint="eastAsia"/>
                      <w:b w:val="0"/>
                      <w:color w:val="auto"/>
                    </w:rPr>
                    <w:t>见图2-4 运营期生产工艺流程</w:t>
                  </w:r>
                </w:p>
              </w:tc>
            </w:tr>
            <w:tr w14:paraId="5383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4BC664AD">
                  <w:pPr>
                    <w:pStyle w:val="72"/>
                    <w:rPr>
                      <w:b w:val="0"/>
                      <w:color w:val="auto"/>
                    </w:rPr>
                  </w:pPr>
                  <w:r>
                    <w:rPr>
                      <w:rFonts w:hint="eastAsia"/>
                      <w:b w:val="0"/>
                      <w:color w:val="auto"/>
                    </w:rPr>
                    <w:t>生产规模</w:t>
                  </w:r>
                </w:p>
              </w:tc>
              <w:tc>
                <w:tcPr>
                  <w:tcW w:w="2484" w:type="pct"/>
                  <w:shd w:val="clear" w:color="auto" w:fill="auto"/>
                  <w:vAlign w:val="center"/>
                </w:tcPr>
                <w:p w14:paraId="56332960">
                  <w:pPr>
                    <w:pStyle w:val="72"/>
                    <w:rPr>
                      <w:rFonts w:cs="宋体"/>
                      <w:b w:val="0"/>
                      <w:color w:val="auto"/>
                      <w:lang w:bidi="ar"/>
                    </w:rPr>
                  </w:pPr>
                  <w:r>
                    <w:rPr>
                      <w:rFonts w:hint="eastAsia"/>
                      <w:b w:val="0"/>
                      <w:color w:val="auto"/>
                    </w:rPr>
                    <w:t>年产 15 万吨腐植酸生物有机肥项目</w:t>
                  </w:r>
                </w:p>
              </w:tc>
              <w:tc>
                <w:tcPr>
                  <w:tcW w:w="1860" w:type="pct"/>
                  <w:gridSpan w:val="2"/>
                  <w:vAlign w:val="center"/>
                </w:tcPr>
                <w:p w14:paraId="00BE509F">
                  <w:pPr>
                    <w:pStyle w:val="72"/>
                    <w:rPr>
                      <w:b w:val="0"/>
                      <w:color w:val="auto"/>
                    </w:rPr>
                  </w:pPr>
                  <w:r>
                    <w:rPr>
                      <w:rFonts w:hint="eastAsia"/>
                      <w:b w:val="0"/>
                      <w:color w:val="auto"/>
                    </w:rPr>
                    <w:t>年产10万吨有机肥</w:t>
                  </w:r>
                </w:p>
              </w:tc>
            </w:tr>
            <w:tr w14:paraId="3FA4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655" w:type="pct"/>
                  <w:vAlign w:val="center"/>
                </w:tcPr>
                <w:p w14:paraId="48BC08D1">
                  <w:pPr>
                    <w:pStyle w:val="72"/>
                    <w:rPr>
                      <w:b w:val="0"/>
                      <w:color w:val="auto"/>
                    </w:rPr>
                  </w:pPr>
                  <w:r>
                    <w:rPr>
                      <w:rFonts w:hint="eastAsia"/>
                      <w:b w:val="0"/>
                      <w:color w:val="auto"/>
                    </w:rPr>
                    <w:t>生产时间</w:t>
                  </w:r>
                </w:p>
              </w:tc>
              <w:tc>
                <w:tcPr>
                  <w:tcW w:w="2484" w:type="pct"/>
                  <w:vAlign w:val="center"/>
                </w:tcPr>
                <w:p w14:paraId="7A09FD36">
                  <w:pPr>
                    <w:pStyle w:val="72"/>
                    <w:rPr>
                      <w:b w:val="0"/>
                      <w:color w:val="auto"/>
                    </w:rPr>
                  </w:pPr>
                  <w:r>
                    <w:rPr>
                      <w:rFonts w:hint="eastAsia"/>
                      <w:b w:val="0"/>
                      <w:color w:val="auto"/>
                    </w:rPr>
                    <w:t>年生产300天，每天生产10小时</w:t>
                  </w:r>
                </w:p>
              </w:tc>
              <w:tc>
                <w:tcPr>
                  <w:tcW w:w="1860" w:type="pct"/>
                  <w:gridSpan w:val="2"/>
                  <w:vAlign w:val="center"/>
                </w:tcPr>
                <w:p w14:paraId="0B55E642">
                  <w:pPr>
                    <w:pStyle w:val="72"/>
                    <w:rPr>
                      <w:b w:val="0"/>
                      <w:color w:val="auto"/>
                    </w:rPr>
                  </w:pPr>
                  <w:r>
                    <w:rPr>
                      <w:rFonts w:hint="eastAsia"/>
                      <w:b w:val="0"/>
                      <w:color w:val="auto"/>
                    </w:rPr>
                    <w:t>年工作300天，每天10小时</w:t>
                  </w:r>
                </w:p>
              </w:tc>
            </w:tr>
            <w:tr w14:paraId="0462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655" w:type="pct"/>
                  <w:vAlign w:val="center"/>
                </w:tcPr>
                <w:p w14:paraId="42618BCB">
                  <w:pPr>
                    <w:pStyle w:val="72"/>
                    <w:rPr>
                      <w:b w:val="0"/>
                      <w:color w:val="auto"/>
                    </w:rPr>
                  </w:pPr>
                  <w:r>
                    <w:rPr>
                      <w:rFonts w:hint="eastAsia"/>
                      <w:b w:val="0"/>
                      <w:color w:val="auto"/>
                    </w:rPr>
                    <w:t>废气处理措施</w:t>
                  </w:r>
                </w:p>
              </w:tc>
              <w:tc>
                <w:tcPr>
                  <w:tcW w:w="2484" w:type="pct"/>
                  <w:vAlign w:val="center"/>
                </w:tcPr>
                <w:p w14:paraId="48058450">
                  <w:pPr>
                    <w:pStyle w:val="72"/>
                    <w:rPr>
                      <w:b w:val="0"/>
                      <w:color w:val="auto"/>
                    </w:rPr>
                  </w:pPr>
                  <w:r>
                    <w:rPr>
                      <w:rFonts w:hint="eastAsia"/>
                      <w:b w:val="0"/>
                      <w:color w:val="auto"/>
                    </w:rPr>
                    <w:t>破碎和造粒分别经布袋除尘器处理后由排气筒排放；恶臭喷洒除臭剂进行控制</w:t>
                  </w:r>
                </w:p>
              </w:tc>
              <w:tc>
                <w:tcPr>
                  <w:tcW w:w="1860" w:type="pct"/>
                  <w:gridSpan w:val="2"/>
                  <w:vAlign w:val="center"/>
                </w:tcPr>
                <w:p w14:paraId="7A182ACA">
                  <w:pPr>
                    <w:pStyle w:val="72"/>
                    <w:rPr>
                      <w:b w:val="0"/>
                      <w:color w:val="auto"/>
                    </w:rPr>
                  </w:pPr>
                  <w:r>
                    <w:rPr>
                      <w:rFonts w:hint="eastAsia"/>
                      <w:b w:val="0"/>
                      <w:color w:val="auto"/>
                    </w:rPr>
                    <w:t>厂房密闭+喷洒生物除臭剂</w:t>
                  </w:r>
                </w:p>
              </w:tc>
            </w:tr>
          </w:tbl>
          <w:p w14:paraId="24D4826D">
            <w:pPr>
              <w:pStyle w:val="56"/>
              <w:spacing w:line="360" w:lineRule="auto"/>
              <w:ind w:firstLine="435"/>
              <w:jc w:val="left"/>
              <w:rPr>
                <w:rFonts w:hint="eastAsia"/>
                <w:b w:val="0"/>
                <w:bCs/>
                <w:sz w:val="24"/>
              </w:rPr>
            </w:pPr>
            <w:r>
              <w:rPr>
                <w:rFonts w:hint="eastAsia"/>
                <w:b w:val="0"/>
                <w:bCs/>
                <w:sz w:val="24"/>
              </w:rPr>
              <w:t>根据上表，本项目不需要进行破碎和造粒工序，无破碎和造粒废气产生；生产过程中采取的发酵工艺和恶臭处理措施一致，具有可类比性。2025年9月1日-2日类比项目厂界上下风向无组织臭气浓度的监测结果如下：</w:t>
            </w:r>
          </w:p>
          <w:p w14:paraId="3CA9C8D3">
            <w:pPr>
              <w:pStyle w:val="56"/>
              <w:ind w:firstLine="435"/>
            </w:pPr>
            <w:r>
              <w:rPr>
                <w:rFonts w:hint="eastAsia"/>
              </w:rPr>
              <w:t xml:space="preserve">     表4-4 类比项目竣工验收监测一览表      单位：无量纲</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44"/>
              <w:gridCol w:w="1232"/>
              <w:gridCol w:w="1083"/>
              <w:gridCol w:w="1055"/>
              <w:gridCol w:w="1061"/>
              <w:gridCol w:w="1232"/>
              <w:gridCol w:w="857"/>
            </w:tblGrid>
            <w:tr w14:paraId="2776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1148" w:type="pct"/>
                  <w:vMerge w:val="restart"/>
                  <w:vAlign w:val="center"/>
                </w:tcPr>
                <w:p w14:paraId="0ED2951E">
                  <w:pPr>
                    <w:pStyle w:val="72"/>
                    <w:rPr>
                      <w:b w:val="0"/>
                      <w:color w:val="auto"/>
                    </w:rPr>
                  </w:pPr>
                  <w:r>
                    <w:rPr>
                      <w:rFonts w:hint="eastAsia"/>
                      <w:b w:val="0"/>
                      <w:color w:val="auto"/>
                    </w:rPr>
                    <w:t>点位</w:t>
                  </w:r>
                </w:p>
              </w:tc>
              <w:tc>
                <w:tcPr>
                  <w:tcW w:w="3851" w:type="pct"/>
                  <w:gridSpan w:val="6"/>
                  <w:vAlign w:val="center"/>
                </w:tcPr>
                <w:p w14:paraId="69076BEE">
                  <w:pPr>
                    <w:pStyle w:val="72"/>
                    <w:rPr>
                      <w:b w:val="0"/>
                      <w:color w:val="auto"/>
                    </w:rPr>
                  </w:pPr>
                  <w:r>
                    <w:rPr>
                      <w:rFonts w:hint="eastAsia"/>
                      <w:b w:val="0"/>
                      <w:color w:val="auto"/>
                    </w:rPr>
                    <w:t>监测时间</w:t>
                  </w:r>
                </w:p>
              </w:tc>
            </w:tr>
            <w:tr w14:paraId="0856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48" w:type="pct"/>
                  <w:vMerge w:val="continue"/>
                  <w:vAlign w:val="center"/>
                </w:tcPr>
                <w:p w14:paraId="6C5EB33E">
                  <w:pPr>
                    <w:pStyle w:val="72"/>
                    <w:rPr>
                      <w:b w:val="0"/>
                      <w:color w:val="auto"/>
                    </w:rPr>
                  </w:pPr>
                </w:p>
              </w:tc>
              <w:tc>
                <w:tcPr>
                  <w:tcW w:w="1990" w:type="pct"/>
                  <w:gridSpan w:val="3"/>
                  <w:shd w:val="clear" w:color="auto" w:fill="auto"/>
                  <w:vAlign w:val="center"/>
                </w:tcPr>
                <w:p w14:paraId="1FFD4C30">
                  <w:pPr>
                    <w:pStyle w:val="72"/>
                    <w:rPr>
                      <w:rFonts w:cs="宋体"/>
                      <w:b w:val="0"/>
                      <w:color w:val="auto"/>
                      <w:lang w:bidi="ar"/>
                    </w:rPr>
                  </w:pPr>
                  <w:r>
                    <w:rPr>
                      <w:rFonts w:hint="eastAsia" w:cs="宋体"/>
                      <w:b w:val="0"/>
                      <w:color w:val="auto"/>
                      <w:lang w:bidi="ar"/>
                    </w:rPr>
                    <w:t>2025年9月1日（工况95.4%）</w:t>
                  </w:r>
                </w:p>
              </w:tc>
              <w:tc>
                <w:tcPr>
                  <w:tcW w:w="1860" w:type="pct"/>
                  <w:gridSpan w:val="3"/>
                  <w:vAlign w:val="center"/>
                </w:tcPr>
                <w:p w14:paraId="1B4E51DC">
                  <w:pPr>
                    <w:pStyle w:val="72"/>
                    <w:rPr>
                      <w:b w:val="0"/>
                      <w:color w:val="auto"/>
                    </w:rPr>
                  </w:pPr>
                  <w:r>
                    <w:rPr>
                      <w:rFonts w:hint="eastAsia" w:cs="宋体"/>
                      <w:b w:val="0"/>
                      <w:color w:val="auto"/>
                      <w:lang w:bidi="ar"/>
                    </w:rPr>
                    <w:t>2025年9月2日（工况97%）</w:t>
                  </w:r>
                </w:p>
              </w:tc>
            </w:tr>
            <w:tr w14:paraId="50FB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1C6724FB">
                  <w:pPr>
                    <w:pStyle w:val="72"/>
                    <w:rPr>
                      <w:b w:val="0"/>
                      <w:color w:val="auto"/>
                    </w:rPr>
                  </w:pPr>
                  <w:r>
                    <w:rPr>
                      <w:rFonts w:hint="eastAsia"/>
                      <w:b w:val="0"/>
                      <w:color w:val="auto"/>
                    </w:rPr>
                    <w:t>厂界上风向G1</w:t>
                  </w:r>
                </w:p>
              </w:tc>
              <w:tc>
                <w:tcPr>
                  <w:tcW w:w="727" w:type="pct"/>
                  <w:vAlign w:val="center"/>
                </w:tcPr>
                <w:p w14:paraId="7CC2763F">
                  <w:pPr>
                    <w:pStyle w:val="72"/>
                    <w:rPr>
                      <w:b w:val="0"/>
                      <w:color w:val="auto"/>
                    </w:rPr>
                  </w:pPr>
                  <w:r>
                    <w:rPr>
                      <w:rFonts w:hint="eastAsia"/>
                      <w:b w:val="0"/>
                      <w:color w:val="auto"/>
                    </w:rPr>
                    <w:t>11</w:t>
                  </w:r>
                </w:p>
              </w:tc>
              <w:tc>
                <w:tcPr>
                  <w:tcW w:w="640" w:type="pct"/>
                  <w:vAlign w:val="center"/>
                </w:tcPr>
                <w:p w14:paraId="7E6A345F">
                  <w:pPr>
                    <w:pStyle w:val="72"/>
                    <w:rPr>
                      <w:b w:val="0"/>
                      <w:color w:val="auto"/>
                    </w:rPr>
                  </w:pPr>
                  <w:r>
                    <w:rPr>
                      <w:rFonts w:hint="eastAsia"/>
                      <w:b w:val="0"/>
                      <w:color w:val="auto"/>
                    </w:rPr>
                    <w:t>12</w:t>
                  </w:r>
                </w:p>
              </w:tc>
              <w:tc>
                <w:tcPr>
                  <w:tcW w:w="622" w:type="pct"/>
                  <w:vAlign w:val="center"/>
                </w:tcPr>
                <w:p w14:paraId="1430AEE5">
                  <w:pPr>
                    <w:pStyle w:val="72"/>
                    <w:rPr>
                      <w:b w:val="0"/>
                      <w:color w:val="auto"/>
                    </w:rPr>
                  </w:pPr>
                  <w:r>
                    <w:rPr>
                      <w:rFonts w:hint="eastAsia"/>
                      <w:b w:val="0"/>
                      <w:color w:val="auto"/>
                    </w:rPr>
                    <w:t>11</w:t>
                  </w:r>
                </w:p>
              </w:tc>
              <w:tc>
                <w:tcPr>
                  <w:tcW w:w="627" w:type="pct"/>
                  <w:vAlign w:val="center"/>
                </w:tcPr>
                <w:p w14:paraId="2BBC4F9B">
                  <w:pPr>
                    <w:pStyle w:val="72"/>
                    <w:rPr>
                      <w:b w:val="0"/>
                      <w:color w:val="auto"/>
                    </w:rPr>
                  </w:pPr>
                  <w:r>
                    <w:rPr>
                      <w:rFonts w:hint="eastAsia"/>
                      <w:b w:val="0"/>
                      <w:color w:val="auto"/>
                    </w:rPr>
                    <w:t>11</w:t>
                  </w:r>
                </w:p>
              </w:tc>
              <w:tc>
                <w:tcPr>
                  <w:tcW w:w="728" w:type="pct"/>
                  <w:vAlign w:val="center"/>
                </w:tcPr>
                <w:p w14:paraId="476C36AA">
                  <w:pPr>
                    <w:pStyle w:val="72"/>
                    <w:rPr>
                      <w:b w:val="0"/>
                      <w:color w:val="auto"/>
                    </w:rPr>
                  </w:pPr>
                  <w:r>
                    <w:rPr>
                      <w:rFonts w:hint="eastAsia"/>
                      <w:b w:val="0"/>
                      <w:color w:val="auto"/>
                    </w:rPr>
                    <w:t>11</w:t>
                  </w:r>
                </w:p>
              </w:tc>
              <w:tc>
                <w:tcPr>
                  <w:tcW w:w="503" w:type="pct"/>
                  <w:vAlign w:val="center"/>
                </w:tcPr>
                <w:p w14:paraId="41EABDCB">
                  <w:pPr>
                    <w:pStyle w:val="72"/>
                    <w:rPr>
                      <w:b w:val="0"/>
                      <w:color w:val="auto"/>
                    </w:rPr>
                  </w:pPr>
                  <w:r>
                    <w:rPr>
                      <w:rFonts w:hint="eastAsia"/>
                      <w:b w:val="0"/>
                      <w:color w:val="auto"/>
                    </w:rPr>
                    <w:t>12</w:t>
                  </w:r>
                </w:p>
              </w:tc>
            </w:tr>
            <w:tr w14:paraId="7090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045F31B8">
                  <w:pPr>
                    <w:pStyle w:val="72"/>
                    <w:rPr>
                      <w:b w:val="0"/>
                      <w:color w:val="auto"/>
                    </w:rPr>
                  </w:pPr>
                  <w:r>
                    <w:rPr>
                      <w:rFonts w:hint="eastAsia"/>
                      <w:b w:val="0"/>
                      <w:color w:val="auto"/>
                    </w:rPr>
                    <w:t>厂界上风向G2</w:t>
                  </w:r>
                </w:p>
              </w:tc>
              <w:tc>
                <w:tcPr>
                  <w:tcW w:w="727" w:type="pct"/>
                  <w:shd w:val="clear" w:color="auto" w:fill="auto"/>
                  <w:vAlign w:val="center"/>
                </w:tcPr>
                <w:p w14:paraId="37374AC0">
                  <w:pPr>
                    <w:pStyle w:val="72"/>
                    <w:rPr>
                      <w:rFonts w:cs="宋体"/>
                      <w:b w:val="0"/>
                      <w:color w:val="auto"/>
                      <w:lang w:bidi="ar"/>
                    </w:rPr>
                  </w:pPr>
                  <w:r>
                    <w:rPr>
                      <w:rFonts w:hint="eastAsia" w:cs="宋体"/>
                      <w:b w:val="0"/>
                      <w:color w:val="auto"/>
                      <w:lang w:bidi="ar"/>
                    </w:rPr>
                    <w:t>17</w:t>
                  </w:r>
                </w:p>
              </w:tc>
              <w:tc>
                <w:tcPr>
                  <w:tcW w:w="640" w:type="pct"/>
                  <w:shd w:val="clear" w:color="auto" w:fill="auto"/>
                  <w:vAlign w:val="center"/>
                </w:tcPr>
                <w:p w14:paraId="64A21449">
                  <w:pPr>
                    <w:pStyle w:val="72"/>
                    <w:rPr>
                      <w:rFonts w:cs="宋体"/>
                      <w:b w:val="0"/>
                      <w:color w:val="auto"/>
                      <w:lang w:bidi="ar"/>
                    </w:rPr>
                  </w:pPr>
                  <w:r>
                    <w:rPr>
                      <w:rFonts w:hint="eastAsia" w:cs="宋体"/>
                      <w:b w:val="0"/>
                      <w:color w:val="auto"/>
                      <w:lang w:bidi="ar"/>
                    </w:rPr>
                    <w:t>14</w:t>
                  </w:r>
                </w:p>
              </w:tc>
              <w:tc>
                <w:tcPr>
                  <w:tcW w:w="622" w:type="pct"/>
                  <w:shd w:val="clear" w:color="auto" w:fill="auto"/>
                  <w:vAlign w:val="center"/>
                </w:tcPr>
                <w:p w14:paraId="442297B4">
                  <w:pPr>
                    <w:pStyle w:val="72"/>
                    <w:rPr>
                      <w:rFonts w:cs="宋体"/>
                      <w:b w:val="0"/>
                      <w:color w:val="auto"/>
                      <w:lang w:bidi="ar"/>
                    </w:rPr>
                  </w:pPr>
                  <w:r>
                    <w:rPr>
                      <w:rFonts w:hint="eastAsia" w:cs="宋体"/>
                      <w:b w:val="0"/>
                      <w:color w:val="auto"/>
                      <w:lang w:bidi="ar"/>
                    </w:rPr>
                    <w:t>16</w:t>
                  </w:r>
                </w:p>
              </w:tc>
              <w:tc>
                <w:tcPr>
                  <w:tcW w:w="627" w:type="pct"/>
                  <w:vAlign w:val="center"/>
                </w:tcPr>
                <w:p w14:paraId="5FA5E337">
                  <w:pPr>
                    <w:pStyle w:val="72"/>
                    <w:rPr>
                      <w:b w:val="0"/>
                      <w:color w:val="auto"/>
                    </w:rPr>
                  </w:pPr>
                  <w:r>
                    <w:rPr>
                      <w:rFonts w:hint="eastAsia"/>
                      <w:b w:val="0"/>
                      <w:color w:val="auto"/>
                    </w:rPr>
                    <w:t>15</w:t>
                  </w:r>
                </w:p>
              </w:tc>
              <w:tc>
                <w:tcPr>
                  <w:tcW w:w="728" w:type="pct"/>
                  <w:vAlign w:val="center"/>
                </w:tcPr>
                <w:p w14:paraId="563C5FE4">
                  <w:pPr>
                    <w:pStyle w:val="72"/>
                    <w:rPr>
                      <w:b w:val="0"/>
                      <w:color w:val="auto"/>
                    </w:rPr>
                  </w:pPr>
                  <w:r>
                    <w:rPr>
                      <w:rFonts w:hint="eastAsia"/>
                      <w:b w:val="0"/>
                      <w:color w:val="auto"/>
                    </w:rPr>
                    <w:t>15</w:t>
                  </w:r>
                </w:p>
              </w:tc>
              <w:tc>
                <w:tcPr>
                  <w:tcW w:w="503" w:type="pct"/>
                  <w:vAlign w:val="center"/>
                </w:tcPr>
                <w:p w14:paraId="2B60B326">
                  <w:pPr>
                    <w:pStyle w:val="72"/>
                    <w:rPr>
                      <w:b w:val="0"/>
                      <w:color w:val="auto"/>
                    </w:rPr>
                  </w:pPr>
                  <w:r>
                    <w:rPr>
                      <w:rFonts w:hint="eastAsia"/>
                      <w:b w:val="0"/>
                      <w:color w:val="auto"/>
                    </w:rPr>
                    <w:t>16</w:t>
                  </w:r>
                </w:p>
              </w:tc>
            </w:tr>
            <w:tr w14:paraId="3395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7B42470F">
                  <w:pPr>
                    <w:pStyle w:val="72"/>
                    <w:rPr>
                      <w:b w:val="0"/>
                      <w:color w:val="auto"/>
                    </w:rPr>
                  </w:pPr>
                  <w:r>
                    <w:rPr>
                      <w:rFonts w:hint="eastAsia"/>
                      <w:b w:val="0"/>
                      <w:color w:val="auto"/>
                    </w:rPr>
                    <w:t>厂界上风向G3</w:t>
                  </w:r>
                </w:p>
              </w:tc>
              <w:tc>
                <w:tcPr>
                  <w:tcW w:w="727" w:type="pct"/>
                  <w:shd w:val="clear" w:color="auto" w:fill="auto"/>
                  <w:vAlign w:val="center"/>
                </w:tcPr>
                <w:p w14:paraId="275DAA08">
                  <w:pPr>
                    <w:pStyle w:val="72"/>
                    <w:rPr>
                      <w:rFonts w:cs="宋体"/>
                      <w:b w:val="0"/>
                      <w:color w:val="auto"/>
                      <w:lang w:bidi="ar"/>
                    </w:rPr>
                  </w:pPr>
                  <w:r>
                    <w:rPr>
                      <w:rFonts w:hint="eastAsia" w:cs="宋体"/>
                      <w:b w:val="0"/>
                      <w:color w:val="auto"/>
                      <w:lang w:bidi="ar"/>
                    </w:rPr>
                    <w:t>16</w:t>
                  </w:r>
                </w:p>
              </w:tc>
              <w:tc>
                <w:tcPr>
                  <w:tcW w:w="640" w:type="pct"/>
                  <w:shd w:val="clear" w:color="auto" w:fill="auto"/>
                  <w:vAlign w:val="center"/>
                </w:tcPr>
                <w:p w14:paraId="71F93EFD">
                  <w:pPr>
                    <w:pStyle w:val="72"/>
                    <w:rPr>
                      <w:rFonts w:cs="宋体"/>
                      <w:b w:val="0"/>
                      <w:color w:val="auto"/>
                      <w:lang w:bidi="ar"/>
                    </w:rPr>
                  </w:pPr>
                  <w:r>
                    <w:rPr>
                      <w:rFonts w:hint="eastAsia" w:cs="宋体"/>
                      <w:b w:val="0"/>
                      <w:color w:val="auto"/>
                      <w:lang w:bidi="ar"/>
                    </w:rPr>
                    <w:t>17</w:t>
                  </w:r>
                </w:p>
              </w:tc>
              <w:tc>
                <w:tcPr>
                  <w:tcW w:w="622" w:type="pct"/>
                  <w:shd w:val="clear" w:color="auto" w:fill="auto"/>
                  <w:vAlign w:val="center"/>
                </w:tcPr>
                <w:p w14:paraId="4FB43C1D">
                  <w:pPr>
                    <w:pStyle w:val="72"/>
                    <w:rPr>
                      <w:rFonts w:cs="宋体"/>
                      <w:b w:val="0"/>
                      <w:color w:val="auto"/>
                      <w:lang w:bidi="ar"/>
                    </w:rPr>
                  </w:pPr>
                  <w:r>
                    <w:rPr>
                      <w:rFonts w:hint="eastAsia" w:cs="宋体"/>
                      <w:b w:val="0"/>
                      <w:color w:val="auto"/>
                      <w:lang w:bidi="ar"/>
                    </w:rPr>
                    <w:t>17</w:t>
                  </w:r>
                </w:p>
              </w:tc>
              <w:tc>
                <w:tcPr>
                  <w:tcW w:w="627" w:type="pct"/>
                  <w:vAlign w:val="center"/>
                </w:tcPr>
                <w:p w14:paraId="270D180F">
                  <w:pPr>
                    <w:pStyle w:val="72"/>
                    <w:rPr>
                      <w:b w:val="0"/>
                      <w:color w:val="auto"/>
                    </w:rPr>
                  </w:pPr>
                  <w:r>
                    <w:rPr>
                      <w:rFonts w:hint="eastAsia"/>
                      <w:b w:val="0"/>
                      <w:color w:val="auto"/>
                    </w:rPr>
                    <w:t>18</w:t>
                  </w:r>
                </w:p>
              </w:tc>
              <w:tc>
                <w:tcPr>
                  <w:tcW w:w="728" w:type="pct"/>
                  <w:vAlign w:val="center"/>
                </w:tcPr>
                <w:p w14:paraId="6FC5379F">
                  <w:pPr>
                    <w:pStyle w:val="72"/>
                    <w:rPr>
                      <w:b w:val="0"/>
                      <w:color w:val="auto"/>
                    </w:rPr>
                  </w:pPr>
                  <w:r>
                    <w:rPr>
                      <w:rFonts w:hint="eastAsia"/>
                      <w:b w:val="0"/>
                      <w:color w:val="auto"/>
                    </w:rPr>
                    <w:t>18</w:t>
                  </w:r>
                </w:p>
              </w:tc>
              <w:tc>
                <w:tcPr>
                  <w:tcW w:w="503" w:type="pct"/>
                  <w:vAlign w:val="center"/>
                </w:tcPr>
                <w:p w14:paraId="550E3BA5">
                  <w:pPr>
                    <w:pStyle w:val="72"/>
                    <w:rPr>
                      <w:b w:val="0"/>
                      <w:color w:val="auto"/>
                    </w:rPr>
                  </w:pPr>
                  <w:r>
                    <w:rPr>
                      <w:rFonts w:hint="eastAsia"/>
                      <w:b w:val="0"/>
                      <w:color w:val="auto"/>
                    </w:rPr>
                    <w:t>15</w:t>
                  </w:r>
                </w:p>
              </w:tc>
            </w:tr>
            <w:tr w14:paraId="3530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36D73812">
                  <w:pPr>
                    <w:pStyle w:val="72"/>
                    <w:rPr>
                      <w:b w:val="0"/>
                      <w:color w:val="auto"/>
                    </w:rPr>
                  </w:pPr>
                  <w:r>
                    <w:rPr>
                      <w:rFonts w:hint="eastAsia"/>
                      <w:b w:val="0"/>
                      <w:color w:val="auto"/>
                    </w:rPr>
                    <w:t>厂界上风向G4</w:t>
                  </w:r>
                </w:p>
              </w:tc>
              <w:tc>
                <w:tcPr>
                  <w:tcW w:w="727" w:type="pct"/>
                  <w:shd w:val="clear" w:color="auto" w:fill="auto"/>
                  <w:vAlign w:val="center"/>
                </w:tcPr>
                <w:p w14:paraId="621C9086">
                  <w:pPr>
                    <w:pStyle w:val="72"/>
                    <w:rPr>
                      <w:rFonts w:cs="宋体"/>
                      <w:b w:val="0"/>
                      <w:color w:val="auto"/>
                      <w:lang w:bidi="ar"/>
                    </w:rPr>
                  </w:pPr>
                  <w:r>
                    <w:rPr>
                      <w:rFonts w:hint="eastAsia" w:cs="宋体"/>
                      <w:b w:val="0"/>
                      <w:color w:val="auto"/>
                      <w:lang w:bidi="ar"/>
                    </w:rPr>
                    <w:t>16</w:t>
                  </w:r>
                </w:p>
              </w:tc>
              <w:tc>
                <w:tcPr>
                  <w:tcW w:w="640" w:type="pct"/>
                  <w:shd w:val="clear" w:color="auto" w:fill="auto"/>
                  <w:vAlign w:val="center"/>
                </w:tcPr>
                <w:p w14:paraId="4CD70501">
                  <w:pPr>
                    <w:pStyle w:val="72"/>
                    <w:rPr>
                      <w:rFonts w:cs="宋体"/>
                      <w:b w:val="0"/>
                      <w:color w:val="auto"/>
                      <w:lang w:bidi="ar"/>
                    </w:rPr>
                  </w:pPr>
                  <w:r>
                    <w:rPr>
                      <w:rFonts w:hint="eastAsia" w:cs="宋体"/>
                      <w:b w:val="0"/>
                      <w:color w:val="auto"/>
                      <w:lang w:bidi="ar"/>
                    </w:rPr>
                    <w:t>15</w:t>
                  </w:r>
                </w:p>
              </w:tc>
              <w:tc>
                <w:tcPr>
                  <w:tcW w:w="622" w:type="pct"/>
                  <w:shd w:val="clear" w:color="auto" w:fill="auto"/>
                  <w:vAlign w:val="center"/>
                </w:tcPr>
                <w:p w14:paraId="0757E541">
                  <w:pPr>
                    <w:pStyle w:val="72"/>
                    <w:rPr>
                      <w:rFonts w:cs="宋体"/>
                      <w:b w:val="0"/>
                      <w:color w:val="auto"/>
                      <w:lang w:bidi="ar"/>
                    </w:rPr>
                  </w:pPr>
                  <w:r>
                    <w:rPr>
                      <w:rFonts w:hint="eastAsia" w:cs="宋体"/>
                      <w:b w:val="0"/>
                      <w:color w:val="auto"/>
                      <w:lang w:bidi="ar"/>
                    </w:rPr>
                    <w:t>15</w:t>
                  </w:r>
                </w:p>
              </w:tc>
              <w:tc>
                <w:tcPr>
                  <w:tcW w:w="627" w:type="pct"/>
                  <w:vAlign w:val="center"/>
                </w:tcPr>
                <w:p w14:paraId="68A32A5B">
                  <w:pPr>
                    <w:pStyle w:val="72"/>
                    <w:rPr>
                      <w:b w:val="0"/>
                      <w:color w:val="auto"/>
                    </w:rPr>
                  </w:pPr>
                  <w:r>
                    <w:rPr>
                      <w:rFonts w:hint="eastAsia"/>
                      <w:b w:val="0"/>
                      <w:color w:val="auto"/>
                    </w:rPr>
                    <w:t>15</w:t>
                  </w:r>
                </w:p>
              </w:tc>
              <w:tc>
                <w:tcPr>
                  <w:tcW w:w="728" w:type="pct"/>
                  <w:vAlign w:val="center"/>
                </w:tcPr>
                <w:p w14:paraId="0D972B6D">
                  <w:pPr>
                    <w:pStyle w:val="72"/>
                    <w:rPr>
                      <w:b w:val="0"/>
                      <w:color w:val="auto"/>
                    </w:rPr>
                  </w:pPr>
                  <w:r>
                    <w:rPr>
                      <w:rFonts w:hint="eastAsia"/>
                      <w:b w:val="0"/>
                      <w:color w:val="auto"/>
                    </w:rPr>
                    <w:t>15</w:t>
                  </w:r>
                </w:p>
              </w:tc>
              <w:tc>
                <w:tcPr>
                  <w:tcW w:w="503" w:type="pct"/>
                  <w:vAlign w:val="center"/>
                </w:tcPr>
                <w:p w14:paraId="40EF5245">
                  <w:pPr>
                    <w:pStyle w:val="72"/>
                    <w:rPr>
                      <w:b w:val="0"/>
                      <w:color w:val="auto"/>
                    </w:rPr>
                  </w:pPr>
                  <w:r>
                    <w:rPr>
                      <w:rFonts w:hint="eastAsia"/>
                      <w:b w:val="0"/>
                      <w:color w:val="auto"/>
                    </w:rPr>
                    <w:t>17</w:t>
                  </w:r>
                </w:p>
              </w:tc>
            </w:tr>
          </w:tbl>
          <w:p w14:paraId="67F66F8C">
            <w:pPr>
              <w:pStyle w:val="15"/>
              <w:adjustRightInd w:val="0"/>
              <w:spacing w:line="360" w:lineRule="auto"/>
              <w:ind w:firstLine="440" w:firstLineChars="200"/>
              <w:rPr>
                <w:bCs/>
                <w:spacing w:val="-10"/>
                <w:sz w:val="24"/>
                <w:szCs w:val="24"/>
              </w:rPr>
            </w:pPr>
            <w:r>
              <w:rPr>
                <w:rFonts w:hint="eastAsia"/>
                <w:bCs/>
                <w:spacing w:val="-10"/>
                <w:sz w:val="24"/>
                <w:szCs w:val="24"/>
              </w:rPr>
              <w:t>根据上表，类比项目厂区下风向无组织臭气浓度最大排放浓度为 18 无量纲，厂界臭气浓度排放满足《恶臭污染物排放标准》（GB14554-93）中表 1 无组织排放的浓度限值。类比项目生产规模比本项目大，发酵工艺和恶臭处理措施一致，本项目运行后，恶臭浓度将比类比项目较少。因此，本项目运行后，厂界上下风向恶臭无组织排放浓度可以满足《恶臭污染物排放标准》（GB14554-93）中表 1 无组织排放的浓度限值。</w:t>
            </w:r>
          </w:p>
          <w:p w14:paraId="06A6B64F">
            <w:pPr>
              <w:pStyle w:val="15"/>
              <w:adjustRightInd w:val="0"/>
              <w:spacing w:line="360" w:lineRule="auto"/>
              <w:ind w:firstLine="440" w:firstLineChars="200"/>
              <w:rPr>
                <w:bCs/>
                <w:spacing w:val="-10"/>
                <w:sz w:val="24"/>
                <w:szCs w:val="24"/>
              </w:rPr>
            </w:pPr>
            <w:r>
              <w:rPr>
                <w:rFonts w:hint="eastAsia"/>
                <w:bCs/>
                <w:spacing w:val="-10"/>
                <w:sz w:val="24"/>
                <w:szCs w:val="24"/>
              </w:rPr>
              <w:t>综上所述</w:t>
            </w:r>
            <w:r>
              <w:rPr>
                <w:bCs/>
                <w:spacing w:val="-10"/>
                <w:sz w:val="24"/>
                <w:szCs w:val="24"/>
              </w:rPr>
              <w:t>，</w:t>
            </w:r>
            <w:r>
              <w:rPr>
                <w:rFonts w:hint="eastAsia"/>
                <w:bCs/>
                <w:spacing w:val="-10"/>
                <w:sz w:val="24"/>
                <w:szCs w:val="24"/>
              </w:rPr>
              <w:t>本项目除臭措施</w:t>
            </w:r>
            <w:r>
              <w:rPr>
                <w:bCs/>
                <w:spacing w:val="-10"/>
                <w:sz w:val="24"/>
                <w:szCs w:val="24"/>
              </w:rPr>
              <w:t>合理可行。</w:t>
            </w:r>
          </w:p>
          <w:p w14:paraId="6BE4230E">
            <w:pPr>
              <w:pStyle w:val="15"/>
              <w:adjustRightInd w:val="0"/>
              <w:spacing w:line="360" w:lineRule="auto"/>
              <w:ind w:left="420" w:leftChars="200"/>
              <w:rPr>
                <w:bCs/>
                <w:spacing w:val="-10"/>
                <w:sz w:val="24"/>
                <w:szCs w:val="24"/>
              </w:rPr>
            </w:pPr>
            <w:r>
              <w:rPr>
                <w:rFonts w:hint="eastAsia"/>
                <w:bCs/>
                <w:spacing w:val="-10"/>
                <w:sz w:val="24"/>
                <w:szCs w:val="24"/>
              </w:rPr>
              <w:t>（2）粉尘</w:t>
            </w:r>
            <w:r>
              <w:rPr>
                <w:bCs/>
                <w:spacing w:val="-10"/>
                <w:sz w:val="24"/>
                <w:szCs w:val="24"/>
              </w:rPr>
              <w:t>污染治理</w:t>
            </w:r>
            <w:r>
              <w:rPr>
                <w:rFonts w:hint="eastAsia"/>
                <w:bCs/>
                <w:spacing w:val="-10"/>
                <w:sz w:val="24"/>
                <w:szCs w:val="24"/>
              </w:rPr>
              <w:t>措施</w:t>
            </w:r>
          </w:p>
          <w:p w14:paraId="64ACCB45">
            <w:pPr>
              <w:pStyle w:val="15"/>
              <w:adjustRightInd w:val="0"/>
              <w:spacing w:line="360" w:lineRule="auto"/>
              <w:ind w:firstLine="440" w:firstLineChars="200"/>
              <w:rPr>
                <w:bCs/>
                <w:spacing w:val="-10"/>
                <w:sz w:val="24"/>
                <w:szCs w:val="24"/>
              </w:rPr>
            </w:pPr>
            <w:r>
              <w:rPr>
                <w:rFonts w:hint="eastAsia"/>
                <w:bCs/>
                <w:spacing w:val="-10"/>
                <w:sz w:val="24"/>
                <w:szCs w:val="24"/>
              </w:rPr>
              <w:t>本项目在生产厂房内采用装载机进行混合、翻抛、配料，严格控制原料的含水率，使含水率保持在40%-50%之间；发酵完成后的物料，质地松软，体积缩小，含水率约为10%-30%，生产过程中产生的粉尘量较少，且采用的机械设备无法采用集中式的方式收集处理。因此，本项目生产过程采取设备均位于密闭性较好的车间内，位于东西厂房内分别设置1台雾炮机对粉尘进行洒水降尘，可满足废气排放污染防治控制要求，</w:t>
            </w:r>
            <w:r>
              <w:rPr>
                <w:bCs/>
                <w:spacing w:val="-10"/>
                <w:sz w:val="24"/>
                <w:szCs w:val="24"/>
              </w:rPr>
              <w:t>废气采用的污染治理</w:t>
            </w:r>
            <w:r>
              <w:rPr>
                <w:rFonts w:hint="eastAsia"/>
                <w:bCs/>
                <w:spacing w:val="-10"/>
                <w:sz w:val="24"/>
                <w:szCs w:val="24"/>
              </w:rPr>
              <w:t>措施</w:t>
            </w:r>
            <w:r>
              <w:rPr>
                <w:bCs/>
                <w:spacing w:val="-10"/>
                <w:sz w:val="24"/>
                <w:szCs w:val="24"/>
              </w:rPr>
              <w:t>合理可行。</w:t>
            </w:r>
          </w:p>
          <w:p w14:paraId="0B517355">
            <w:pPr>
              <w:pStyle w:val="15"/>
              <w:adjustRightInd w:val="0"/>
              <w:spacing w:line="360" w:lineRule="auto"/>
              <w:ind w:firstLine="442" w:firstLineChars="200"/>
              <w:rPr>
                <w:b/>
                <w:spacing w:val="-10"/>
                <w:sz w:val="24"/>
                <w:szCs w:val="24"/>
              </w:rPr>
            </w:pPr>
            <w:r>
              <w:rPr>
                <w:rFonts w:hint="eastAsia"/>
                <w:b/>
                <w:spacing w:val="-10"/>
                <w:sz w:val="24"/>
                <w:szCs w:val="24"/>
              </w:rPr>
              <w:t>5、监测要求</w:t>
            </w:r>
          </w:p>
          <w:p w14:paraId="607F8CA3">
            <w:pPr>
              <w:pStyle w:val="15"/>
              <w:adjustRightInd w:val="0"/>
              <w:spacing w:line="360" w:lineRule="auto"/>
              <w:ind w:firstLine="440" w:firstLineChars="200"/>
              <w:rPr>
                <w:bCs/>
                <w:spacing w:val="-10"/>
                <w:sz w:val="24"/>
                <w:szCs w:val="24"/>
              </w:rPr>
            </w:pPr>
            <w:r>
              <w:rPr>
                <w:rFonts w:hint="eastAsia"/>
                <w:bCs/>
                <w:spacing w:val="-10"/>
                <w:sz w:val="24"/>
                <w:szCs w:val="24"/>
              </w:rPr>
              <w:t>根据《排污单位自行监测技术指南 总则》（HJ819-2017）及《排污单位自行监测技术指南 磷肥、钾肥、复混肥料、有机肥料及微生物肥料工业》（HJ1088-2020），项目的监测计划如下表。</w:t>
            </w:r>
          </w:p>
          <w:p w14:paraId="1A51F368">
            <w:pPr>
              <w:pStyle w:val="56"/>
            </w:pPr>
            <w:r>
              <w:rPr>
                <w:rFonts w:hint="eastAsia"/>
              </w:rPr>
              <w:t>表4-5  自行监测计划</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525"/>
              <w:gridCol w:w="1214"/>
              <w:gridCol w:w="2003"/>
              <w:gridCol w:w="1793"/>
              <w:gridCol w:w="1204"/>
            </w:tblGrid>
            <w:tr w14:paraId="0C3A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14:paraId="4F7ABB53">
                  <w:pPr>
                    <w:pStyle w:val="72"/>
                    <w:rPr>
                      <w:b w:val="0"/>
                      <w:color w:val="auto"/>
                    </w:rPr>
                  </w:pPr>
                  <w:r>
                    <w:rPr>
                      <w:b w:val="0"/>
                      <w:color w:val="auto"/>
                    </w:rPr>
                    <w:t>项目</w:t>
                  </w:r>
                </w:p>
              </w:tc>
              <w:tc>
                <w:tcPr>
                  <w:tcW w:w="900" w:type="pct"/>
                  <w:vAlign w:val="center"/>
                </w:tcPr>
                <w:p w14:paraId="54B70B57">
                  <w:pPr>
                    <w:pStyle w:val="72"/>
                    <w:rPr>
                      <w:b w:val="0"/>
                      <w:color w:val="auto"/>
                    </w:rPr>
                  </w:pPr>
                  <w:r>
                    <w:rPr>
                      <w:b w:val="0"/>
                      <w:color w:val="auto"/>
                    </w:rPr>
                    <w:t>排放源</w:t>
                  </w:r>
                </w:p>
              </w:tc>
              <w:tc>
                <w:tcPr>
                  <w:tcW w:w="717" w:type="pct"/>
                  <w:vAlign w:val="center"/>
                </w:tcPr>
                <w:p w14:paraId="016A2936">
                  <w:pPr>
                    <w:pStyle w:val="72"/>
                    <w:rPr>
                      <w:b w:val="0"/>
                      <w:color w:val="auto"/>
                    </w:rPr>
                  </w:pPr>
                  <w:r>
                    <w:rPr>
                      <w:b w:val="0"/>
                      <w:color w:val="auto"/>
                    </w:rPr>
                    <w:t>排放方式</w:t>
                  </w:r>
                </w:p>
              </w:tc>
              <w:tc>
                <w:tcPr>
                  <w:tcW w:w="1182" w:type="pct"/>
                  <w:vAlign w:val="center"/>
                </w:tcPr>
                <w:p w14:paraId="4ED60CC5">
                  <w:pPr>
                    <w:pStyle w:val="72"/>
                    <w:rPr>
                      <w:b w:val="0"/>
                      <w:color w:val="auto"/>
                    </w:rPr>
                  </w:pPr>
                  <w:r>
                    <w:rPr>
                      <w:b w:val="0"/>
                      <w:color w:val="auto"/>
                    </w:rPr>
                    <w:t>监测点位</w:t>
                  </w:r>
                </w:p>
              </w:tc>
              <w:tc>
                <w:tcPr>
                  <w:tcW w:w="1058" w:type="pct"/>
                  <w:vAlign w:val="center"/>
                </w:tcPr>
                <w:p w14:paraId="78C6CE2A">
                  <w:pPr>
                    <w:pStyle w:val="72"/>
                    <w:rPr>
                      <w:b w:val="0"/>
                      <w:color w:val="auto"/>
                    </w:rPr>
                  </w:pPr>
                  <w:r>
                    <w:rPr>
                      <w:b w:val="0"/>
                      <w:color w:val="auto"/>
                    </w:rPr>
                    <w:t>监测项目</w:t>
                  </w:r>
                </w:p>
              </w:tc>
              <w:tc>
                <w:tcPr>
                  <w:tcW w:w="711" w:type="pct"/>
                  <w:vAlign w:val="center"/>
                </w:tcPr>
                <w:p w14:paraId="076BF01E">
                  <w:pPr>
                    <w:pStyle w:val="72"/>
                    <w:rPr>
                      <w:b w:val="0"/>
                      <w:color w:val="auto"/>
                    </w:rPr>
                  </w:pPr>
                  <w:r>
                    <w:rPr>
                      <w:b w:val="0"/>
                      <w:color w:val="auto"/>
                    </w:rPr>
                    <w:t>监测频次</w:t>
                  </w:r>
                </w:p>
              </w:tc>
            </w:tr>
            <w:tr w14:paraId="7E83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29" w:type="pct"/>
                  <w:vAlign w:val="center"/>
                </w:tcPr>
                <w:p w14:paraId="4C8D32AD">
                  <w:pPr>
                    <w:pStyle w:val="72"/>
                    <w:rPr>
                      <w:b w:val="0"/>
                      <w:color w:val="auto"/>
                    </w:rPr>
                  </w:pPr>
                  <w:r>
                    <w:rPr>
                      <w:rFonts w:hint="eastAsia"/>
                      <w:b w:val="0"/>
                      <w:color w:val="auto"/>
                    </w:rPr>
                    <w:t>废气</w:t>
                  </w:r>
                </w:p>
              </w:tc>
              <w:tc>
                <w:tcPr>
                  <w:tcW w:w="900" w:type="pct"/>
                  <w:vAlign w:val="center"/>
                </w:tcPr>
                <w:p w14:paraId="132CB88E">
                  <w:pPr>
                    <w:pStyle w:val="72"/>
                    <w:rPr>
                      <w:b w:val="0"/>
                      <w:color w:val="auto"/>
                    </w:rPr>
                  </w:pPr>
                  <w:r>
                    <w:rPr>
                      <w:rFonts w:hint="eastAsia"/>
                      <w:b w:val="0"/>
                      <w:color w:val="auto"/>
                    </w:rPr>
                    <w:t>生产厂房</w:t>
                  </w:r>
                </w:p>
              </w:tc>
              <w:tc>
                <w:tcPr>
                  <w:tcW w:w="717" w:type="pct"/>
                  <w:vAlign w:val="center"/>
                </w:tcPr>
                <w:p w14:paraId="56FEB600">
                  <w:pPr>
                    <w:pStyle w:val="72"/>
                    <w:rPr>
                      <w:b w:val="0"/>
                      <w:color w:val="auto"/>
                    </w:rPr>
                  </w:pPr>
                  <w:r>
                    <w:rPr>
                      <w:b w:val="0"/>
                      <w:color w:val="auto"/>
                    </w:rPr>
                    <w:t>厂界无组织</w:t>
                  </w:r>
                </w:p>
              </w:tc>
              <w:tc>
                <w:tcPr>
                  <w:tcW w:w="1182" w:type="pct"/>
                  <w:vAlign w:val="center"/>
                </w:tcPr>
                <w:p w14:paraId="1C29B92D">
                  <w:pPr>
                    <w:pStyle w:val="72"/>
                    <w:rPr>
                      <w:b w:val="0"/>
                      <w:color w:val="auto"/>
                    </w:rPr>
                  </w:pPr>
                  <w:r>
                    <w:rPr>
                      <w:b w:val="0"/>
                      <w:color w:val="auto"/>
                    </w:rPr>
                    <w:t>厂址上风向设1个对照点、厂址下风向设</w:t>
                  </w:r>
                  <w:r>
                    <w:rPr>
                      <w:rFonts w:hint="eastAsia"/>
                      <w:b w:val="0"/>
                      <w:color w:val="auto"/>
                    </w:rPr>
                    <w:t>3</w:t>
                  </w:r>
                  <w:r>
                    <w:rPr>
                      <w:b w:val="0"/>
                      <w:color w:val="auto"/>
                    </w:rPr>
                    <w:t>个监控点</w:t>
                  </w:r>
                </w:p>
              </w:tc>
              <w:tc>
                <w:tcPr>
                  <w:tcW w:w="1058" w:type="pct"/>
                  <w:vAlign w:val="center"/>
                </w:tcPr>
                <w:p w14:paraId="67342A5E">
                  <w:pPr>
                    <w:pStyle w:val="72"/>
                    <w:rPr>
                      <w:b w:val="0"/>
                      <w:color w:val="auto"/>
                    </w:rPr>
                  </w:pPr>
                  <w:r>
                    <w:rPr>
                      <w:b w:val="0"/>
                      <w:color w:val="auto"/>
                    </w:rPr>
                    <w:t>颗粒物、</w:t>
                  </w:r>
                  <w:r>
                    <w:rPr>
                      <w:rFonts w:hint="eastAsia"/>
                      <w:b w:val="0"/>
                      <w:color w:val="auto"/>
                    </w:rPr>
                    <w:t>氨、硫化氢、臭气浓度</w:t>
                  </w:r>
                </w:p>
              </w:tc>
              <w:tc>
                <w:tcPr>
                  <w:tcW w:w="711" w:type="pct"/>
                  <w:vAlign w:val="center"/>
                </w:tcPr>
                <w:p w14:paraId="387B5B5F">
                  <w:pPr>
                    <w:pStyle w:val="72"/>
                    <w:rPr>
                      <w:b w:val="0"/>
                      <w:color w:val="auto"/>
                    </w:rPr>
                  </w:pPr>
                  <w:r>
                    <w:rPr>
                      <w:b w:val="0"/>
                      <w:color w:val="auto"/>
                    </w:rPr>
                    <w:t>1次/</w:t>
                  </w:r>
                  <w:r>
                    <w:rPr>
                      <w:rFonts w:hint="eastAsia"/>
                      <w:b w:val="0"/>
                      <w:color w:val="auto"/>
                    </w:rPr>
                    <w:t>半</w:t>
                  </w:r>
                  <w:r>
                    <w:rPr>
                      <w:b w:val="0"/>
                      <w:color w:val="auto"/>
                    </w:rPr>
                    <w:t>年</w:t>
                  </w:r>
                </w:p>
              </w:tc>
            </w:tr>
          </w:tbl>
          <w:p w14:paraId="2783E973">
            <w:pPr>
              <w:pStyle w:val="15"/>
              <w:adjustRightInd w:val="0"/>
              <w:spacing w:line="360" w:lineRule="auto"/>
              <w:rPr>
                <w:b/>
                <w:spacing w:val="-10"/>
                <w:sz w:val="24"/>
                <w:szCs w:val="24"/>
              </w:rPr>
            </w:pPr>
            <w:r>
              <w:rPr>
                <w:b/>
                <w:spacing w:val="-10"/>
                <w:sz w:val="24"/>
                <w:szCs w:val="24"/>
              </w:rPr>
              <w:t>二、废水</w:t>
            </w:r>
          </w:p>
          <w:p w14:paraId="1683B7ED">
            <w:pPr>
              <w:pStyle w:val="15"/>
              <w:adjustRightInd w:val="0"/>
              <w:spacing w:line="360" w:lineRule="auto"/>
              <w:ind w:firstLine="442" w:firstLineChars="200"/>
              <w:rPr>
                <w:b/>
                <w:spacing w:val="-10"/>
                <w:sz w:val="24"/>
                <w:szCs w:val="24"/>
              </w:rPr>
            </w:pPr>
            <w:r>
              <w:rPr>
                <w:b/>
                <w:spacing w:val="-10"/>
                <w:sz w:val="24"/>
                <w:szCs w:val="24"/>
              </w:rPr>
              <w:t>（1）污染源分析</w:t>
            </w:r>
          </w:p>
          <w:p w14:paraId="6A968F35">
            <w:pPr>
              <w:adjustRightInd w:val="0"/>
              <w:spacing w:line="360" w:lineRule="auto"/>
              <w:ind w:firstLine="480" w:firstLineChars="200"/>
              <w:jc w:val="left"/>
              <w:rPr>
                <w:sz w:val="24"/>
              </w:rPr>
            </w:pPr>
            <w:r>
              <w:rPr>
                <w:rFonts w:hint="eastAsia"/>
                <w:kern w:val="0"/>
                <w:sz w:val="24"/>
                <w:lang w:bidi="ar"/>
              </w:rPr>
              <w:t>本项目除臭剂喷淋稀释用水、降尘用水蒸发损耗，不产生废水。生产车间内不产生初期雨水，车间外初期雨水</w:t>
            </w:r>
            <w:r>
              <w:rPr>
                <w:rFonts w:hint="eastAsia" w:eastAsiaTheme="minorEastAsia"/>
                <w:sz w:val="24"/>
              </w:rPr>
              <w:t>经</w:t>
            </w:r>
            <w:r>
              <w:rPr>
                <w:rFonts w:hint="eastAsia"/>
                <w:sz w:val="24"/>
              </w:rPr>
              <w:t>云南建工云岭水泥有限公司</w:t>
            </w:r>
            <w:r>
              <w:rPr>
                <w:rFonts w:hint="eastAsia" w:eastAsiaTheme="minorEastAsia"/>
                <w:sz w:val="24"/>
              </w:rPr>
              <w:t>厂区的收集沟收集汇入初期雨水收集池（容积为150m</w:t>
            </w:r>
            <w:r>
              <w:rPr>
                <w:rFonts w:hint="eastAsia" w:eastAsiaTheme="minorEastAsia"/>
                <w:sz w:val="24"/>
                <w:vertAlign w:val="superscript"/>
              </w:rPr>
              <w:t>3</w:t>
            </w:r>
            <w:r>
              <w:rPr>
                <w:rFonts w:hint="eastAsia" w:eastAsiaTheme="minorEastAsia"/>
                <w:sz w:val="24"/>
              </w:rPr>
              <w:t>），全部回用于厂区的洒水降尘，不外排；后期雨水排放至附近的雨水沟。</w:t>
            </w:r>
            <w:r>
              <w:rPr>
                <w:rFonts w:hint="eastAsia"/>
                <w:sz w:val="24"/>
              </w:rPr>
              <w:t>云南建工云岭水泥有限公司已建设有完善的初期雨水收集设施，且收集设施已考虑了全厂的初期雨水量，故</w:t>
            </w:r>
            <w:r>
              <w:rPr>
                <w:sz w:val="24"/>
              </w:rPr>
              <w:t>本项目不</w:t>
            </w:r>
            <w:r>
              <w:rPr>
                <w:rFonts w:hint="eastAsia"/>
                <w:sz w:val="24"/>
              </w:rPr>
              <w:t>再</w:t>
            </w:r>
            <w:r>
              <w:rPr>
                <w:sz w:val="24"/>
              </w:rPr>
              <w:t>进行初期雨水核算</w:t>
            </w:r>
            <w:r>
              <w:rPr>
                <w:rFonts w:hint="eastAsia"/>
                <w:sz w:val="24"/>
              </w:rPr>
              <w:t>和影响分析。本项目运输环节要求采用密闭式运输车辆，严禁超载运输，防止运输物料沿路泼洒。</w:t>
            </w:r>
          </w:p>
          <w:p w14:paraId="313461C1">
            <w:pPr>
              <w:adjustRightInd w:val="0"/>
              <w:snapToGrid w:val="0"/>
              <w:spacing w:line="360" w:lineRule="auto"/>
              <w:ind w:firstLine="480"/>
              <w:rPr>
                <w:rFonts w:eastAsiaTheme="minorEastAsia"/>
                <w:bCs/>
                <w:sz w:val="24"/>
              </w:rPr>
            </w:pPr>
            <w:r>
              <w:rPr>
                <w:rFonts w:hint="eastAsia"/>
                <w:kern w:val="0"/>
                <w:sz w:val="24"/>
                <w:lang w:bidi="ar"/>
              </w:rPr>
              <w:t>生产用水主要为工艺用水，</w:t>
            </w:r>
            <w:r>
              <w:rPr>
                <w:rFonts w:eastAsiaTheme="minorEastAsia"/>
                <w:bCs/>
                <w:sz w:val="24"/>
              </w:rPr>
              <w:t>该部分水少部分进入产品，大部分在发酵时蒸发。发酵过程中会有少量渗滤液产生，</w:t>
            </w:r>
            <w:r>
              <w:rPr>
                <w:rFonts w:hint="eastAsia" w:eastAsiaTheme="minorEastAsia"/>
                <w:bCs/>
                <w:sz w:val="24"/>
              </w:rPr>
              <w:t>产生量为0.26</w:t>
            </w:r>
            <w:r>
              <w:rPr>
                <w:rFonts w:eastAsiaTheme="minorEastAsia"/>
                <w:bCs/>
                <w:sz w:val="24"/>
              </w:rPr>
              <w:t>m</w:t>
            </w:r>
            <w:r>
              <w:rPr>
                <w:rFonts w:eastAsiaTheme="minorEastAsia"/>
                <w:bCs/>
                <w:sz w:val="24"/>
                <w:vertAlign w:val="superscript"/>
              </w:rPr>
              <w:t>3</w:t>
            </w:r>
            <w:r>
              <w:rPr>
                <w:rFonts w:eastAsiaTheme="minorEastAsia"/>
                <w:bCs/>
                <w:sz w:val="24"/>
              </w:rPr>
              <w:t>/d</w:t>
            </w:r>
            <w:r>
              <w:rPr>
                <w:rFonts w:hint="eastAsia" w:eastAsiaTheme="minorEastAsia"/>
                <w:bCs/>
                <w:sz w:val="24"/>
              </w:rPr>
              <w:t>。渗滤液产生于发酵工段，厂房地势整体呈南高北低，位于发酵区的东侧和南侧设置收集沟，位于发酵区地势低处设置1个容积为2</w:t>
            </w:r>
            <w:r>
              <w:rPr>
                <w:rFonts w:eastAsiaTheme="minorEastAsia"/>
                <w:bCs/>
                <w:sz w:val="24"/>
              </w:rPr>
              <w:t>m</w:t>
            </w:r>
            <w:r>
              <w:rPr>
                <w:rFonts w:eastAsiaTheme="minorEastAsia"/>
                <w:bCs/>
                <w:sz w:val="24"/>
                <w:vertAlign w:val="superscript"/>
              </w:rPr>
              <w:t>3</w:t>
            </w:r>
            <w:r>
              <w:rPr>
                <w:rFonts w:hint="eastAsia" w:eastAsiaTheme="minorEastAsia"/>
                <w:bCs/>
                <w:sz w:val="24"/>
              </w:rPr>
              <w:t>的</w:t>
            </w:r>
            <w:r>
              <w:rPr>
                <w:rFonts w:eastAsiaTheme="minorEastAsia"/>
                <w:bCs/>
                <w:sz w:val="24"/>
              </w:rPr>
              <w:t>渗滤液收集池</w:t>
            </w:r>
            <w:r>
              <w:rPr>
                <w:rFonts w:hint="eastAsia" w:eastAsiaTheme="minorEastAsia"/>
                <w:bCs/>
                <w:sz w:val="24"/>
              </w:rPr>
              <w:t>，产生的渗滤液经收集沟收集至收集池</w:t>
            </w:r>
            <w:r>
              <w:rPr>
                <w:rFonts w:eastAsiaTheme="minorEastAsia"/>
                <w:bCs/>
                <w:sz w:val="24"/>
              </w:rPr>
              <w:t>暂存</w:t>
            </w:r>
            <w:r>
              <w:rPr>
                <w:rFonts w:hint="eastAsia" w:eastAsiaTheme="minorEastAsia"/>
                <w:bCs/>
                <w:sz w:val="24"/>
              </w:rPr>
              <w:t>后，全部回用于发酵过程用水，不外排。</w:t>
            </w:r>
          </w:p>
          <w:p w14:paraId="28EFDF49">
            <w:pPr>
              <w:adjustRightInd w:val="0"/>
              <w:snapToGrid w:val="0"/>
              <w:spacing w:line="360" w:lineRule="auto"/>
              <w:ind w:firstLine="480" w:firstLineChars="200"/>
              <w:rPr>
                <w:rFonts w:eastAsiaTheme="minorEastAsia"/>
                <w:bCs/>
                <w:kern w:val="0"/>
                <w:sz w:val="24"/>
                <w:szCs w:val="22"/>
              </w:rPr>
            </w:pPr>
            <w:r>
              <w:rPr>
                <w:rFonts w:eastAsiaTheme="minorEastAsia"/>
                <w:bCs/>
                <w:kern w:val="0"/>
                <w:sz w:val="24"/>
                <w:szCs w:val="22"/>
              </w:rPr>
              <w:t>本项目劳动定员</w:t>
            </w:r>
            <w:r>
              <w:rPr>
                <w:rFonts w:hint="eastAsia" w:eastAsiaTheme="minorEastAsia"/>
                <w:bCs/>
                <w:kern w:val="0"/>
                <w:sz w:val="24"/>
                <w:szCs w:val="22"/>
              </w:rPr>
              <w:t>10</w:t>
            </w:r>
            <w:r>
              <w:rPr>
                <w:rFonts w:eastAsiaTheme="minorEastAsia"/>
                <w:bCs/>
                <w:kern w:val="0"/>
                <w:sz w:val="24"/>
                <w:szCs w:val="22"/>
              </w:rPr>
              <w:t>人，</w:t>
            </w:r>
            <w:r>
              <w:rPr>
                <w:rFonts w:hint="eastAsia" w:eastAsiaTheme="minorEastAsia"/>
                <w:bCs/>
                <w:kern w:val="0"/>
                <w:sz w:val="24"/>
                <w:szCs w:val="22"/>
              </w:rPr>
              <w:t>管理人员2人，员工8人，员工均为当地的村民，不在项目区食宿；管理人员依托云南建工云岭水泥有限公司已建的配套宿舍和食堂，本项目</w:t>
            </w:r>
            <w:r>
              <w:rPr>
                <w:rFonts w:eastAsiaTheme="minorEastAsia"/>
                <w:bCs/>
                <w:kern w:val="0"/>
                <w:sz w:val="24"/>
                <w:szCs w:val="22"/>
              </w:rPr>
              <w:t>生活污水产生总量为</w:t>
            </w:r>
            <w:r>
              <w:rPr>
                <w:rFonts w:hint="eastAsia" w:eastAsiaTheme="minorEastAsia"/>
                <w:bCs/>
                <w:kern w:val="0"/>
                <w:sz w:val="24"/>
                <w:szCs w:val="22"/>
              </w:rPr>
              <w:t>0.304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91.2</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w:t>
            </w:r>
            <w:r>
              <w:rPr>
                <w:rFonts w:hint="eastAsia" w:eastAsiaTheme="minorEastAsia"/>
                <w:bCs/>
                <w:kern w:val="0"/>
                <w:sz w:val="24"/>
                <w:szCs w:val="22"/>
              </w:rPr>
              <w:t>生活污水</w:t>
            </w:r>
            <w:r>
              <w:rPr>
                <w:rFonts w:eastAsiaTheme="minorEastAsia"/>
                <w:bCs/>
                <w:kern w:val="0"/>
                <w:sz w:val="24"/>
                <w:szCs w:val="22"/>
              </w:rPr>
              <w:t>进入</w:t>
            </w:r>
            <w:r>
              <w:rPr>
                <w:rFonts w:hint="eastAsia" w:eastAsiaTheme="minorEastAsia"/>
                <w:bCs/>
                <w:kern w:val="0"/>
                <w:sz w:val="24"/>
                <w:szCs w:val="22"/>
              </w:rPr>
              <w:t>云南建工云岭水泥有限公司已建60</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化粪池处理，最终</w:t>
            </w:r>
            <w:r>
              <w:rPr>
                <w:rFonts w:hint="eastAsia" w:eastAsiaTheme="minorEastAsia"/>
                <w:bCs/>
                <w:kern w:val="0"/>
                <w:sz w:val="24"/>
                <w:szCs w:val="22"/>
              </w:rPr>
              <w:t>进入已建的一体化污水处理设备进行处理达标后，回用于绿化和洒水降尘</w:t>
            </w:r>
            <w:r>
              <w:rPr>
                <w:rFonts w:eastAsiaTheme="minorEastAsia"/>
                <w:bCs/>
                <w:kern w:val="0"/>
                <w:sz w:val="24"/>
                <w:szCs w:val="22"/>
              </w:rPr>
              <w:t>。</w:t>
            </w:r>
          </w:p>
          <w:p w14:paraId="7D247CAB">
            <w:pPr>
              <w:pStyle w:val="28"/>
              <w:spacing w:line="360" w:lineRule="auto"/>
              <w:rPr>
                <w:rFonts w:eastAsiaTheme="minorEastAsia"/>
                <w:b/>
                <w:sz w:val="24"/>
                <w:szCs w:val="22"/>
              </w:rPr>
            </w:pPr>
            <w:r>
              <w:rPr>
                <w:rFonts w:hint="eastAsia" w:eastAsiaTheme="minorEastAsia"/>
                <w:b/>
                <w:sz w:val="24"/>
                <w:szCs w:val="22"/>
              </w:rPr>
              <w:t>（2）处理措施可行性分析</w:t>
            </w:r>
          </w:p>
          <w:p w14:paraId="43E7787D">
            <w:pPr>
              <w:adjustRightInd w:val="0"/>
              <w:snapToGrid w:val="0"/>
              <w:spacing w:line="360" w:lineRule="auto"/>
              <w:ind w:firstLine="480" w:firstLineChars="200"/>
              <w:rPr>
                <w:rFonts w:eastAsiaTheme="minorEastAsia"/>
                <w:bCs/>
                <w:kern w:val="0"/>
                <w:sz w:val="24"/>
                <w:szCs w:val="22"/>
              </w:rPr>
            </w:pPr>
            <w:r>
              <w:rPr>
                <w:rFonts w:hint="eastAsia"/>
                <w:bCs/>
                <w:sz w:val="24"/>
              </w:rPr>
              <w:t>本项目渗滤液</w:t>
            </w:r>
            <w:r>
              <w:rPr>
                <w:rFonts w:eastAsiaTheme="minorEastAsia"/>
                <w:bCs/>
                <w:sz w:val="24"/>
              </w:rPr>
              <w:t>产生量约为</w:t>
            </w:r>
            <w:r>
              <w:rPr>
                <w:rFonts w:hint="eastAsia" w:eastAsiaTheme="minorEastAsia"/>
                <w:bCs/>
                <w:sz w:val="24"/>
              </w:rPr>
              <w:t>77</w:t>
            </w:r>
            <w:r>
              <w:rPr>
                <w:rFonts w:eastAsiaTheme="minorEastAsia"/>
                <w:bCs/>
                <w:sz w:val="24"/>
              </w:rPr>
              <w:t>t/a（</w:t>
            </w:r>
            <w:r>
              <w:rPr>
                <w:rFonts w:hint="eastAsia" w:eastAsiaTheme="minorEastAsia"/>
                <w:bCs/>
                <w:sz w:val="24"/>
              </w:rPr>
              <w:t>0.26</w:t>
            </w:r>
            <w:r>
              <w:rPr>
                <w:rFonts w:eastAsiaTheme="minorEastAsia"/>
                <w:bCs/>
                <w:sz w:val="24"/>
              </w:rPr>
              <w:t>m</w:t>
            </w:r>
            <w:r>
              <w:rPr>
                <w:rFonts w:eastAsiaTheme="minorEastAsia"/>
                <w:bCs/>
                <w:sz w:val="24"/>
                <w:vertAlign w:val="superscript"/>
              </w:rPr>
              <w:t>3</w:t>
            </w:r>
            <w:r>
              <w:rPr>
                <w:rFonts w:eastAsiaTheme="minorEastAsia"/>
                <w:bCs/>
                <w:sz w:val="24"/>
              </w:rPr>
              <w:t>/d）</w:t>
            </w:r>
            <w:r>
              <w:rPr>
                <w:rFonts w:hint="eastAsia" w:eastAsiaTheme="minorEastAsia"/>
                <w:bCs/>
                <w:sz w:val="24"/>
              </w:rPr>
              <w:t>，</w:t>
            </w:r>
            <w:r>
              <w:rPr>
                <w:rFonts w:hint="eastAsia"/>
                <w:bCs/>
                <w:sz w:val="24"/>
              </w:rPr>
              <w:t>每次堆肥发酵期间需进行约6次翻抛，全年生产15个批次，共进行90次翻抛，</w:t>
            </w:r>
            <w:r>
              <w:rPr>
                <w:rFonts w:hint="eastAsia" w:eastAsiaTheme="minorEastAsia"/>
                <w:bCs/>
                <w:sz w:val="24"/>
              </w:rPr>
              <w:t>每次翻抛时产生量为0.86</w:t>
            </w:r>
            <w:r>
              <w:rPr>
                <w:rFonts w:eastAsiaTheme="minorEastAsia"/>
                <w:bCs/>
                <w:sz w:val="24"/>
              </w:rPr>
              <w:t>m</w:t>
            </w:r>
            <w:r>
              <w:rPr>
                <w:rFonts w:eastAsiaTheme="minorEastAsia"/>
                <w:bCs/>
                <w:sz w:val="24"/>
                <w:vertAlign w:val="superscript"/>
              </w:rPr>
              <w:t>3</w:t>
            </w:r>
            <w:r>
              <w:rPr>
                <w:rFonts w:eastAsiaTheme="minorEastAsia"/>
                <w:bCs/>
                <w:sz w:val="24"/>
              </w:rPr>
              <w:t>/</w:t>
            </w:r>
            <w:r>
              <w:rPr>
                <w:rFonts w:hint="eastAsia" w:eastAsiaTheme="minorEastAsia"/>
                <w:bCs/>
                <w:sz w:val="24"/>
              </w:rPr>
              <w:t>次。本项目位于发酵区地势低处设置1个容积为2</w:t>
            </w:r>
            <w:r>
              <w:rPr>
                <w:rFonts w:eastAsiaTheme="minorEastAsia"/>
                <w:bCs/>
                <w:sz w:val="24"/>
              </w:rPr>
              <w:t>m</w:t>
            </w:r>
            <w:r>
              <w:rPr>
                <w:rFonts w:eastAsiaTheme="minorEastAsia"/>
                <w:bCs/>
                <w:sz w:val="24"/>
                <w:vertAlign w:val="superscript"/>
              </w:rPr>
              <w:t>3</w:t>
            </w:r>
            <w:r>
              <w:rPr>
                <w:rFonts w:hint="eastAsia" w:eastAsiaTheme="minorEastAsia"/>
                <w:bCs/>
                <w:sz w:val="24"/>
              </w:rPr>
              <w:t>的</w:t>
            </w:r>
            <w:r>
              <w:rPr>
                <w:rFonts w:eastAsiaTheme="minorEastAsia"/>
                <w:bCs/>
                <w:sz w:val="24"/>
              </w:rPr>
              <w:t>渗滤液收集池</w:t>
            </w:r>
            <w:r>
              <w:rPr>
                <w:rFonts w:hint="eastAsia" w:eastAsiaTheme="minorEastAsia"/>
                <w:bCs/>
                <w:sz w:val="24"/>
              </w:rPr>
              <w:t>，可满足7天的渗滤液收集量。生产期间工艺用水量为25.7</w:t>
            </w:r>
            <w:r>
              <w:rPr>
                <w:rFonts w:eastAsiaTheme="minorEastAsia"/>
                <w:bCs/>
                <w:sz w:val="24"/>
              </w:rPr>
              <w:t>m³/d，</w:t>
            </w:r>
            <w:r>
              <w:rPr>
                <w:rFonts w:hint="eastAsia" w:eastAsiaTheme="minorEastAsia"/>
                <w:bCs/>
                <w:sz w:val="24"/>
              </w:rPr>
              <w:t>产生的渗滤液可以全部回用于生产，不外排；且生产工艺用水对水质无要求，渗滤液回用于生产不外排，措施可行。</w:t>
            </w:r>
          </w:p>
          <w:p w14:paraId="10DA9230">
            <w:pPr>
              <w:pStyle w:val="15"/>
              <w:adjustRightInd w:val="0"/>
              <w:spacing w:before="120" w:beforeLines="50" w:line="360" w:lineRule="auto"/>
              <w:ind w:firstLine="442" w:firstLineChars="200"/>
              <w:rPr>
                <w:b/>
                <w:spacing w:val="-10"/>
                <w:sz w:val="24"/>
                <w:szCs w:val="24"/>
              </w:rPr>
            </w:pPr>
            <w:r>
              <w:rPr>
                <w:b/>
                <w:spacing w:val="-10"/>
                <w:sz w:val="24"/>
                <w:szCs w:val="24"/>
              </w:rPr>
              <w:t>（</w:t>
            </w:r>
            <w:r>
              <w:rPr>
                <w:rFonts w:hint="eastAsia"/>
                <w:b/>
                <w:spacing w:val="-10"/>
                <w:sz w:val="24"/>
                <w:szCs w:val="24"/>
              </w:rPr>
              <w:t>3</w:t>
            </w:r>
            <w:r>
              <w:rPr>
                <w:b/>
                <w:spacing w:val="-10"/>
                <w:sz w:val="24"/>
                <w:szCs w:val="24"/>
              </w:rPr>
              <w:t>）</w:t>
            </w:r>
            <w:r>
              <w:rPr>
                <w:rFonts w:hint="eastAsia"/>
                <w:b/>
                <w:spacing w:val="-10"/>
                <w:sz w:val="24"/>
                <w:szCs w:val="24"/>
              </w:rPr>
              <w:t>依托处置可行性分析</w:t>
            </w:r>
          </w:p>
          <w:p w14:paraId="0C52D981">
            <w:pPr>
              <w:adjustRightInd w:val="0"/>
              <w:snapToGrid w:val="0"/>
              <w:spacing w:line="360" w:lineRule="auto"/>
              <w:ind w:firstLine="480" w:firstLineChars="200"/>
              <w:rPr>
                <w:sz w:val="24"/>
              </w:rPr>
            </w:pPr>
            <w:r>
              <w:rPr>
                <w:rFonts w:hint="eastAsia"/>
                <w:sz w:val="24"/>
              </w:rPr>
              <w:t>云南建工云岭水泥有限公司宿舍、食堂和办公楼目前正常使用，生活污水总产生量约为11m</w:t>
            </w:r>
            <w:r>
              <w:rPr>
                <w:rFonts w:hint="eastAsia"/>
                <w:sz w:val="24"/>
                <w:vertAlign w:val="superscript"/>
              </w:rPr>
              <w:t>3</w:t>
            </w:r>
            <w:r>
              <w:rPr>
                <w:rFonts w:hint="eastAsia"/>
                <w:sz w:val="24"/>
              </w:rPr>
              <w:t>/d，经</w:t>
            </w:r>
            <w:r>
              <w:rPr>
                <w:rFonts w:hint="eastAsia" w:eastAsiaTheme="minorEastAsia"/>
                <w:bCs/>
                <w:kern w:val="0"/>
                <w:sz w:val="24"/>
                <w:szCs w:val="22"/>
              </w:rPr>
              <w:t>60</w:t>
            </w:r>
            <w:r>
              <w:rPr>
                <w:rFonts w:eastAsiaTheme="minorEastAsia"/>
                <w:bCs/>
                <w:kern w:val="0"/>
                <w:sz w:val="24"/>
                <w:szCs w:val="22"/>
              </w:rPr>
              <w:t>m</w:t>
            </w:r>
            <w:r>
              <w:rPr>
                <w:rFonts w:eastAsiaTheme="minorEastAsia"/>
                <w:bCs/>
                <w:kern w:val="0"/>
                <w:sz w:val="24"/>
                <w:szCs w:val="22"/>
                <w:vertAlign w:val="superscript"/>
              </w:rPr>
              <w:t>3</w:t>
            </w:r>
            <w:r>
              <w:rPr>
                <w:rFonts w:hint="eastAsia"/>
                <w:sz w:val="24"/>
              </w:rPr>
              <w:t>化粪池预处理后排入污水处理站（处理规模为120m</w:t>
            </w:r>
            <w:r>
              <w:rPr>
                <w:rFonts w:hint="eastAsia"/>
                <w:sz w:val="24"/>
                <w:vertAlign w:val="superscript"/>
              </w:rPr>
              <w:t>3</w:t>
            </w:r>
            <w:r>
              <w:rPr>
                <w:rFonts w:hint="eastAsia"/>
                <w:sz w:val="24"/>
              </w:rPr>
              <w:t>/d）处理，达标后排至200m</w:t>
            </w:r>
            <w:r>
              <w:rPr>
                <w:rFonts w:hint="eastAsia"/>
                <w:sz w:val="24"/>
                <w:vertAlign w:val="superscript"/>
              </w:rPr>
              <w:t>3</w:t>
            </w:r>
            <w:r>
              <w:rPr>
                <w:rFonts w:hint="eastAsia"/>
                <w:sz w:val="24"/>
              </w:rPr>
              <w:t>的蓄水池储存，用于厂区的绿化和洒水降尘。根据《2000吨/天综合利用电石渣新型干法水泥熟料生产线竣工验收监测报告》、《云南建工云岭水泥有限公司2000吨/天新型干法水泥生产线烟气脱硝（SNCR）技术改造项目竣工验收调查表》，污水处理站出水水质满足回用的要求，且中水可以完全回用不外排。同时，根据《寻甸产业园区金所片区工业废水依托城镇污水处理厂处理可行性评估报告》（2025年7月）调查结论：“云南建工云岭水泥有限公司2021年全厂停产后无生产废水使用和外排，员工生活污水经污水处理站处理达标后，用于厂区绿化和洒水，不外排。”</w:t>
            </w:r>
          </w:p>
          <w:p w14:paraId="6F8137AB">
            <w:pPr>
              <w:adjustRightInd w:val="0"/>
              <w:snapToGrid w:val="0"/>
              <w:spacing w:line="360" w:lineRule="auto"/>
              <w:ind w:firstLine="480" w:firstLineChars="200"/>
              <w:rPr>
                <w:rFonts w:eastAsiaTheme="minorEastAsia"/>
                <w:sz w:val="24"/>
              </w:rPr>
            </w:pPr>
            <w:r>
              <w:rPr>
                <w:rFonts w:hint="eastAsia"/>
                <w:sz w:val="24"/>
              </w:rPr>
              <w:t>根据现场调查，云南建工云岭水泥有限公司宿舍、食堂和办公楼目前正常使用，生活污水总产生量约为11m</w:t>
            </w:r>
            <w:r>
              <w:rPr>
                <w:rFonts w:hint="eastAsia"/>
                <w:sz w:val="24"/>
                <w:vertAlign w:val="superscript"/>
              </w:rPr>
              <w:t>3</w:t>
            </w:r>
            <w:r>
              <w:rPr>
                <w:rFonts w:hint="eastAsia"/>
                <w:sz w:val="24"/>
              </w:rPr>
              <w:t>/d，而本</w:t>
            </w:r>
            <w:r>
              <w:rPr>
                <w:rFonts w:hint="eastAsia" w:eastAsiaTheme="minorEastAsia"/>
                <w:bCs/>
                <w:kern w:val="0"/>
                <w:sz w:val="24"/>
                <w:szCs w:val="22"/>
              </w:rPr>
              <w:t>项目</w:t>
            </w:r>
            <w:r>
              <w:rPr>
                <w:rFonts w:eastAsiaTheme="minorEastAsia"/>
                <w:bCs/>
                <w:kern w:val="0"/>
                <w:sz w:val="24"/>
                <w:szCs w:val="22"/>
              </w:rPr>
              <w:t>生活污水产生总量为</w:t>
            </w:r>
            <w:r>
              <w:rPr>
                <w:rFonts w:hint="eastAsia" w:eastAsiaTheme="minorEastAsia"/>
                <w:bCs/>
                <w:kern w:val="0"/>
                <w:sz w:val="24"/>
                <w:szCs w:val="22"/>
              </w:rPr>
              <w:t>0.304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91.2</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w:t>
            </w:r>
            <w:r>
              <w:rPr>
                <w:rFonts w:hint="eastAsia" w:eastAsiaTheme="minorEastAsia"/>
                <w:bCs/>
                <w:kern w:val="0"/>
                <w:sz w:val="24"/>
                <w:szCs w:val="22"/>
              </w:rPr>
              <w:t>，剩余处理规模完全满足项目污水的处理的需求，且中水可以全部回用不外排。</w:t>
            </w:r>
          </w:p>
          <w:p w14:paraId="65070595">
            <w:pPr>
              <w:pStyle w:val="15"/>
              <w:adjustRightInd w:val="0"/>
              <w:spacing w:line="360" w:lineRule="auto"/>
              <w:rPr>
                <w:b/>
                <w:spacing w:val="-10"/>
                <w:sz w:val="24"/>
                <w:szCs w:val="24"/>
              </w:rPr>
            </w:pPr>
            <w:r>
              <w:rPr>
                <w:b/>
                <w:spacing w:val="-10"/>
                <w:sz w:val="24"/>
                <w:szCs w:val="24"/>
              </w:rPr>
              <w:t>三、噪声</w:t>
            </w:r>
          </w:p>
          <w:p w14:paraId="05D3D563">
            <w:pPr>
              <w:pStyle w:val="15"/>
              <w:adjustRightInd w:val="0"/>
              <w:spacing w:line="360" w:lineRule="auto"/>
              <w:ind w:firstLine="442" w:firstLineChars="200"/>
              <w:rPr>
                <w:b/>
                <w:spacing w:val="-10"/>
                <w:sz w:val="24"/>
                <w:szCs w:val="24"/>
              </w:rPr>
            </w:pPr>
            <w:r>
              <w:rPr>
                <w:rFonts w:hint="eastAsia"/>
                <w:b/>
                <w:spacing w:val="-10"/>
                <w:sz w:val="24"/>
                <w:szCs w:val="24"/>
              </w:rPr>
              <w:t>1、</w:t>
            </w:r>
            <w:r>
              <w:rPr>
                <w:b/>
                <w:spacing w:val="-10"/>
                <w:sz w:val="24"/>
                <w:szCs w:val="24"/>
              </w:rPr>
              <w:t>污染源</w:t>
            </w:r>
          </w:p>
          <w:p w14:paraId="2644D236">
            <w:pPr>
              <w:pStyle w:val="15"/>
              <w:adjustRightInd w:val="0"/>
              <w:spacing w:line="360" w:lineRule="auto"/>
              <w:ind w:firstLine="440" w:firstLineChars="200"/>
              <w:rPr>
                <w:bCs/>
                <w:spacing w:val="-10"/>
                <w:sz w:val="24"/>
                <w:szCs w:val="24"/>
              </w:rPr>
            </w:pPr>
            <w:r>
              <w:rPr>
                <w:bCs/>
                <w:spacing w:val="-10"/>
                <w:sz w:val="24"/>
                <w:szCs w:val="24"/>
              </w:rPr>
              <w:t>本项目噪声源统计详见下表。</w:t>
            </w:r>
          </w:p>
          <w:p w14:paraId="51894945">
            <w:pPr>
              <w:pStyle w:val="8"/>
              <w:spacing w:before="0" w:after="0" w:line="240" w:lineRule="auto"/>
              <w:ind w:firstLine="1767" w:firstLineChars="800"/>
              <w:rPr>
                <w:b/>
                <w:bCs/>
                <w:spacing w:val="5"/>
                <w:sz w:val="21"/>
                <w:szCs w:val="21"/>
              </w:rPr>
            </w:pPr>
            <w:r>
              <w:rPr>
                <w:b/>
                <w:bCs/>
                <w:spacing w:val="5"/>
                <w:sz w:val="21"/>
                <w:szCs w:val="21"/>
              </w:rPr>
              <w:t>表</w:t>
            </w:r>
            <w:r>
              <w:rPr>
                <w:b/>
                <w:bCs/>
                <w:spacing w:val="-22"/>
                <w:sz w:val="21"/>
                <w:szCs w:val="21"/>
              </w:rPr>
              <w:t xml:space="preserve"> </w:t>
            </w:r>
            <w:r>
              <w:rPr>
                <w:rFonts w:hint="eastAsia"/>
                <w:b/>
                <w:bCs/>
                <w:spacing w:val="5"/>
                <w:sz w:val="21"/>
                <w:szCs w:val="21"/>
              </w:rPr>
              <w:t>4-6 工业噪声源调查清单（室内声源）</w:t>
            </w:r>
          </w:p>
          <w:tbl>
            <w:tblPr>
              <w:tblStyle w:val="23"/>
              <w:tblW w:w="4989" w:type="pct"/>
              <w:tblInd w:w="0" w:type="dxa"/>
              <w:tblLayout w:type="fixed"/>
              <w:tblCellMar>
                <w:top w:w="0" w:type="dxa"/>
                <w:left w:w="23" w:type="dxa"/>
                <w:bottom w:w="0" w:type="dxa"/>
                <w:right w:w="23" w:type="dxa"/>
              </w:tblCellMar>
            </w:tblPr>
            <w:tblGrid>
              <w:gridCol w:w="309"/>
              <w:gridCol w:w="550"/>
              <w:gridCol w:w="444"/>
              <w:gridCol w:w="296"/>
              <w:gridCol w:w="449"/>
              <w:gridCol w:w="449"/>
              <w:gridCol w:w="306"/>
              <w:gridCol w:w="313"/>
              <w:gridCol w:w="335"/>
              <w:gridCol w:w="313"/>
              <w:gridCol w:w="360"/>
              <w:gridCol w:w="313"/>
              <w:gridCol w:w="296"/>
              <w:gridCol w:w="289"/>
              <w:gridCol w:w="367"/>
              <w:gridCol w:w="289"/>
              <w:gridCol w:w="240"/>
              <w:gridCol w:w="226"/>
              <w:gridCol w:w="172"/>
              <w:gridCol w:w="243"/>
              <w:gridCol w:w="313"/>
              <w:gridCol w:w="367"/>
              <w:gridCol w:w="380"/>
              <w:gridCol w:w="348"/>
              <w:gridCol w:w="486"/>
            </w:tblGrid>
            <w:tr w14:paraId="287B6242">
              <w:tblPrEx>
                <w:tblCellMar>
                  <w:top w:w="0" w:type="dxa"/>
                  <w:left w:w="23" w:type="dxa"/>
                  <w:bottom w:w="0" w:type="dxa"/>
                  <w:right w:w="23" w:type="dxa"/>
                </w:tblCellMar>
              </w:tblPrEx>
              <w:trPr>
                <w:trHeight w:val="625" w:hRule="atLeast"/>
              </w:trPr>
              <w:tc>
                <w:tcPr>
                  <w:tcW w:w="182" w:type="pct"/>
                  <w:vMerge w:val="restart"/>
                  <w:tcBorders>
                    <w:top w:val="single" w:color="000000" w:sz="4" w:space="0"/>
                    <w:left w:val="single" w:color="000000" w:sz="4" w:space="0"/>
                    <w:bottom w:val="single" w:color="000000" w:sz="4" w:space="0"/>
                    <w:right w:val="single" w:color="auto" w:sz="4" w:space="0"/>
                  </w:tcBorders>
                  <w:vAlign w:val="center"/>
                </w:tcPr>
                <w:p w14:paraId="10DB7639">
                  <w:pPr>
                    <w:widowControl/>
                    <w:jc w:val="center"/>
                    <w:textAlignment w:val="center"/>
                    <w:rPr>
                      <w:rFonts w:ascii="宋体" w:hAnsi="宋体" w:cs="宋体"/>
                      <w:szCs w:val="21"/>
                    </w:rPr>
                  </w:pPr>
                  <w:r>
                    <w:rPr>
                      <w:rFonts w:hint="eastAsia" w:ascii="宋体" w:hAnsi="宋体" w:cs="宋体"/>
                      <w:szCs w:val="21"/>
                    </w:rPr>
                    <w:t>厂房名称</w:t>
                  </w:r>
                </w:p>
              </w:tc>
              <w:tc>
                <w:tcPr>
                  <w:tcW w:w="325" w:type="pct"/>
                  <w:vMerge w:val="restart"/>
                  <w:tcBorders>
                    <w:top w:val="single" w:color="000000" w:sz="4" w:space="0"/>
                    <w:left w:val="single" w:color="auto" w:sz="4" w:space="0"/>
                    <w:bottom w:val="single" w:color="000000" w:sz="4" w:space="0"/>
                    <w:right w:val="single" w:color="000000" w:sz="4" w:space="0"/>
                  </w:tcBorders>
                  <w:vAlign w:val="center"/>
                </w:tcPr>
                <w:p w14:paraId="6D6FB0AE">
                  <w:pPr>
                    <w:widowControl/>
                    <w:jc w:val="center"/>
                    <w:textAlignment w:val="center"/>
                    <w:rPr>
                      <w:rFonts w:ascii="宋体" w:hAnsi="宋体" w:cs="宋体"/>
                      <w:kern w:val="0"/>
                      <w:szCs w:val="21"/>
                      <w:lang w:bidi="ar"/>
                    </w:rPr>
                  </w:pPr>
                  <w:r>
                    <w:rPr>
                      <w:rFonts w:hint="eastAsia" w:ascii="宋体" w:hAnsi="宋体" w:cs="宋体"/>
                      <w:kern w:val="0"/>
                      <w:szCs w:val="21"/>
                      <w:lang w:bidi="ar"/>
                    </w:rPr>
                    <w:t>声源名称</w:t>
                  </w:r>
                </w:p>
              </w:tc>
              <w:tc>
                <w:tcPr>
                  <w:tcW w:w="262" w:type="pct"/>
                  <w:tcBorders>
                    <w:top w:val="single" w:color="000000" w:sz="4" w:space="0"/>
                    <w:left w:val="single" w:color="000000" w:sz="4" w:space="0"/>
                    <w:bottom w:val="single" w:color="000000" w:sz="4" w:space="0"/>
                    <w:right w:val="single" w:color="000000" w:sz="4" w:space="0"/>
                  </w:tcBorders>
                  <w:vAlign w:val="center"/>
                </w:tcPr>
                <w:p w14:paraId="137A54F8">
                  <w:pPr>
                    <w:widowControl/>
                    <w:jc w:val="center"/>
                    <w:textAlignment w:val="center"/>
                    <w:rPr>
                      <w:rFonts w:ascii="宋体" w:hAnsi="宋体" w:cs="宋体"/>
                      <w:szCs w:val="21"/>
                    </w:rPr>
                  </w:pPr>
                  <w:r>
                    <w:rPr>
                      <w:rFonts w:hint="eastAsia" w:ascii="宋体" w:hAnsi="宋体" w:cs="宋体"/>
                      <w:kern w:val="0"/>
                      <w:szCs w:val="21"/>
                      <w:lang w:bidi="ar"/>
                    </w:rPr>
                    <w:t>声源源强</w:t>
                  </w:r>
                </w:p>
              </w:tc>
              <w:tc>
                <w:tcPr>
                  <w:tcW w:w="175" w:type="pct"/>
                  <w:vMerge w:val="restart"/>
                  <w:tcBorders>
                    <w:top w:val="single" w:color="000000" w:sz="4" w:space="0"/>
                    <w:left w:val="single" w:color="000000" w:sz="4" w:space="0"/>
                    <w:bottom w:val="single" w:color="000000" w:sz="4" w:space="0"/>
                    <w:right w:val="single" w:color="000000" w:sz="4" w:space="0"/>
                  </w:tcBorders>
                  <w:vAlign w:val="center"/>
                </w:tcPr>
                <w:p w14:paraId="3828E99B">
                  <w:pPr>
                    <w:widowControl/>
                    <w:jc w:val="center"/>
                    <w:textAlignment w:val="center"/>
                    <w:rPr>
                      <w:rFonts w:ascii="宋体" w:hAnsi="宋体" w:cs="宋体"/>
                      <w:szCs w:val="21"/>
                    </w:rPr>
                  </w:pPr>
                  <w:r>
                    <w:rPr>
                      <w:rFonts w:hint="eastAsia" w:ascii="宋体" w:hAnsi="宋体" w:cs="宋体"/>
                      <w:kern w:val="0"/>
                      <w:szCs w:val="21"/>
                      <w:lang w:bidi="ar"/>
                    </w:rPr>
                    <w:t>声源控制措施</w:t>
                  </w:r>
                </w:p>
              </w:tc>
              <w:tc>
                <w:tcPr>
                  <w:tcW w:w="711" w:type="pct"/>
                  <w:gridSpan w:val="3"/>
                  <w:tcBorders>
                    <w:top w:val="single" w:color="000000" w:sz="4" w:space="0"/>
                    <w:left w:val="single" w:color="000000" w:sz="4" w:space="0"/>
                    <w:bottom w:val="single" w:color="000000" w:sz="4" w:space="0"/>
                    <w:right w:val="single" w:color="000000" w:sz="4" w:space="0"/>
                  </w:tcBorders>
                  <w:vAlign w:val="center"/>
                </w:tcPr>
                <w:p w14:paraId="38D07BBF">
                  <w:pPr>
                    <w:widowControl/>
                    <w:jc w:val="center"/>
                    <w:textAlignment w:val="center"/>
                    <w:rPr>
                      <w:rFonts w:ascii="宋体" w:hAnsi="宋体" w:cs="宋体"/>
                      <w:szCs w:val="21"/>
                    </w:rPr>
                  </w:pPr>
                  <w:r>
                    <w:rPr>
                      <w:rFonts w:hint="eastAsia" w:ascii="宋体" w:hAnsi="宋体" w:cs="宋体"/>
                      <w:kern w:val="0"/>
                      <w:szCs w:val="21"/>
                      <w:lang w:bidi="ar"/>
                    </w:rPr>
                    <w:t>空间相对位置</w:t>
                  </w:r>
                  <w:r>
                    <w:rPr>
                      <w:rStyle w:val="69"/>
                      <w:rFonts w:hint="default"/>
                      <w:color w:val="auto"/>
                      <w:lang w:bidi="ar"/>
                    </w:rPr>
                    <w:t>/m</w:t>
                  </w:r>
                </w:p>
              </w:tc>
              <w:tc>
                <w:tcPr>
                  <w:tcW w:w="781" w:type="pct"/>
                  <w:gridSpan w:val="4"/>
                  <w:tcBorders>
                    <w:top w:val="single" w:color="000000" w:sz="4" w:space="0"/>
                    <w:left w:val="single" w:color="000000" w:sz="4" w:space="0"/>
                    <w:bottom w:val="single" w:color="000000" w:sz="4" w:space="0"/>
                    <w:right w:val="single" w:color="000000" w:sz="4" w:space="0"/>
                  </w:tcBorders>
                  <w:vAlign w:val="center"/>
                </w:tcPr>
                <w:p w14:paraId="1E44198D">
                  <w:pPr>
                    <w:widowControl/>
                    <w:jc w:val="center"/>
                    <w:textAlignment w:val="center"/>
                    <w:rPr>
                      <w:rFonts w:ascii="宋体" w:hAnsi="宋体" w:cs="宋体"/>
                      <w:szCs w:val="21"/>
                    </w:rPr>
                  </w:pPr>
                  <w:r>
                    <w:rPr>
                      <w:rFonts w:hint="eastAsia" w:ascii="宋体" w:hAnsi="宋体" w:cs="宋体"/>
                      <w:kern w:val="0"/>
                      <w:szCs w:val="21"/>
                      <w:lang w:bidi="ar"/>
                    </w:rPr>
                    <w:t>距室内边界距离</w:t>
                  </w:r>
                  <w:r>
                    <w:rPr>
                      <w:rStyle w:val="69"/>
                      <w:rFonts w:hint="default"/>
                      <w:color w:val="auto"/>
                      <w:lang w:bidi="ar"/>
                    </w:rPr>
                    <w:t>/m</w:t>
                  </w:r>
                </w:p>
              </w:tc>
              <w:tc>
                <w:tcPr>
                  <w:tcW w:w="748" w:type="pct"/>
                  <w:gridSpan w:val="4"/>
                  <w:tcBorders>
                    <w:top w:val="single" w:color="000000" w:sz="4" w:space="0"/>
                    <w:left w:val="single" w:color="000000" w:sz="4" w:space="0"/>
                    <w:bottom w:val="single" w:color="000000" w:sz="4" w:space="0"/>
                    <w:right w:val="single" w:color="000000" w:sz="4" w:space="0"/>
                  </w:tcBorders>
                  <w:vAlign w:val="center"/>
                </w:tcPr>
                <w:p w14:paraId="03A9E2D3">
                  <w:pPr>
                    <w:widowControl/>
                    <w:jc w:val="center"/>
                    <w:textAlignment w:val="center"/>
                    <w:rPr>
                      <w:rFonts w:ascii="宋体" w:hAnsi="宋体" w:cs="宋体"/>
                      <w:szCs w:val="21"/>
                    </w:rPr>
                  </w:pPr>
                  <w:r>
                    <w:rPr>
                      <w:rFonts w:hint="eastAsia" w:ascii="宋体" w:hAnsi="宋体" w:cs="宋体"/>
                      <w:kern w:val="0"/>
                      <w:szCs w:val="21"/>
                      <w:lang w:bidi="ar"/>
                    </w:rPr>
                    <w:t>室内边界声级</w:t>
                  </w:r>
                  <w:r>
                    <w:rPr>
                      <w:rStyle w:val="69"/>
                      <w:rFonts w:hint="default"/>
                      <w:color w:val="auto"/>
                      <w:lang w:bidi="ar"/>
                    </w:rPr>
                    <w:t>/dB(A)</w:t>
                  </w:r>
                </w:p>
              </w:tc>
              <w:tc>
                <w:tcPr>
                  <w:tcW w:w="171" w:type="pct"/>
                  <w:vMerge w:val="restart"/>
                  <w:tcBorders>
                    <w:top w:val="single" w:color="000000" w:sz="4" w:space="0"/>
                    <w:left w:val="single" w:color="000000" w:sz="4" w:space="0"/>
                    <w:bottom w:val="single" w:color="000000" w:sz="4" w:space="0"/>
                    <w:right w:val="single" w:color="000000" w:sz="4" w:space="0"/>
                  </w:tcBorders>
                  <w:vAlign w:val="center"/>
                </w:tcPr>
                <w:p w14:paraId="57DC045B">
                  <w:pPr>
                    <w:widowControl/>
                    <w:jc w:val="center"/>
                    <w:textAlignment w:val="center"/>
                    <w:rPr>
                      <w:rFonts w:ascii="宋体" w:hAnsi="宋体" w:cs="宋体"/>
                      <w:szCs w:val="21"/>
                    </w:rPr>
                  </w:pPr>
                  <w:r>
                    <w:rPr>
                      <w:rFonts w:hint="eastAsia" w:ascii="宋体" w:hAnsi="宋体" w:cs="宋体"/>
                      <w:kern w:val="0"/>
                      <w:szCs w:val="21"/>
                      <w:lang w:bidi="ar"/>
                    </w:rPr>
                    <w:t>运行时段</w:t>
                  </w:r>
                </w:p>
              </w:tc>
              <w:tc>
                <w:tcPr>
                  <w:tcW w:w="522" w:type="pct"/>
                  <w:gridSpan w:val="4"/>
                  <w:tcBorders>
                    <w:top w:val="single" w:color="000000" w:sz="4" w:space="0"/>
                    <w:left w:val="single" w:color="000000" w:sz="4" w:space="0"/>
                    <w:bottom w:val="single" w:color="000000" w:sz="4" w:space="0"/>
                    <w:right w:val="single" w:color="000000" w:sz="4" w:space="0"/>
                  </w:tcBorders>
                  <w:vAlign w:val="center"/>
                </w:tcPr>
                <w:p w14:paraId="62CECFA4">
                  <w:pPr>
                    <w:widowControl/>
                    <w:jc w:val="center"/>
                    <w:textAlignment w:val="center"/>
                    <w:rPr>
                      <w:rFonts w:ascii="宋体" w:hAnsi="宋体" w:cs="宋体"/>
                      <w:szCs w:val="21"/>
                    </w:rPr>
                  </w:pPr>
                  <w:r>
                    <w:rPr>
                      <w:rFonts w:hint="eastAsia" w:ascii="宋体" w:hAnsi="宋体" w:cs="宋体"/>
                      <w:kern w:val="0"/>
                      <w:szCs w:val="21"/>
                      <w:lang w:bidi="ar"/>
                    </w:rPr>
                    <w:t>建筑物插入损失</w:t>
                  </w:r>
                  <w:r>
                    <w:rPr>
                      <w:rStyle w:val="69"/>
                      <w:rFonts w:hint="default"/>
                      <w:color w:val="auto"/>
                      <w:lang w:bidi="ar"/>
                    </w:rPr>
                    <w:t>/dB(A)</w:t>
                  </w:r>
                </w:p>
              </w:tc>
              <w:tc>
                <w:tcPr>
                  <w:tcW w:w="1120" w:type="pct"/>
                  <w:gridSpan w:val="5"/>
                  <w:tcBorders>
                    <w:top w:val="single" w:color="000000" w:sz="4" w:space="0"/>
                    <w:left w:val="single" w:color="000000" w:sz="4" w:space="0"/>
                    <w:bottom w:val="single" w:color="000000" w:sz="4" w:space="0"/>
                    <w:right w:val="single" w:color="000000" w:sz="4" w:space="0"/>
                  </w:tcBorders>
                  <w:vAlign w:val="center"/>
                </w:tcPr>
                <w:p w14:paraId="0BCE83E0">
                  <w:pPr>
                    <w:widowControl/>
                    <w:jc w:val="center"/>
                    <w:textAlignment w:val="center"/>
                    <w:rPr>
                      <w:rFonts w:ascii="宋体" w:hAnsi="宋体" w:cs="宋体"/>
                      <w:szCs w:val="21"/>
                    </w:rPr>
                  </w:pPr>
                  <w:r>
                    <w:rPr>
                      <w:rFonts w:hint="eastAsia" w:ascii="宋体" w:hAnsi="宋体" w:cs="宋体"/>
                      <w:kern w:val="0"/>
                      <w:szCs w:val="21"/>
                      <w:lang w:bidi="ar"/>
                    </w:rPr>
                    <w:t>建筑物外噪声声压级</w:t>
                  </w:r>
                  <w:r>
                    <w:rPr>
                      <w:rStyle w:val="69"/>
                      <w:rFonts w:hint="default"/>
                      <w:color w:val="auto"/>
                      <w:lang w:bidi="ar"/>
                    </w:rPr>
                    <w:t>/dB(A)</w:t>
                  </w:r>
                </w:p>
              </w:tc>
            </w:tr>
            <w:tr w14:paraId="0992823E">
              <w:tblPrEx>
                <w:tblCellMar>
                  <w:top w:w="0" w:type="dxa"/>
                  <w:left w:w="23" w:type="dxa"/>
                  <w:bottom w:w="0" w:type="dxa"/>
                  <w:right w:w="23" w:type="dxa"/>
                </w:tblCellMar>
              </w:tblPrEx>
              <w:trPr>
                <w:trHeight w:val="933" w:hRule="atLeast"/>
              </w:trPr>
              <w:tc>
                <w:tcPr>
                  <w:tcW w:w="182" w:type="pct"/>
                  <w:vMerge w:val="continue"/>
                  <w:tcBorders>
                    <w:top w:val="single" w:color="000000" w:sz="4" w:space="0"/>
                    <w:left w:val="single" w:color="000000" w:sz="4" w:space="0"/>
                    <w:bottom w:val="single" w:color="000000" w:sz="4" w:space="0"/>
                    <w:right w:val="single" w:color="auto" w:sz="4" w:space="0"/>
                  </w:tcBorders>
                  <w:vAlign w:val="center"/>
                </w:tcPr>
                <w:p w14:paraId="05EE04F9">
                  <w:pPr>
                    <w:jc w:val="center"/>
                    <w:rPr>
                      <w:rFonts w:ascii="宋体" w:hAnsi="宋体" w:cs="宋体"/>
                      <w:szCs w:val="21"/>
                    </w:rPr>
                  </w:pPr>
                </w:p>
              </w:tc>
              <w:tc>
                <w:tcPr>
                  <w:tcW w:w="325" w:type="pct"/>
                  <w:vMerge w:val="continue"/>
                  <w:tcBorders>
                    <w:top w:val="single" w:color="000000" w:sz="4" w:space="0"/>
                    <w:left w:val="single" w:color="auto" w:sz="4" w:space="0"/>
                    <w:bottom w:val="single" w:color="000000" w:sz="4" w:space="0"/>
                    <w:right w:val="single" w:color="000000" w:sz="4" w:space="0"/>
                  </w:tcBorders>
                  <w:vAlign w:val="center"/>
                </w:tcPr>
                <w:p w14:paraId="0779E30A">
                  <w:pPr>
                    <w:jc w:val="center"/>
                    <w:rPr>
                      <w:rFonts w:ascii="宋体" w:hAnsi="宋体" w:cs="宋体"/>
                      <w:szCs w:val="21"/>
                    </w:rPr>
                  </w:pPr>
                </w:p>
              </w:tc>
              <w:tc>
                <w:tcPr>
                  <w:tcW w:w="262" w:type="pct"/>
                  <w:tcBorders>
                    <w:top w:val="single" w:color="000000" w:sz="4" w:space="0"/>
                    <w:left w:val="single" w:color="000000" w:sz="4" w:space="0"/>
                    <w:bottom w:val="single" w:color="000000" w:sz="4" w:space="0"/>
                    <w:right w:val="single" w:color="000000" w:sz="4" w:space="0"/>
                  </w:tcBorders>
                  <w:vAlign w:val="center"/>
                </w:tcPr>
                <w:p w14:paraId="7ABDDEB0">
                  <w:pPr>
                    <w:widowControl/>
                    <w:jc w:val="center"/>
                    <w:textAlignment w:val="center"/>
                    <w:rPr>
                      <w:rFonts w:ascii="宋体" w:hAnsi="宋体" w:cs="宋体"/>
                      <w:szCs w:val="21"/>
                    </w:rPr>
                  </w:pPr>
                  <w:r>
                    <w:rPr>
                      <w:rFonts w:hint="eastAsia" w:ascii="宋体" w:hAnsi="宋体" w:cs="宋体"/>
                      <w:kern w:val="0"/>
                      <w:szCs w:val="21"/>
                      <w:lang w:bidi="ar"/>
                    </w:rPr>
                    <w:t>声功率级</w:t>
                  </w:r>
                  <w:r>
                    <w:rPr>
                      <w:rStyle w:val="69"/>
                      <w:rFonts w:hint="default"/>
                      <w:color w:val="auto"/>
                      <w:lang w:bidi="ar"/>
                    </w:rPr>
                    <w:t>/dB(A)</w:t>
                  </w:r>
                </w:p>
              </w:tc>
              <w:tc>
                <w:tcPr>
                  <w:tcW w:w="175" w:type="pct"/>
                  <w:vMerge w:val="continue"/>
                  <w:tcBorders>
                    <w:top w:val="single" w:color="000000" w:sz="4" w:space="0"/>
                    <w:left w:val="single" w:color="000000" w:sz="4" w:space="0"/>
                    <w:bottom w:val="single" w:color="000000" w:sz="4" w:space="0"/>
                    <w:right w:val="single" w:color="000000" w:sz="4" w:space="0"/>
                  </w:tcBorders>
                  <w:vAlign w:val="center"/>
                </w:tcPr>
                <w:p w14:paraId="78C5219C">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3E7F3E1F">
                  <w:pPr>
                    <w:widowControl/>
                    <w:jc w:val="center"/>
                    <w:textAlignment w:val="center"/>
                    <w:rPr>
                      <w:szCs w:val="21"/>
                    </w:rPr>
                  </w:pPr>
                  <w:r>
                    <w:rPr>
                      <w:rStyle w:val="69"/>
                      <w:rFonts w:hint="default"/>
                      <w:color w:val="auto"/>
                      <w:lang w:bidi="ar"/>
                    </w:rPr>
                    <w:t>X</w:t>
                  </w:r>
                </w:p>
              </w:tc>
              <w:tc>
                <w:tcPr>
                  <w:tcW w:w="265" w:type="pct"/>
                  <w:tcBorders>
                    <w:top w:val="single" w:color="000000" w:sz="4" w:space="0"/>
                    <w:left w:val="single" w:color="000000" w:sz="4" w:space="0"/>
                    <w:bottom w:val="single" w:color="000000" w:sz="4" w:space="0"/>
                    <w:right w:val="single" w:color="000000" w:sz="4" w:space="0"/>
                  </w:tcBorders>
                  <w:vAlign w:val="center"/>
                </w:tcPr>
                <w:p w14:paraId="26887DF8">
                  <w:pPr>
                    <w:widowControl/>
                    <w:jc w:val="center"/>
                    <w:textAlignment w:val="center"/>
                    <w:rPr>
                      <w:szCs w:val="21"/>
                    </w:rPr>
                  </w:pPr>
                  <w:r>
                    <w:rPr>
                      <w:rStyle w:val="69"/>
                      <w:rFonts w:hint="default"/>
                      <w:color w:val="auto"/>
                      <w:lang w:bidi="ar"/>
                    </w:rPr>
                    <w:t>Y</w:t>
                  </w:r>
                </w:p>
              </w:tc>
              <w:tc>
                <w:tcPr>
                  <w:tcW w:w="181" w:type="pct"/>
                  <w:tcBorders>
                    <w:top w:val="single" w:color="000000" w:sz="4" w:space="0"/>
                    <w:left w:val="single" w:color="000000" w:sz="4" w:space="0"/>
                    <w:bottom w:val="single" w:color="000000" w:sz="4" w:space="0"/>
                    <w:right w:val="single" w:color="000000" w:sz="4" w:space="0"/>
                  </w:tcBorders>
                  <w:vAlign w:val="center"/>
                </w:tcPr>
                <w:p w14:paraId="72678B1C">
                  <w:pPr>
                    <w:widowControl/>
                    <w:jc w:val="center"/>
                    <w:textAlignment w:val="center"/>
                    <w:rPr>
                      <w:szCs w:val="21"/>
                    </w:rPr>
                  </w:pPr>
                  <w:r>
                    <w:rPr>
                      <w:rStyle w:val="69"/>
                      <w:rFonts w:hint="default"/>
                      <w:color w:val="auto"/>
                      <w:lang w:bidi="ar"/>
                    </w:rPr>
                    <w:t>Z</w:t>
                  </w:r>
                </w:p>
              </w:tc>
              <w:tc>
                <w:tcPr>
                  <w:tcW w:w="185" w:type="pct"/>
                  <w:tcBorders>
                    <w:top w:val="single" w:color="000000" w:sz="4" w:space="0"/>
                    <w:left w:val="single" w:color="000000" w:sz="4" w:space="0"/>
                    <w:bottom w:val="single" w:color="000000" w:sz="4" w:space="0"/>
                    <w:right w:val="single" w:color="000000" w:sz="4" w:space="0"/>
                  </w:tcBorders>
                  <w:vAlign w:val="center"/>
                </w:tcPr>
                <w:p w14:paraId="19C26DBE">
                  <w:pPr>
                    <w:widowControl/>
                    <w:jc w:val="center"/>
                    <w:textAlignment w:val="center"/>
                    <w:rPr>
                      <w:rFonts w:ascii="宋体" w:hAnsi="宋体" w:cs="宋体"/>
                      <w:szCs w:val="21"/>
                    </w:rPr>
                  </w:pPr>
                  <w:r>
                    <w:rPr>
                      <w:rFonts w:hint="eastAsia" w:ascii="宋体" w:hAnsi="宋体" w:cs="宋体"/>
                      <w:kern w:val="0"/>
                      <w:szCs w:val="21"/>
                      <w:lang w:bidi="ar"/>
                    </w:rPr>
                    <w:t>东</w:t>
                  </w:r>
                </w:p>
              </w:tc>
              <w:tc>
                <w:tcPr>
                  <w:tcW w:w="198" w:type="pct"/>
                  <w:tcBorders>
                    <w:top w:val="single" w:color="000000" w:sz="4" w:space="0"/>
                    <w:left w:val="single" w:color="000000" w:sz="4" w:space="0"/>
                    <w:bottom w:val="single" w:color="000000" w:sz="4" w:space="0"/>
                    <w:right w:val="single" w:color="000000" w:sz="4" w:space="0"/>
                  </w:tcBorders>
                  <w:vAlign w:val="center"/>
                </w:tcPr>
                <w:p w14:paraId="2C588453">
                  <w:pPr>
                    <w:widowControl/>
                    <w:jc w:val="center"/>
                    <w:textAlignment w:val="center"/>
                    <w:rPr>
                      <w:rFonts w:ascii="宋体" w:hAnsi="宋体" w:cs="宋体"/>
                      <w:szCs w:val="21"/>
                    </w:rPr>
                  </w:pPr>
                  <w:r>
                    <w:rPr>
                      <w:rFonts w:hint="eastAsia" w:ascii="宋体" w:hAnsi="宋体" w:cs="宋体"/>
                      <w:kern w:val="0"/>
                      <w:szCs w:val="21"/>
                      <w:lang w:bidi="ar"/>
                    </w:rPr>
                    <w:t>南</w:t>
                  </w:r>
                </w:p>
              </w:tc>
              <w:tc>
                <w:tcPr>
                  <w:tcW w:w="185" w:type="pct"/>
                  <w:tcBorders>
                    <w:top w:val="single" w:color="000000" w:sz="4" w:space="0"/>
                    <w:left w:val="single" w:color="000000" w:sz="4" w:space="0"/>
                    <w:bottom w:val="single" w:color="000000" w:sz="4" w:space="0"/>
                    <w:right w:val="single" w:color="000000" w:sz="4" w:space="0"/>
                  </w:tcBorders>
                  <w:vAlign w:val="center"/>
                </w:tcPr>
                <w:p w14:paraId="77AB58E9">
                  <w:pPr>
                    <w:widowControl/>
                    <w:jc w:val="center"/>
                    <w:textAlignment w:val="center"/>
                    <w:rPr>
                      <w:rFonts w:ascii="宋体" w:hAnsi="宋体" w:cs="宋体"/>
                      <w:szCs w:val="21"/>
                    </w:rPr>
                  </w:pPr>
                  <w:r>
                    <w:rPr>
                      <w:rFonts w:hint="eastAsia" w:ascii="宋体" w:hAnsi="宋体" w:cs="宋体"/>
                      <w:kern w:val="0"/>
                      <w:szCs w:val="21"/>
                      <w:lang w:bidi="ar"/>
                    </w:rPr>
                    <w:t>西</w:t>
                  </w:r>
                </w:p>
              </w:tc>
              <w:tc>
                <w:tcPr>
                  <w:tcW w:w="210" w:type="pct"/>
                  <w:tcBorders>
                    <w:top w:val="single" w:color="000000" w:sz="4" w:space="0"/>
                    <w:left w:val="single" w:color="000000" w:sz="4" w:space="0"/>
                    <w:bottom w:val="single" w:color="000000" w:sz="4" w:space="0"/>
                    <w:right w:val="single" w:color="000000" w:sz="4" w:space="0"/>
                  </w:tcBorders>
                  <w:vAlign w:val="center"/>
                </w:tcPr>
                <w:p w14:paraId="567B9088">
                  <w:pPr>
                    <w:widowControl/>
                    <w:jc w:val="center"/>
                    <w:textAlignment w:val="center"/>
                    <w:rPr>
                      <w:rFonts w:ascii="宋体" w:hAnsi="宋体" w:cs="宋体"/>
                      <w:szCs w:val="21"/>
                    </w:rPr>
                  </w:pPr>
                  <w:r>
                    <w:rPr>
                      <w:rFonts w:hint="eastAsia" w:ascii="宋体" w:hAnsi="宋体" w:cs="宋体"/>
                      <w:kern w:val="0"/>
                      <w:szCs w:val="21"/>
                      <w:lang w:bidi="ar"/>
                    </w:rPr>
                    <w:t>北</w:t>
                  </w:r>
                </w:p>
              </w:tc>
              <w:tc>
                <w:tcPr>
                  <w:tcW w:w="185" w:type="pct"/>
                  <w:tcBorders>
                    <w:top w:val="single" w:color="000000" w:sz="4" w:space="0"/>
                    <w:left w:val="single" w:color="000000" w:sz="4" w:space="0"/>
                    <w:bottom w:val="single" w:color="000000" w:sz="4" w:space="0"/>
                    <w:right w:val="single" w:color="000000" w:sz="4" w:space="0"/>
                  </w:tcBorders>
                  <w:vAlign w:val="center"/>
                </w:tcPr>
                <w:p w14:paraId="53FF850C">
                  <w:pPr>
                    <w:widowControl/>
                    <w:jc w:val="center"/>
                    <w:textAlignment w:val="center"/>
                    <w:rPr>
                      <w:rFonts w:ascii="宋体" w:hAnsi="宋体" w:cs="宋体"/>
                      <w:szCs w:val="21"/>
                    </w:rPr>
                  </w:pPr>
                  <w:r>
                    <w:rPr>
                      <w:rFonts w:hint="eastAsia" w:ascii="宋体" w:hAnsi="宋体" w:cs="宋体"/>
                      <w:kern w:val="0"/>
                      <w:szCs w:val="21"/>
                      <w:lang w:bidi="ar"/>
                    </w:rPr>
                    <w:t>东</w:t>
                  </w:r>
                </w:p>
              </w:tc>
              <w:tc>
                <w:tcPr>
                  <w:tcW w:w="175" w:type="pct"/>
                  <w:tcBorders>
                    <w:top w:val="single" w:color="000000" w:sz="4" w:space="0"/>
                    <w:left w:val="single" w:color="000000" w:sz="4" w:space="0"/>
                    <w:bottom w:val="single" w:color="000000" w:sz="4" w:space="0"/>
                    <w:right w:val="single" w:color="000000" w:sz="4" w:space="0"/>
                  </w:tcBorders>
                  <w:vAlign w:val="center"/>
                </w:tcPr>
                <w:p w14:paraId="4198436D">
                  <w:pPr>
                    <w:widowControl/>
                    <w:jc w:val="center"/>
                    <w:textAlignment w:val="center"/>
                    <w:rPr>
                      <w:rFonts w:ascii="宋体" w:hAnsi="宋体" w:cs="宋体"/>
                      <w:szCs w:val="21"/>
                    </w:rPr>
                  </w:pPr>
                  <w:r>
                    <w:rPr>
                      <w:rFonts w:hint="eastAsia" w:ascii="宋体" w:hAnsi="宋体" w:cs="宋体"/>
                      <w:kern w:val="0"/>
                      <w:szCs w:val="21"/>
                      <w:lang w:bidi="ar"/>
                    </w:rPr>
                    <w:t>南</w:t>
                  </w:r>
                </w:p>
              </w:tc>
              <w:tc>
                <w:tcPr>
                  <w:tcW w:w="171" w:type="pct"/>
                  <w:tcBorders>
                    <w:top w:val="single" w:color="000000" w:sz="4" w:space="0"/>
                    <w:left w:val="single" w:color="000000" w:sz="4" w:space="0"/>
                    <w:bottom w:val="single" w:color="000000" w:sz="4" w:space="0"/>
                    <w:right w:val="single" w:color="000000" w:sz="4" w:space="0"/>
                  </w:tcBorders>
                  <w:vAlign w:val="center"/>
                </w:tcPr>
                <w:p w14:paraId="6FB40C17">
                  <w:pPr>
                    <w:widowControl/>
                    <w:jc w:val="center"/>
                    <w:textAlignment w:val="center"/>
                    <w:rPr>
                      <w:rFonts w:ascii="宋体" w:hAnsi="宋体" w:cs="宋体"/>
                      <w:szCs w:val="21"/>
                    </w:rPr>
                  </w:pPr>
                  <w:r>
                    <w:rPr>
                      <w:rFonts w:hint="eastAsia" w:ascii="宋体" w:hAnsi="宋体" w:cs="宋体"/>
                      <w:kern w:val="0"/>
                      <w:szCs w:val="21"/>
                      <w:lang w:bidi="ar"/>
                    </w:rPr>
                    <w:t>西</w:t>
                  </w:r>
                </w:p>
              </w:tc>
              <w:tc>
                <w:tcPr>
                  <w:tcW w:w="216" w:type="pct"/>
                  <w:tcBorders>
                    <w:top w:val="single" w:color="000000" w:sz="4" w:space="0"/>
                    <w:left w:val="single" w:color="000000" w:sz="4" w:space="0"/>
                    <w:bottom w:val="single" w:color="000000" w:sz="4" w:space="0"/>
                    <w:right w:val="single" w:color="000000" w:sz="4" w:space="0"/>
                  </w:tcBorders>
                  <w:vAlign w:val="center"/>
                </w:tcPr>
                <w:p w14:paraId="236CB7B0">
                  <w:pPr>
                    <w:widowControl/>
                    <w:jc w:val="center"/>
                    <w:textAlignment w:val="center"/>
                    <w:rPr>
                      <w:rFonts w:ascii="宋体" w:hAnsi="宋体" w:cs="宋体"/>
                      <w:szCs w:val="21"/>
                    </w:rPr>
                  </w:pPr>
                  <w:r>
                    <w:rPr>
                      <w:rFonts w:hint="eastAsia" w:ascii="宋体" w:hAnsi="宋体" w:cs="宋体"/>
                      <w:kern w:val="0"/>
                      <w:szCs w:val="21"/>
                      <w:lang w:bidi="ar"/>
                    </w:rPr>
                    <w:t>北</w:t>
                  </w:r>
                </w:p>
              </w:tc>
              <w:tc>
                <w:tcPr>
                  <w:tcW w:w="171" w:type="pct"/>
                  <w:vMerge w:val="continue"/>
                  <w:tcBorders>
                    <w:top w:val="single" w:color="000000" w:sz="4" w:space="0"/>
                    <w:left w:val="single" w:color="000000" w:sz="4" w:space="0"/>
                    <w:bottom w:val="single" w:color="000000" w:sz="4" w:space="0"/>
                    <w:right w:val="single" w:color="000000" w:sz="4" w:space="0"/>
                  </w:tcBorders>
                  <w:vAlign w:val="center"/>
                </w:tcPr>
                <w:p w14:paraId="35A9D4C7">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vAlign w:val="center"/>
                </w:tcPr>
                <w:p w14:paraId="7610BB11">
                  <w:pPr>
                    <w:widowControl/>
                    <w:jc w:val="center"/>
                    <w:textAlignment w:val="center"/>
                    <w:rPr>
                      <w:rFonts w:ascii="宋体" w:hAnsi="宋体" w:cs="宋体"/>
                      <w:szCs w:val="21"/>
                    </w:rPr>
                  </w:pPr>
                  <w:r>
                    <w:rPr>
                      <w:rFonts w:hint="eastAsia" w:ascii="宋体" w:hAnsi="宋体" w:cs="宋体"/>
                      <w:kern w:val="0"/>
                      <w:szCs w:val="21"/>
                      <w:lang w:bidi="ar"/>
                    </w:rPr>
                    <w:t>东</w:t>
                  </w:r>
                </w:p>
              </w:tc>
              <w:tc>
                <w:tcPr>
                  <w:tcW w:w="134" w:type="pct"/>
                  <w:tcBorders>
                    <w:top w:val="single" w:color="000000" w:sz="4" w:space="0"/>
                    <w:left w:val="single" w:color="000000" w:sz="4" w:space="0"/>
                    <w:bottom w:val="single" w:color="000000" w:sz="4" w:space="0"/>
                    <w:right w:val="single" w:color="000000" w:sz="4" w:space="0"/>
                  </w:tcBorders>
                  <w:vAlign w:val="center"/>
                </w:tcPr>
                <w:p w14:paraId="62CF98E1">
                  <w:pPr>
                    <w:widowControl/>
                    <w:jc w:val="center"/>
                    <w:textAlignment w:val="center"/>
                    <w:rPr>
                      <w:rFonts w:ascii="宋体" w:hAnsi="宋体" w:cs="宋体"/>
                      <w:szCs w:val="21"/>
                    </w:rPr>
                  </w:pPr>
                  <w:r>
                    <w:rPr>
                      <w:rFonts w:hint="eastAsia" w:ascii="宋体" w:hAnsi="宋体" w:cs="宋体"/>
                      <w:kern w:val="0"/>
                      <w:szCs w:val="21"/>
                      <w:lang w:bidi="ar"/>
                    </w:rPr>
                    <w:t>南</w:t>
                  </w:r>
                </w:p>
              </w:tc>
              <w:tc>
                <w:tcPr>
                  <w:tcW w:w="102" w:type="pct"/>
                  <w:tcBorders>
                    <w:top w:val="single" w:color="000000" w:sz="4" w:space="0"/>
                    <w:left w:val="single" w:color="000000" w:sz="4" w:space="0"/>
                    <w:bottom w:val="single" w:color="000000" w:sz="4" w:space="0"/>
                    <w:right w:val="single" w:color="000000" w:sz="4" w:space="0"/>
                  </w:tcBorders>
                  <w:vAlign w:val="center"/>
                </w:tcPr>
                <w:p w14:paraId="076F60B2">
                  <w:pPr>
                    <w:widowControl/>
                    <w:jc w:val="center"/>
                    <w:textAlignment w:val="center"/>
                    <w:rPr>
                      <w:rFonts w:ascii="宋体" w:hAnsi="宋体" w:cs="宋体"/>
                      <w:szCs w:val="21"/>
                    </w:rPr>
                  </w:pPr>
                  <w:r>
                    <w:rPr>
                      <w:rFonts w:hint="eastAsia" w:ascii="宋体" w:hAnsi="宋体" w:cs="宋体"/>
                      <w:kern w:val="0"/>
                      <w:szCs w:val="21"/>
                      <w:lang w:bidi="ar"/>
                    </w:rPr>
                    <w:t>西</w:t>
                  </w:r>
                </w:p>
              </w:tc>
              <w:tc>
                <w:tcPr>
                  <w:tcW w:w="143" w:type="pct"/>
                  <w:tcBorders>
                    <w:top w:val="single" w:color="000000" w:sz="4" w:space="0"/>
                    <w:left w:val="single" w:color="000000" w:sz="4" w:space="0"/>
                    <w:bottom w:val="single" w:color="000000" w:sz="4" w:space="0"/>
                    <w:right w:val="single" w:color="000000" w:sz="4" w:space="0"/>
                  </w:tcBorders>
                  <w:vAlign w:val="center"/>
                </w:tcPr>
                <w:p w14:paraId="5BF51CF8">
                  <w:pPr>
                    <w:widowControl/>
                    <w:jc w:val="center"/>
                    <w:textAlignment w:val="center"/>
                    <w:rPr>
                      <w:rFonts w:ascii="宋体" w:hAnsi="宋体" w:cs="宋体"/>
                      <w:szCs w:val="21"/>
                    </w:rPr>
                  </w:pPr>
                  <w:r>
                    <w:rPr>
                      <w:rFonts w:hint="eastAsia" w:ascii="宋体" w:hAnsi="宋体" w:cs="宋体"/>
                      <w:kern w:val="0"/>
                      <w:szCs w:val="21"/>
                      <w:lang w:bidi="ar"/>
                    </w:rPr>
                    <w:t>北</w:t>
                  </w:r>
                </w:p>
              </w:tc>
              <w:tc>
                <w:tcPr>
                  <w:tcW w:w="185" w:type="pct"/>
                  <w:tcBorders>
                    <w:top w:val="single" w:color="000000" w:sz="4" w:space="0"/>
                    <w:left w:val="single" w:color="000000" w:sz="4" w:space="0"/>
                    <w:bottom w:val="single" w:color="000000" w:sz="4" w:space="0"/>
                    <w:right w:val="single" w:color="000000" w:sz="4" w:space="0"/>
                  </w:tcBorders>
                  <w:vAlign w:val="center"/>
                </w:tcPr>
                <w:p w14:paraId="510A7536">
                  <w:pPr>
                    <w:widowControl/>
                    <w:jc w:val="center"/>
                    <w:textAlignment w:val="center"/>
                    <w:rPr>
                      <w:rFonts w:ascii="宋体" w:hAnsi="宋体" w:cs="宋体"/>
                      <w:szCs w:val="21"/>
                    </w:rPr>
                  </w:pPr>
                  <w:r>
                    <w:rPr>
                      <w:rFonts w:hint="eastAsia" w:ascii="宋体" w:hAnsi="宋体" w:cs="宋体"/>
                      <w:kern w:val="0"/>
                      <w:szCs w:val="21"/>
                      <w:lang w:bidi="ar"/>
                    </w:rPr>
                    <w:t>东</w:t>
                  </w:r>
                </w:p>
              </w:tc>
              <w:tc>
                <w:tcPr>
                  <w:tcW w:w="217" w:type="pct"/>
                  <w:tcBorders>
                    <w:top w:val="single" w:color="000000" w:sz="4" w:space="0"/>
                    <w:left w:val="single" w:color="000000" w:sz="4" w:space="0"/>
                    <w:bottom w:val="single" w:color="000000" w:sz="4" w:space="0"/>
                    <w:right w:val="single" w:color="000000" w:sz="4" w:space="0"/>
                  </w:tcBorders>
                  <w:vAlign w:val="center"/>
                </w:tcPr>
                <w:p w14:paraId="0C4B5961">
                  <w:pPr>
                    <w:widowControl/>
                    <w:jc w:val="center"/>
                    <w:textAlignment w:val="center"/>
                    <w:rPr>
                      <w:rFonts w:ascii="宋体" w:hAnsi="宋体" w:cs="宋体"/>
                      <w:szCs w:val="21"/>
                    </w:rPr>
                  </w:pPr>
                  <w:r>
                    <w:rPr>
                      <w:rFonts w:hint="eastAsia" w:ascii="宋体" w:hAnsi="宋体" w:cs="宋体"/>
                      <w:kern w:val="0"/>
                      <w:szCs w:val="21"/>
                      <w:lang w:bidi="ar"/>
                    </w:rPr>
                    <w:t>南</w:t>
                  </w:r>
                </w:p>
              </w:tc>
              <w:tc>
                <w:tcPr>
                  <w:tcW w:w="225" w:type="pct"/>
                  <w:tcBorders>
                    <w:top w:val="single" w:color="000000" w:sz="4" w:space="0"/>
                    <w:left w:val="single" w:color="000000" w:sz="4" w:space="0"/>
                    <w:bottom w:val="single" w:color="000000" w:sz="4" w:space="0"/>
                    <w:right w:val="single" w:color="000000" w:sz="4" w:space="0"/>
                  </w:tcBorders>
                  <w:vAlign w:val="center"/>
                </w:tcPr>
                <w:p w14:paraId="3ADBD667">
                  <w:pPr>
                    <w:widowControl/>
                    <w:jc w:val="center"/>
                    <w:textAlignment w:val="center"/>
                    <w:rPr>
                      <w:rFonts w:ascii="宋体" w:hAnsi="宋体" w:cs="宋体"/>
                      <w:szCs w:val="21"/>
                    </w:rPr>
                  </w:pPr>
                  <w:r>
                    <w:rPr>
                      <w:rFonts w:hint="eastAsia" w:ascii="宋体" w:hAnsi="宋体" w:cs="宋体"/>
                      <w:kern w:val="0"/>
                      <w:szCs w:val="21"/>
                      <w:lang w:bidi="ar"/>
                    </w:rPr>
                    <w:t>西</w:t>
                  </w:r>
                </w:p>
              </w:tc>
              <w:tc>
                <w:tcPr>
                  <w:tcW w:w="206" w:type="pct"/>
                  <w:tcBorders>
                    <w:top w:val="single" w:color="000000" w:sz="4" w:space="0"/>
                    <w:left w:val="single" w:color="000000" w:sz="4" w:space="0"/>
                    <w:bottom w:val="single" w:color="000000" w:sz="4" w:space="0"/>
                    <w:right w:val="single" w:color="000000" w:sz="4" w:space="0"/>
                  </w:tcBorders>
                  <w:vAlign w:val="center"/>
                </w:tcPr>
                <w:p w14:paraId="61E6230C">
                  <w:pPr>
                    <w:widowControl/>
                    <w:jc w:val="center"/>
                    <w:textAlignment w:val="center"/>
                    <w:rPr>
                      <w:rFonts w:ascii="宋体" w:hAnsi="宋体" w:cs="宋体"/>
                      <w:szCs w:val="21"/>
                    </w:rPr>
                  </w:pPr>
                  <w:r>
                    <w:rPr>
                      <w:rFonts w:hint="eastAsia" w:ascii="宋体" w:hAnsi="宋体" w:cs="宋体"/>
                      <w:kern w:val="0"/>
                      <w:szCs w:val="21"/>
                      <w:lang w:bidi="ar"/>
                    </w:rPr>
                    <w:t>北</w:t>
                  </w:r>
                </w:p>
              </w:tc>
              <w:tc>
                <w:tcPr>
                  <w:tcW w:w="285" w:type="pct"/>
                  <w:tcBorders>
                    <w:top w:val="single" w:color="000000" w:sz="4" w:space="0"/>
                    <w:left w:val="single" w:color="000000" w:sz="4" w:space="0"/>
                    <w:bottom w:val="single" w:color="000000" w:sz="4" w:space="0"/>
                    <w:right w:val="single" w:color="000000" w:sz="4" w:space="0"/>
                  </w:tcBorders>
                  <w:vAlign w:val="center"/>
                </w:tcPr>
                <w:p w14:paraId="41A4FE04">
                  <w:pPr>
                    <w:widowControl/>
                    <w:jc w:val="center"/>
                    <w:textAlignment w:val="center"/>
                    <w:rPr>
                      <w:rFonts w:ascii="宋体" w:hAnsi="宋体" w:cs="宋体"/>
                      <w:szCs w:val="21"/>
                    </w:rPr>
                  </w:pPr>
                  <w:r>
                    <w:rPr>
                      <w:rFonts w:hint="eastAsia" w:ascii="宋体" w:hAnsi="宋体" w:cs="宋体"/>
                      <w:kern w:val="0"/>
                      <w:szCs w:val="21"/>
                      <w:lang w:bidi="ar"/>
                    </w:rPr>
                    <w:t>建筑物外距离</w:t>
                  </w:r>
                </w:p>
              </w:tc>
            </w:tr>
            <w:tr w14:paraId="433138B6">
              <w:tblPrEx>
                <w:tblCellMar>
                  <w:top w:w="0" w:type="dxa"/>
                  <w:left w:w="23" w:type="dxa"/>
                  <w:bottom w:w="0" w:type="dxa"/>
                  <w:right w:w="23" w:type="dxa"/>
                </w:tblCellMar>
              </w:tblPrEx>
              <w:trPr>
                <w:trHeight w:val="318" w:hRule="atLeast"/>
              </w:trPr>
              <w:tc>
                <w:tcPr>
                  <w:tcW w:w="182" w:type="pct"/>
                  <w:vMerge w:val="restart"/>
                  <w:tcBorders>
                    <w:top w:val="single" w:color="000000" w:sz="4" w:space="0"/>
                    <w:left w:val="single" w:color="000000" w:sz="4" w:space="0"/>
                    <w:right w:val="single" w:color="auto" w:sz="4" w:space="0"/>
                  </w:tcBorders>
                  <w:shd w:val="clear" w:color="auto" w:fill="auto"/>
                  <w:vAlign w:val="center"/>
                </w:tcPr>
                <w:p w14:paraId="5BF3A179">
                  <w:pPr>
                    <w:widowControl/>
                    <w:jc w:val="center"/>
                    <w:textAlignment w:val="center"/>
                    <w:rPr>
                      <w:rFonts w:ascii="宋体" w:hAnsi="宋体" w:cs="宋体"/>
                      <w:szCs w:val="21"/>
                    </w:rPr>
                  </w:pPr>
                  <w:r>
                    <w:rPr>
                      <w:rFonts w:hint="eastAsia" w:ascii="宋体" w:hAnsi="宋体" w:cs="宋体"/>
                      <w:szCs w:val="21"/>
                    </w:rPr>
                    <w:t>西厂房</w:t>
                  </w: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0C9FE4FF">
                  <w:pPr>
                    <w:widowControl/>
                    <w:jc w:val="center"/>
                    <w:textAlignment w:val="center"/>
                    <w:rPr>
                      <w:rFonts w:ascii="宋体" w:hAnsi="宋体" w:cs="宋体"/>
                      <w:kern w:val="0"/>
                      <w:szCs w:val="21"/>
                      <w:lang w:bidi="ar"/>
                    </w:rPr>
                  </w:pPr>
                  <w:r>
                    <w:rPr>
                      <w:rFonts w:hint="eastAsia" w:ascii="宋体" w:hAnsi="宋体" w:cs="宋体"/>
                      <w:kern w:val="0"/>
                      <w:szCs w:val="21"/>
                      <w:lang w:bidi="ar"/>
                    </w:rPr>
                    <w:t>装载机1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AFEDC">
                  <w:pPr>
                    <w:widowControl/>
                    <w:jc w:val="center"/>
                    <w:textAlignment w:val="center"/>
                    <w:rPr>
                      <w:szCs w:val="21"/>
                    </w:rPr>
                  </w:pPr>
                  <w:r>
                    <w:rPr>
                      <w:rFonts w:hint="eastAsia"/>
                      <w:kern w:val="0"/>
                      <w:szCs w:val="21"/>
                      <w:lang w:bidi="ar"/>
                    </w:rPr>
                    <w:t>85</w:t>
                  </w:r>
                </w:p>
              </w:tc>
              <w:tc>
                <w:tcPr>
                  <w:tcW w:w="175" w:type="pct"/>
                  <w:vMerge w:val="restart"/>
                  <w:tcBorders>
                    <w:top w:val="single" w:color="000000" w:sz="4" w:space="0"/>
                    <w:left w:val="single" w:color="000000" w:sz="4" w:space="0"/>
                    <w:right w:val="single" w:color="000000" w:sz="4" w:space="0"/>
                  </w:tcBorders>
                  <w:vAlign w:val="center"/>
                </w:tcPr>
                <w:p w14:paraId="3AE9530B">
                  <w:pPr>
                    <w:widowControl/>
                    <w:jc w:val="center"/>
                    <w:textAlignment w:val="center"/>
                    <w:rPr>
                      <w:rFonts w:ascii="宋体" w:hAnsi="宋体" w:cs="宋体"/>
                      <w:kern w:val="0"/>
                      <w:szCs w:val="21"/>
                      <w:lang w:bidi="ar"/>
                    </w:rPr>
                  </w:pPr>
                  <w:r>
                    <w:rPr>
                      <w:rFonts w:hint="eastAsia" w:ascii="宋体" w:hAnsi="宋体" w:cs="宋体"/>
                      <w:kern w:val="0"/>
                      <w:szCs w:val="21"/>
                      <w:lang w:bidi="ar"/>
                    </w:rPr>
                    <w:t>建筑隔声、减振机座</w:t>
                  </w:r>
                </w:p>
                <w:p w14:paraId="10BB6B64">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9293D">
                  <w:pPr>
                    <w:widowControl/>
                    <w:jc w:val="center"/>
                    <w:textAlignment w:val="center"/>
                    <w:rPr>
                      <w:szCs w:val="21"/>
                    </w:rPr>
                  </w:pPr>
                  <w:r>
                    <w:rPr>
                      <w:rFonts w:hint="eastAsia"/>
                      <w:szCs w:val="21"/>
                    </w:rPr>
                    <w:t>94.7</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FA385">
                  <w:pPr>
                    <w:widowControl/>
                    <w:jc w:val="center"/>
                    <w:textAlignment w:val="center"/>
                    <w:rPr>
                      <w:szCs w:val="21"/>
                    </w:rPr>
                  </w:pPr>
                  <w:r>
                    <w:rPr>
                      <w:rFonts w:hint="eastAsia"/>
                      <w:szCs w:val="21"/>
                    </w:rPr>
                    <w:t>-188.8</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D31EB">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CA025">
                  <w:pPr>
                    <w:widowControl/>
                    <w:jc w:val="center"/>
                    <w:textAlignment w:val="center"/>
                    <w:rPr>
                      <w:szCs w:val="21"/>
                    </w:rPr>
                  </w:pPr>
                  <w:r>
                    <w:rPr>
                      <w:rFonts w:hint="eastAsia"/>
                      <w:szCs w:val="21"/>
                    </w:rPr>
                    <w:t>24.3</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C8AD6">
                  <w:pPr>
                    <w:widowControl/>
                    <w:jc w:val="center"/>
                    <w:textAlignment w:val="center"/>
                    <w:rPr>
                      <w:szCs w:val="21"/>
                    </w:rPr>
                  </w:pPr>
                  <w:r>
                    <w:rPr>
                      <w:rFonts w:hint="eastAsia"/>
                      <w:szCs w:val="21"/>
                    </w:rPr>
                    <w:t>8.7</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C7A6">
                  <w:pPr>
                    <w:widowControl/>
                    <w:jc w:val="center"/>
                    <w:textAlignment w:val="center"/>
                    <w:rPr>
                      <w:szCs w:val="21"/>
                    </w:rPr>
                  </w:pPr>
                  <w:r>
                    <w:rPr>
                      <w:rFonts w:hint="eastAsia"/>
                      <w:szCs w:val="21"/>
                    </w:rPr>
                    <w:t>93.4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2D73E">
                  <w:pPr>
                    <w:widowControl/>
                    <w:jc w:val="center"/>
                    <w:textAlignment w:val="center"/>
                    <w:rPr>
                      <w:szCs w:val="21"/>
                    </w:rPr>
                  </w:pPr>
                  <w:r>
                    <w:rPr>
                      <w:rFonts w:hint="eastAsia"/>
                      <w:szCs w:val="21"/>
                    </w:rPr>
                    <w:t>14.8</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A6EBC">
                  <w:pPr>
                    <w:widowControl/>
                    <w:jc w:val="center"/>
                    <w:textAlignment w:val="center"/>
                    <w:rPr>
                      <w:szCs w:val="21"/>
                    </w:rPr>
                  </w:pPr>
                  <w:r>
                    <w:rPr>
                      <w:rFonts w:hint="eastAsia"/>
                      <w:szCs w:val="21"/>
                    </w:rPr>
                    <w:t>70.26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B0A2D">
                  <w:pPr>
                    <w:widowControl/>
                    <w:jc w:val="center"/>
                    <w:textAlignment w:val="center"/>
                    <w:rPr>
                      <w:szCs w:val="21"/>
                    </w:rPr>
                  </w:pPr>
                  <w:r>
                    <w:rPr>
                      <w:rFonts w:hint="eastAsia"/>
                      <w:szCs w:val="21"/>
                    </w:rPr>
                    <w:t>70.31</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EE5B2">
                  <w:pPr>
                    <w:widowControl/>
                    <w:jc w:val="center"/>
                    <w:textAlignment w:val="center"/>
                    <w:rPr>
                      <w:szCs w:val="21"/>
                    </w:rPr>
                  </w:pPr>
                  <w:r>
                    <w:rPr>
                      <w:rFonts w:hint="eastAsia"/>
                      <w:szCs w:val="21"/>
                    </w:rPr>
                    <w:t>7.029</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CBFE8">
                  <w:pPr>
                    <w:widowControl/>
                    <w:jc w:val="center"/>
                    <w:textAlignment w:val="center"/>
                    <w:rPr>
                      <w:szCs w:val="21"/>
                    </w:rPr>
                  </w:pPr>
                  <w:r>
                    <w:rPr>
                      <w:rFonts w:hint="eastAsia"/>
                      <w:szCs w:val="21"/>
                    </w:rPr>
                    <w:t>70.3</w:t>
                  </w:r>
                </w:p>
              </w:tc>
              <w:tc>
                <w:tcPr>
                  <w:tcW w:w="171" w:type="pct"/>
                  <w:vMerge w:val="restart"/>
                  <w:tcBorders>
                    <w:top w:val="single" w:color="000000" w:sz="4" w:space="0"/>
                    <w:left w:val="single" w:color="000000" w:sz="4" w:space="0"/>
                    <w:right w:val="single" w:color="000000" w:sz="4" w:space="0"/>
                  </w:tcBorders>
                  <w:vAlign w:val="center"/>
                </w:tcPr>
                <w:p w14:paraId="5C6DD70A">
                  <w:pPr>
                    <w:widowControl/>
                    <w:jc w:val="center"/>
                    <w:textAlignment w:val="center"/>
                    <w:rPr>
                      <w:rFonts w:ascii="宋体" w:hAnsi="宋体" w:cs="宋体"/>
                      <w:szCs w:val="21"/>
                    </w:rPr>
                  </w:pPr>
                  <w:r>
                    <w:rPr>
                      <w:rFonts w:hint="eastAsia" w:ascii="宋体" w:hAnsi="宋体" w:cs="宋体"/>
                      <w:kern w:val="0"/>
                      <w:szCs w:val="21"/>
                      <w:lang w:bidi="ar"/>
                    </w:rPr>
                    <w:t>连续运行</w:t>
                  </w:r>
                  <w:r>
                    <w:rPr>
                      <w:rStyle w:val="69"/>
                      <w:rFonts w:hint="default"/>
                      <w:color w:val="auto"/>
                      <w:lang w:bidi="ar"/>
                    </w:rPr>
                    <w:t>10h</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5B760">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D5D87">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FB0A">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36405">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80F4">
                  <w:pPr>
                    <w:widowControl/>
                    <w:jc w:val="center"/>
                    <w:textAlignment w:val="center"/>
                    <w:rPr>
                      <w:szCs w:val="21"/>
                    </w:rPr>
                  </w:pPr>
                  <w:r>
                    <w:rPr>
                      <w:rFonts w:hint="eastAsia"/>
                      <w:szCs w:val="21"/>
                    </w:rPr>
                    <w:t>50.26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08895">
                  <w:pPr>
                    <w:widowControl/>
                    <w:jc w:val="center"/>
                    <w:textAlignment w:val="center"/>
                    <w:rPr>
                      <w:szCs w:val="21"/>
                    </w:rPr>
                  </w:pPr>
                  <w:r>
                    <w:rPr>
                      <w:rFonts w:hint="eastAsia"/>
                      <w:szCs w:val="21"/>
                    </w:rPr>
                    <w:t>50.31</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1AC26">
                  <w:pPr>
                    <w:widowControl/>
                    <w:jc w:val="center"/>
                    <w:textAlignment w:val="center"/>
                    <w:rPr>
                      <w:szCs w:val="21"/>
                    </w:rPr>
                  </w:pPr>
                  <w:r>
                    <w:rPr>
                      <w:rFonts w:hint="eastAsia"/>
                      <w:szCs w:val="21"/>
                    </w:rPr>
                    <w:t>5.029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9A74">
                  <w:pPr>
                    <w:widowControl/>
                    <w:jc w:val="center"/>
                    <w:textAlignment w:val="center"/>
                    <w:rPr>
                      <w:szCs w:val="21"/>
                    </w:rPr>
                  </w:pPr>
                  <w:r>
                    <w:rPr>
                      <w:rFonts w:hint="eastAsia"/>
                      <w:szCs w:val="21"/>
                    </w:rPr>
                    <w:t>50.3</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30C18">
                  <w:pPr>
                    <w:widowControl/>
                    <w:jc w:val="center"/>
                    <w:textAlignment w:val="center"/>
                    <w:rPr>
                      <w:szCs w:val="21"/>
                    </w:rPr>
                  </w:pPr>
                  <w:r>
                    <w:rPr>
                      <w:kern w:val="0"/>
                      <w:szCs w:val="21"/>
                      <w:lang w:bidi="ar"/>
                    </w:rPr>
                    <w:t>1</w:t>
                  </w:r>
                </w:p>
              </w:tc>
            </w:tr>
            <w:tr w14:paraId="518CDB2D">
              <w:tblPrEx>
                <w:tblCellMar>
                  <w:top w:w="0" w:type="dxa"/>
                  <w:left w:w="23" w:type="dxa"/>
                  <w:bottom w:w="0" w:type="dxa"/>
                  <w:right w:w="23" w:type="dxa"/>
                </w:tblCellMar>
              </w:tblPrEx>
              <w:trPr>
                <w:trHeight w:val="318" w:hRule="atLeast"/>
              </w:trPr>
              <w:tc>
                <w:tcPr>
                  <w:tcW w:w="182" w:type="pct"/>
                  <w:vMerge w:val="continue"/>
                  <w:tcBorders>
                    <w:left w:val="single" w:color="000000" w:sz="4" w:space="0"/>
                    <w:right w:val="single" w:color="auto" w:sz="4" w:space="0"/>
                  </w:tcBorders>
                  <w:shd w:val="clear" w:color="auto" w:fill="auto"/>
                  <w:vAlign w:val="center"/>
                </w:tcPr>
                <w:p w14:paraId="49D81B93">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6E459D24">
                  <w:pPr>
                    <w:widowControl/>
                    <w:jc w:val="center"/>
                    <w:textAlignment w:val="center"/>
                    <w:rPr>
                      <w:rFonts w:ascii="宋体" w:hAnsi="宋体" w:cs="宋体"/>
                      <w:kern w:val="0"/>
                      <w:szCs w:val="21"/>
                      <w:lang w:bidi="ar"/>
                    </w:rPr>
                  </w:pPr>
                  <w:r>
                    <w:rPr>
                      <w:rFonts w:hint="eastAsia" w:ascii="宋体" w:hAnsi="宋体" w:cs="宋体"/>
                      <w:kern w:val="0"/>
                      <w:szCs w:val="21"/>
                      <w:lang w:bidi="ar"/>
                    </w:rPr>
                    <w:t>翻抛机</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7DCAF">
                  <w:pPr>
                    <w:widowControl/>
                    <w:jc w:val="center"/>
                    <w:textAlignment w:val="center"/>
                    <w:rPr>
                      <w:szCs w:val="21"/>
                    </w:rPr>
                  </w:pPr>
                  <w:r>
                    <w:rPr>
                      <w:rFonts w:hint="eastAsia"/>
                      <w:kern w:val="0"/>
                      <w:szCs w:val="21"/>
                      <w:lang w:bidi="ar"/>
                    </w:rPr>
                    <w:t>80</w:t>
                  </w:r>
                </w:p>
              </w:tc>
              <w:tc>
                <w:tcPr>
                  <w:tcW w:w="175" w:type="pct"/>
                  <w:vMerge w:val="continue"/>
                  <w:tcBorders>
                    <w:left w:val="single" w:color="000000" w:sz="4" w:space="0"/>
                    <w:right w:val="single" w:color="000000" w:sz="4" w:space="0"/>
                  </w:tcBorders>
                  <w:vAlign w:val="center"/>
                </w:tcPr>
                <w:p w14:paraId="7054549D">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A5367">
                  <w:pPr>
                    <w:widowControl/>
                    <w:jc w:val="center"/>
                    <w:textAlignment w:val="center"/>
                    <w:rPr>
                      <w:szCs w:val="21"/>
                    </w:rPr>
                  </w:pPr>
                  <w:r>
                    <w:rPr>
                      <w:rFonts w:hint="eastAsia"/>
                      <w:szCs w:val="21"/>
                    </w:rPr>
                    <w:t>67.22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82D82">
                  <w:pPr>
                    <w:widowControl/>
                    <w:jc w:val="center"/>
                    <w:textAlignment w:val="center"/>
                    <w:rPr>
                      <w:szCs w:val="21"/>
                    </w:rPr>
                  </w:pPr>
                  <w:r>
                    <w:rPr>
                      <w:rFonts w:hint="eastAsia"/>
                      <w:szCs w:val="21"/>
                    </w:rPr>
                    <w:t>-175.75</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66BEE">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28478">
                  <w:pPr>
                    <w:widowControl/>
                    <w:jc w:val="center"/>
                    <w:textAlignment w:val="center"/>
                    <w:rPr>
                      <w:szCs w:val="21"/>
                    </w:rPr>
                  </w:pPr>
                  <w:r>
                    <w:rPr>
                      <w:rFonts w:hint="eastAsia"/>
                      <w:szCs w:val="21"/>
                    </w:rPr>
                    <w:t>88.0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FE071">
                  <w:pPr>
                    <w:widowControl/>
                    <w:jc w:val="center"/>
                    <w:textAlignment w:val="center"/>
                    <w:rPr>
                      <w:szCs w:val="21"/>
                    </w:rPr>
                  </w:pPr>
                  <w:r>
                    <w:rPr>
                      <w:rFonts w:hint="eastAsia"/>
                      <w:szCs w:val="21"/>
                    </w:rPr>
                    <w:t>12.5</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CB824">
                  <w:pPr>
                    <w:widowControl/>
                    <w:jc w:val="center"/>
                    <w:textAlignment w:val="center"/>
                    <w:rPr>
                      <w:szCs w:val="21"/>
                    </w:rPr>
                  </w:pPr>
                  <w:r>
                    <w:rPr>
                      <w:rFonts w:hint="eastAsia"/>
                      <w:szCs w:val="21"/>
                    </w:rPr>
                    <w:t>29.4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5A28B">
                  <w:pPr>
                    <w:widowControl/>
                    <w:jc w:val="center"/>
                    <w:textAlignment w:val="center"/>
                    <w:rPr>
                      <w:szCs w:val="21"/>
                    </w:rPr>
                  </w:pPr>
                  <w:r>
                    <w:rPr>
                      <w:rFonts w:hint="eastAsia"/>
                      <w:szCs w:val="21"/>
                    </w:rPr>
                    <w:t>14.6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E5B8B">
                  <w:pPr>
                    <w:widowControl/>
                    <w:jc w:val="center"/>
                    <w:textAlignment w:val="center"/>
                    <w:rPr>
                      <w:szCs w:val="21"/>
                    </w:rPr>
                  </w:pPr>
                  <w:r>
                    <w:rPr>
                      <w:rFonts w:hint="eastAsia"/>
                      <w:szCs w:val="21"/>
                    </w:rPr>
                    <w:t>65.26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93482">
                  <w:pPr>
                    <w:widowControl/>
                    <w:jc w:val="center"/>
                    <w:textAlignment w:val="center"/>
                    <w:rPr>
                      <w:szCs w:val="21"/>
                    </w:rPr>
                  </w:pPr>
                  <w:r>
                    <w:rPr>
                      <w:rFonts w:hint="eastAsia"/>
                      <w:szCs w:val="21"/>
                    </w:rPr>
                    <w:t>65.31</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42E2B">
                  <w:pPr>
                    <w:widowControl/>
                    <w:jc w:val="center"/>
                    <w:textAlignment w:val="center"/>
                    <w:rPr>
                      <w:szCs w:val="21"/>
                    </w:rPr>
                  </w:pPr>
                  <w:r>
                    <w:rPr>
                      <w:rFonts w:hint="eastAsia"/>
                      <w:szCs w:val="21"/>
                    </w:rPr>
                    <w:t>65.26</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01F10">
                  <w:pPr>
                    <w:widowControl/>
                    <w:jc w:val="center"/>
                    <w:textAlignment w:val="center"/>
                    <w:rPr>
                      <w:szCs w:val="21"/>
                    </w:rPr>
                  </w:pPr>
                  <w:r>
                    <w:rPr>
                      <w:rFonts w:hint="eastAsia"/>
                      <w:szCs w:val="21"/>
                    </w:rPr>
                    <w:t>65.31</w:t>
                  </w:r>
                </w:p>
              </w:tc>
              <w:tc>
                <w:tcPr>
                  <w:tcW w:w="171" w:type="pct"/>
                  <w:vMerge w:val="continue"/>
                  <w:tcBorders>
                    <w:left w:val="single" w:color="000000" w:sz="4" w:space="0"/>
                    <w:right w:val="single" w:color="000000" w:sz="4" w:space="0"/>
                  </w:tcBorders>
                  <w:vAlign w:val="center"/>
                </w:tcPr>
                <w:p w14:paraId="7326DFA1">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8AC12">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303C6">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8078">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49922">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905B8">
                  <w:pPr>
                    <w:widowControl/>
                    <w:jc w:val="center"/>
                    <w:textAlignment w:val="center"/>
                    <w:rPr>
                      <w:szCs w:val="21"/>
                    </w:rPr>
                  </w:pPr>
                  <w:r>
                    <w:rPr>
                      <w:rFonts w:hint="eastAsia"/>
                      <w:szCs w:val="21"/>
                    </w:rPr>
                    <w:t>45.26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2F6CF">
                  <w:pPr>
                    <w:widowControl/>
                    <w:jc w:val="center"/>
                    <w:textAlignment w:val="center"/>
                    <w:rPr>
                      <w:szCs w:val="21"/>
                    </w:rPr>
                  </w:pPr>
                  <w:r>
                    <w:rPr>
                      <w:rFonts w:hint="eastAsia"/>
                      <w:szCs w:val="21"/>
                    </w:rPr>
                    <w:t>45.31</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475D2">
                  <w:pPr>
                    <w:widowControl/>
                    <w:jc w:val="center"/>
                    <w:textAlignment w:val="center"/>
                    <w:rPr>
                      <w:szCs w:val="21"/>
                    </w:rPr>
                  </w:pPr>
                  <w:r>
                    <w:rPr>
                      <w:rFonts w:hint="eastAsia"/>
                      <w:szCs w:val="21"/>
                    </w:rPr>
                    <w:t>45.26</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57CEB">
                  <w:pPr>
                    <w:widowControl/>
                    <w:jc w:val="center"/>
                    <w:textAlignment w:val="center"/>
                    <w:rPr>
                      <w:szCs w:val="21"/>
                    </w:rPr>
                  </w:pPr>
                  <w:r>
                    <w:rPr>
                      <w:rFonts w:hint="eastAsia"/>
                      <w:szCs w:val="21"/>
                    </w:rPr>
                    <w:t>45.31</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B90C">
                  <w:pPr>
                    <w:widowControl/>
                    <w:jc w:val="center"/>
                    <w:textAlignment w:val="center"/>
                    <w:rPr>
                      <w:szCs w:val="21"/>
                    </w:rPr>
                  </w:pPr>
                  <w:r>
                    <w:rPr>
                      <w:kern w:val="0"/>
                      <w:szCs w:val="21"/>
                      <w:lang w:bidi="ar"/>
                    </w:rPr>
                    <w:t>1</w:t>
                  </w:r>
                </w:p>
              </w:tc>
            </w:tr>
            <w:tr w14:paraId="4E38FED2">
              <w:tblPrEx>
                <w:tblCellMar>
                  <w:top w:w="0" w:type="dxa"/>
                  <w:left w:w="23" w:type="dxa"/>
                  <w:bottom w:w="0" w:type="dxa"/>
                  <w:right w:w="23" w:type="dxa"/>
                </w:tblCellMar>
              </w:tblPrEx>
              <w:trPr>
                <w:trHeight w:val="318" w:hRule="atLeast"/>
              </w:trPr>
              <w:tc>
                <w:tcPr>
                  <w:tcW w:w="182" w:type="pct"/>
                  <w:vMerge w:val="continue"/>
                  <w:tcBorders>
                    <w:left w:val="single" w:color="000000" w:sz="4" w:space="0"/>
                    <w:right w:val="single" w:color="auto" w:sz="4" w:space="0"/>
                  </w:tcBorders>
                  <w:shd w:val="clear" w:color="auto" w:fill="auto"/>
                  <w:vAlign w:val="center"/>
                </w:tcPr>
                <w:p w14:paraId="792BD01D">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7B7ED36A">
                  <w:pPr>
                    <w:widowControl/>
                    <w:jc w:val="center"/>
                    <w:textAlignment w:val="center"/>
                    <w:rPr>
                      <w:rFonts w:ascii="宋体" w:hAnsi="宋体" w:cs="宋体"/>
                      <w:kern w:val="0"/>
                      <w:szCs w:val="21"/>
                      <w:lang w:bidi="ar"/>
                    </w:rPr>
                  </w:pPr>
                  <w:r>
                    <w:rPr>
                      <w:rFonts w:hint="eastAsia" w:ascii="宋体" w:hAnsi="宋体" w:cs="宋体"/>
                      <w:kern w:val="0"/>
                      <w:szCs w:val="21"/>
                      <w:lang w:bidi="ar"/>
                    </w:rPr>
                    <w:t>雾炮机1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F149A">
                  <w:pPr>
                    <w:widowControl/>
                    <w:jc w:val="center"/>
                    <w:textAlignment w:val="center"/>
                    <w:rPr>
                      <w:szCs w:val="21"/>
                    </w:rPr>
                  </w:pPr>
                  <w:r>
                    <w:rPr>
                      <w:rFonts w:hint="eastAsia"/>
                      <w:kern w:val="0"/>
                      <w:szCs w:val="21"/>
                      <w:lang w:bidi="ar"/>
                    </w:rPr>
                    <w:t>7</w:t>
                  </w:r>
                  <w:r>
                    <w:rPr>
                      <w:kern w:val="0"/>
                      <w:szCs w:val="21"/>
                      <w:lang w:bidi="ar"/>
                    </w:rPr>
                    <w:t>0</w:t>
                  </w:r>
                </w:p>
              </w:tc>
              <w:tc>
                <w:tcPr>
                  <w:tcW w:w="175" w:type="pct"/>
                  <w:vMerge w:val="continue"/>
                  <w:tcBorders>
                    <w:left w:val="single" w:color="000000" w:sz="4" w:space="0"/>
                    <w:right w:val="single" w:color="000000" w:sz="4" w:space="0"/>
                  </w:tcBorders>
                  <w:vAlign w:val="center"/>
                </w:tcPr>
                <w:p w14:paraId="3E60DBB3">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8FE33">
                  <w:pPr>
                    <w:widowControl/>
                    <w:jc w:val="center"/>
                    <w:textAlignment w:val="center"/>
                    <w:rPr>
                      <w:szCs w:val="21"/>
                    </w:rPr>
                  </w:pPr>
                  <w:r>
                    <w:rPr>
                      <w:rFonts w:hint="eastAsia"/>
                      <w:szCs w:val="21"/>
                    </w:rPr>
                    <w:t>45.23</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94B03">
                  <w:pPr>
                    <w:widowControl/>
                    <w:jc w:val="center"/>
                    <w:textAlignment w:val="center"/>
                    <w:rPr>
                      <w:szCs w:val="21"/>
                    </w:rPr>
                  </w:pPr>
                  <w:r>
                    <w:rPr>
                      <w:rFonts w:hint="eastAsia"/>
                      <w:szCs w:val="21"/>
                    </w:rPr>
                    <w:t>-165.44</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F510B">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C5EC4">
                  <w:pPr>
                    <w:widowControl/>
                    <w:jc w:val="center"/>
                    <w:textAlignment w:val="center"/>
                    <w:rPr>
                      <w:szCs w:val="21"/>
                    </w:rPr>
                  </w:pPr>
                  <w:r>
                    <w:rPr>
                      <w:rFonts w:hint="eastAsia"/>
                      <w:szCs w:val="21"/>
                    </w:rPr>
                    <w:t>57.7</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DAD0">
                  <w:pPr>
                    <w:widowControl/>
                    <w:jc w:val="center"/>
                    <w:textAlignment w:val="center"/>
                    <w:rPr>
                      <w:szCs w:val="21"/>
                    </w:rPr>
                  </w:pPr>
                  <w:r>
                    <w:rPr>
                      <w:rFonts w:hint="eastAsia"/>
                      <w:szCs w:val="21"/>
                    </w:rPr>
                    <w:t>11.4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74789">
                  <w:pPr>
                    <w:widowControl/>
                    <w:jc w:val="center"/>
                    <w:textAlignment w:val="center"/>
                    <w:rPr>
                      <w:szCs w:val="21"/>
                    </w:rPr>
                  </w:pPr>
                  <w:r>
                    <w:rPr>
                      <w:rFonts w:hint="eastAsia"/>
                      <w:szCs w:val="21"/>
                    </w:rPr>
                    <w:t>59.7</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17E51">
                  <w:pPr>
                    <w:widowControl/>
                    <w:jc w:val="center"/>
                    <w:textAlignment w:val="center"/>
                    <w:rPr>
                      <w:szCs w:val="21"/>
                    </w:rPr>
                  </w:pPr>
                  <w:r>
                    <w:rPr>
                      <w:rFonts w:hint="eastAsia"/>
                      <w:szCs w:val="21"/>
                    </w:rPr>
                    <w:t>14.1</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F7C31">
                  <w:pPr>
                    <w:widowControl/>
                    <w:jc w:val="center"/>
                    <w:textAlignment w:val="center"/>
                    <w:rPr>
                      <w:szCs w:val="21"/>
                    </w:rPr>
                  </w:pPr>
                  <w:r>
                    <w:rPr>
                      <w:rFonts w:hint="eastAsia"/>
                      <w:szCs w:val="21"/>
                    </w:rPr>
                    <w:t>55.26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BB93">
                  <w:pPr>
                    <w:widowControl/>
                    <w:jc w:val="center"/>
                    <w:textAlignment w:val="center"/>
                    <w:rPr>
                      <w:szCs w:val="21"/>
                    </w:rPr>
                  </w:pPr>
                  <w:r>
                    <w:rPr>
                      <w:rFonts w:hint="eastAsia"/>
                      <w:szCs w:val="21"/>
                    </w:rPr>
                    <w:t>55.31</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C06C0">
                  <w:pPr>
                    <w:widowControl/>
                    <w:jc w:val="center"/>
                    <w:textAlignment w:val="center"/>
                    <w:rPr>
                      <w:szCs w:val="21"/>
                    </w:rPr>
                  </w:pPr>
                  <w:r>
                    <w:rPr>
                      <w:rFonts w:hint="eastAsia"/>
                      <w:szCs w:val="21"/>
                    </w:rPr>
                    <w:t>55.31</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353A9">
                  <w:pPr>
                    <w:widowControl/>
                    <w:jc w:val="center"/>
                    <w:textAlignment w:val="center"/>
                    <w:rPr>
                      <w:szCs w:val="21"/>
                    </w:rPr>
                  </w:pPr>
                  <w:r>
                    <w:rPr>
                      <w:rFonts w:hint="eastAsia"/>
                      <w:szCs w:val="21"/>
                    </w:rPr>
                    <w:t>55.26</w:t>
                  </w:r>
                </w:p>
              </w:tc>
              <w:tc>
                <w:tcPr>
                  <w:tcW w:w="171" w:type="pct"/>
                  <w:vMerge w:val="continue"/>
                  <w:tcBorders>
                    <w:left w:val="single" w:color="000000" w:sz="4" w:space="0"/>
                    <w:right w:val="single" w:color="000000" w:sz="4" w:space="0"/>
                  </w:tcBorders>
                  <w:vAlign w:val="center"/>
                </w:tcPr>
                <w:p w14:paraId="5376AD74">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EB0B1">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B58D8">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474B">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B5DA1">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9E4E7">
                  <w:pPr>
                    <w:widowControl/>
                    <w:jc w:val="center"/>
                    <w:textAlignment w:val="center"/>
                    <w:rPr>
                      <w:szCs w:val="21"/>
                    </w:rPr>
                  </w:pPr>
                  <w:r>
                    <w:rPr>
                      <w:rFonts w:hint="eastAsia"/>
                      <w:szCs w:val="21"/>
                    </w:rPr>
                    <w:t>35.26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D36AD">
                  <w:pPr>
                    <w:widowControl/>
                    <w:jc w:val="center"/>
                    <w:textAlignment w:val="center"/>
                    <w:rPr>
                      <w:szCs w:val="21"/>
                    </w:rPr>
                  </w:pPr>
                  <w:r>
                    <w:rPr>
                      <w:rFonts w:hint="eastAsia"/>
                      <w:szCs w:val="21"/>
                    </w:rPr>
                    <w:t>35.31</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CAB8">
                  <w:pPr>
                    <w:widowControl/>
                    <w:jc w:val="center"/>
                    <w:textAlignment w:val="center"/>
                    <w:rPr>
                      <w:szCs w:val="21"/>
                    </w:rPr>
                  </w:pPr>
                  <w:r>
                    <w:rPr>
                      <w:rFonts w:hint="eastAsia"/>
                      <w:szCs w:val="21"/>
                    </w:rPr>
                    <w:t>35.31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ACD4D">
                  <w:pPr>
                    <w:widowControl/>
                    <w:jc w:val="center"/>
                    <w:textAlignment w:val="center"/>
                    <w:rPr>
                      <w:szCs w:val="21"/>
                    </w:rPr>
                  </w:pPr>
                  <w:r>
                    <w:rPr>
                      <w:rFonts w:hint="eastAsia"/>
                      <w:szCs w:val="21"/>
                    </w:rPr>
                    <w:t>35.26</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5C5D3">
                  <w:pPr>
                    <w:widowControl/>
                    <w:jc w:val="center"/>
                    <w:textAlignment w:val="center"/>
                    <w:rPr>
                      <w:szCs w:val="21"/>
                    </w:rPr>
                  </w:pPr>
                  <w:r>
                    <w:rPr>
                      <w:kern w:val="0"/>
                      <w:szCs w:val="21"/>
                      <w:lang w:bidi="ar"/>
                    </w:rPr>
                    <w:t>1</w:t>
                  </w:r>
                </w:p>
              </w:tc>
            </w:tr>
            <w:tr w14:paraId="5999ECDC">
              <w:tblPrEx>
                <w:tblCellMar>
                  <w:top w:w="0" w:type="dxa"/>
                  <w:left w:w="23" w:type="dxa"/>
                  <w:bottom w:w="0" w:type="dxa"/>
                  <w:right w:w="23" w:type="dxa"/>
                </w:tblCellMar>
              </w:tblPrEx>
              <w:trPr>
                <w:trHeight w:val="318" w:hRule="atLeast"/>
              </w:trPr>
              <w:tc>
                <w:tcPr>
                  <w:tcW w:w="182" w:type="pct"/>
                  <w:vMerge w:val="continue"/>
                  <w:tcBorders>
                    <w:left w:val="single" w:color="000000" w:sz="4" w:space="0"/>
                    <w:bottom w:val="single" w:color="000000" w:sz="4" w:space="0"/>
                    <w:right w:val="single" w:color="auto" w:sz="4" w:space="0"/>
                  </w:tcBorders>
                  <w:shd w:val="clear" w:color="auto" w:fill="auto"/>
                  <w:vAlign w:val="center"/>
                </w:tcPr>
                <w:p w14:paraId="3090106E">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070BBE96">
                  <w:pPr>
                    <w:widowControl/>
                    <w:jc w:val="center"/>
                    <w:textAlignment w:val="center"/>
                    <w:rPr>
                      <w:rFonts w:ascii="宋体" w:hAnsi="宋体" w:cs="宋体"/>
                      <w:kern w:val="0"/>
                      <w:szCs w:val="21"/>
                      <w:lang w:bidi="ar"/>
                    </w:rPr>
                  </w:pPr>
                  <w:r>
                    <w:rPr>
                      <w:rFonts w:hint="eastAsia" w:ascii="宋体" w:hAnsi="宋体" w:cs="宋体"/>
                      <w:kern w:val="0"/>
                      <w:szCs w:val="21"/>
                      <w:lang w:bidi="ar"/>
                    </w:rPr>
                    <w:t>通风设备1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D2BF9">
                  <w:pPr>
                    <w:widowControl/>
                    <w:jc w:val="center"/>
                    <w:textAlignment w:val="center"/>
                    <w:rPr>
                      <w:kern w:val="0"/>
                      <w:szCs w:val="21"/>
                      <w:lang w:bidi="ar"/>
                    </w:rPr>
                  </w:pPr>
                  <w:r>
                    <w:rPr>
                      <w:rFonts w:hint="eastAsia"/>
                      <w:kern w:val="0"/>
                      <w:szCs w:val="21"/>
                      <w:lang w:bidi="ar"/>
                    </w:rPr>
                    <w:t>70</w:t>
                  </w:r>
                </w:p>
              </w:tc>
              <w:tc>
                <w:tcPr>
                  <w:tcW w:w="175" w:type="pct"/>
                  <w:vMerge w:val="continue"/>
                  <w:tcBorders>
                    <w:left w:val="single" w:color="000000" w:sz="4" w:space="0"/>
                    <w:right w:val="single" w:color="000000" w:sz="4" w:space="0"/>
                  </w:tcBorders>
                  <w:vAlign w:val="center"/>
                </w:tcPr>
                <w:p w14:paraId="76C17FC1">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8E21">
                  <w:pPr>
                    <w:widowControl/>
                    <w:jc w:val="center"/>
                    <w:textAlignment w:val="center"/>
                    <w:rPr>
                      <w:szCs w:val="21"/>
                    </w:rPr>
                  </w:pPr>
                  <w:r>
                    <w:rPr>
                      <w:rFonts w:hint="eastAsia"/>
                      <w:szCs w:val="21"/>
                    </w:rPr>
                    <w:t>19.81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F2799">
                  <w:pPr>
                    <w:widowControl/>
                    <w:jc w:val="center"/>
                    <w:textAlignment w:val="center"/>
                    <w:rPr>
                      <w:szCs w:val="21"/>
                    </w:rPr>
                  </w:pPr>
                  <w:r>
                    <w:rPr>
                      <w:rFonts w:hint="eastAsia"/>
                      <w:szCs w:val="21"/>
                    </w:rPr>
                    <w:t>-158.57</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55B8C">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8C830">
                  <w:pPr>
                    <w:widowControl/>
                    <w:jc w:val="center"/>
                    <w:textAlignment w:val="center"/>
                    <w:rPr>
                      <w:szCs w:val="21"/>
                    </w:rPr>
                  </w:pPr>
                  <w:r>
                    <w:rPr>
                      <w:rFonts w:hint="eastAsia"/>
                      <w:szCs w:val="21"/>
                    </w:rPr>
                    <w:t>85.0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591F5">
                  <w:pPr>
                    <w:widowControl/>
                    <w:jc w:val="center"/>
                    <w:textAlignment w:val="center"/>
                    <w:rPr>
                      <w:szCs w:val="21"/>
                    </w:rPr>
                  </w:pPr>
                  <w:r>
                    <w:rPr>
                      <w:rFonts w:hint="eastAsia"/>
                      <w:szCs w:val="21"/>
                    </w:rPr>
                    <w:t>11.5</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8CC4">
                  <w:pPr>
                    <w:widowControl/>
                    <w:jc w:val="center"/>
                    <w:textAlignment w:val="center"/>
                    <w:rPr>
                      <w:szCs w:val="21"/>
                    </w:rPr>
                  </w:pPr>
                  <w:r>
                    <w:rPr>
                      <w:rFonts w:hint="eastAsia"/>
                      <w:szCs w:val="21"/>
                    </w:rPr>
                    <w:t>32.4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82BCF">
                  <w:pPr>
                    <w:widowControl/>
                    <w:jc w:val="center"/>
                    <w:textAlignment w:val="center"/>
                    <w:rPr>
                      <w:szCs w:val="21"/>
                    </w:rPr>
                  </w:pPr>
                  <w:r>
                    <w:rPr>
                      <w:rFonts w:hint="eastAsia"/>
                      <w:szCs w:val="21"/>
                    </w:rPr>
                    <w:t>13.6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07562">
                  <w:pPr>
                    <w:widowControl/>
                    <w:jc w:val="center"/>
                    <w:textAlignment w:val="center"/>
                    <w:rPr>
                      <w:szCs w:val="21"/>
                    </w:rPr>
                  </w:pPr>
                  <w:r>
                    <w:rPr>
                      <w:rFonts w:hint="eastAsia"/>
                      <w:szCs w:val="21"/>
                    </w:rPr>
                    <w:t>55.26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3AE87">
                  <w:pPr>
                    <w:widowControl/>
                    <w:jc w:val="center"/>
                    <w:textAlignment w:val="center"/>
                    <w:rPr>
                      <w:szCs w:val="21"/>
                    </w:rPr>
                  </w:pPr>
                  <w:r>
                    <w:rPr>
                      <w:rFonts w:hint="eastAsia"/>
                      <w:szCs w:val="21"/>
                    </w:rPr>
                    <w:t>55.37</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2D7C">
                  <w:pPr>
                    <w:widowControl/>
                    <w:jc w:val="center"/>
                    <w:textAlignment w:val="center"/>
                    <w:rPr>
                      <w:szCs w:val="21"/>
                    </w:rPr>
                  </w:pPr>
                  <w:r>
                    <w:rPr>
                      <w:rFonts w:hint="eastAsia"/>
                      <w:szCs w:val="21"/>
                    </w:rPr>
                    <w:t>55.26</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99F7F">
                  <w:pPr>
                    <w:widowControl/>
                    <w:jc w:val="center"/>
                    <w:textAlignment w:val="center"/>
                    <w:rPr>
                      <w:szCs w:val="21"/>
                    </w:rPr>
                  </w:pPr>
                  <w:r>
                    <w:rPr>
                      <w:rFonts w:hint="eastAsia"/>
                      <w:szCs w:val="21"/>
                    </w:rPr>
                    <w:t>55.3</w:t>
                  </w:r>
                </w:p>
              </w:tc>
              <w:tc>
                <w:tcPr>
                  <w:tcW w:w="171" w:type="pct"/>
                  <w:vMerge w:val="continue"/>
                  <w:tcBorders>
                    <w:left w:val="single" w:color="000000" w:sz="4" w:space="0"/>
                    <w:right w:val="single" w:color="000000" w:sz="4" w:space="0"/>
                  </w:tcBorders>
                  <w:vAlign w:val="center"/>
                </w:tcPr>
                <w:p w14:paraId="0E4A7CD5">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CDF45">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D6BB">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36D72">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3AE69">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BA675">
                  <w:pPr>
                    <w:widowControl/>
                    <w:jc w:val="center"/>
                    <w:textAlignment w:val="center"/>
                    <w:rPr>
                      <w:szCs w:val="21"/>
                    </w:rPr>
                  </w:pPr>
                  <w:r>
                    <w:rPr>
                      <w:rFonts w:hint="eastAsia"/>
                      <w:szCs w:val="21"/>
                    </w:rPr>
                    <w:t>35.26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88523">
                  <w:pPr>
                    <w:widowControl/>
                    <w:jc w:val="center"/>
                    <w:textAlignment w:val="center"/>
                    <w:rPr>
                      <w:szCs w:val="21"/>
                    </w:rPr>
                  </w:pPr>
                  <w:r>
                    <w:rPr>
                      <w:rFonts w:hint="eastAsia"/>
                      <w:szCs w:val="21"/>
                    </w:rPr>
                    <w:t>35.37</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FAAAD">
                  <w:pPr>
                    <w:widowControl/>
                    <w:jc w:val="center"/>
                    <w:textAlignment w:val="center"/>
                    <w:rPr>
                      <w:szCs w:val="21"/>
                    </w:rPr>
                  </w:pPr>
                  <w:r>
                    <w:rPr>
                      <w:rFonts w:hint="eastAsia"/>
                      <w:szCs w:val="21"/>
                    </w:rPr>
                    <w:t>35.26</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CE572">
                  <w:pPr>
                    <w:widowControl/>
                    <w:jc w:val="center"/>
                    <w:textAlignment w:val="center"/>
                    <w:rPr>
                      <w:szCs w:val="21"/>
                    </w:rPr>
                  </w:pPr>
                  <w:r>
                    <w:rPr>
                      <w:rFonts w:hint="eastAsia"/>
                      <w:szCs w:val="21"/>
                    </w:rPr>
                    <w:t>35.3</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6B5E9">
                  <w:pPr>
                    <w:widowControl/>
                    <w:jc w:val="center"/>
                    <w:textAlignment w:val="center"/>
                    <w:rPr>
                      <w:kern w:val="0"/>
                      <w:szCs w:val="21"/>
                      <w:lang w:bidi="ar"/>
                    </w:rPr>
                  </w:pPr>
                </w:p>
              </w:tc>
            </w:tr>
            <w:tr w14:paraId="2EBB6834">
              <w:tblPrEx>
                <w:tblCellMar>
                  <w:top w:w="0" w:type="dxa"/>
                  <w:left w:w="23" w:type="dxa"/>
                  <w:bottom w:w="0" w:type="dxa"/>
                  <w:right w:w="23" w:type="dxa"/>
                </w:tblCellMar>
              </w:tblPrEx>
              <w:trPr>
                <w:trHeight w:val="318" w:hRule="atLeast"/>
              </w:trPr>
              <w:tc>
                <w:tcPr>
                  <w:tcW w:w="182" w:type="pct"/>
                  <w:vMerge w:val="restart"/>
                  <w:tcBorders>
                    <w:left w:val="single" w:color="000000" w:sz="4" w:space="0"/>
                    <w:right w:val="single" w:color="auto" w:sz="4" w:space="0"/>
                  </w:tcBorders>
                  <w:shd w:val="clear" w:color="auto" w:fill="auto"/>
                  <w:vAlign w:val="center"/>
                </w:tcPr>
                <w:p w14:paraId="10411B73">
                  <w:pPr>
                    <w:widowControl/>
                    <w:jc w:val="center"/>
                    <w:textAlignment w:val="center"/>
                    <w:rPr>
                      <w:rFonts w:ascii="宋体" w:hAnsi="宋体" w:cs="宋体"/>
                      <w:szCs w:val="21"/>
                    </w:rPr>
                  </w:pPr>
                  <w:r>
                    <w:rPr>
                      <w:rFonts w:hint="eastAsia" w:ascii="宋体" w:hAnsi="宋体" w:cs="宋体"/>
                      <w:szCs w:val="21"/>
                    </w:rPr>
                    <w:t>东厂房</w:t>
                  </w: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13AB24DC">
                  <w:pPr>
                    <w:widowControl/>
                    <w:jc w:val="center"/>
                    <w:textAlignment w:val="center"/>
                    <w:rPr>
                      <w:rFonts w:ascii="宋体" w:hAnsi="宋体" w:cs="宋体"/>
                      <w:kern w:val="0"/>
                      <w:szCs w:val="21"/>
                      <w:lang w:bidi="ar"/>
                    </w:rPr>
                  </w:pPr>
                  <w:r>
                    <w:rPr>
                      <w:rFonts w:hint="eastAsia" w:ascii="宋体" w:hAnsi="宋体" w:cs="宋体"/>
                      <w:kern w:val="0"/>
                      <w:szCs w:val="21"/>
                      <w:lang w:bidi="ar"/>
                    </w:rPr>
                    <w:t>装载机2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F039A">
                  <w:pPr>
                    <w:widowControl/>
                    <w:jc w:val="center"/>
                    <w:textAlignment w:val="center"/>
                    <w:rPr>
                      <w:kern w:val="0"/>
                      <w:szCs w:val="21"/>
                      <w:lang w:bidi="ar"/>
                    </w:rPr>
                  </w:pPr>
                  <w:r>
                    <w:rPr>
                      <w:rFonts w:hint="eastAsia"/>
                      <w:kern w:val="0"/>
                      <w:szCs w:val="21"/>
                      <w:lang w:bidi="ar"/>
                    </w:rPr>
                    <w:t>85</w:t>
                  </w:r>
                </w:p>
              </w:tc>
              <w:tc>
                <w:tcPr>
                  <w:tcW w:w="175" w:type="pct"/>
                  <w:vMerge w:val="continue"/>
                  <w:tcBorders>
                    <w:left w:val="single" w:color="000000" w:sz="4" w:space="0"/>
                    <w:right w:val="single" w:color="000000" w:sz="4" w:space="0"/>
                  </w:tcBorders>
                  <w:vAlign w:val="center"/>
                </w:tcPr>
                <w:p w14:paraId="245B3B34">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744D">
                  <w:pPr>
                    <w:widowControl/>
                    <w:jc w:val="center"/>
                    <w:textAlignment w:val="center"/>
                    <w:rPr>
                      <w:szCs w:val="21"/>
                    </w:rPr>
                  </w:pPr>
                  <w:r>
                    <w:rPr>
                      <w:rFonts w:hint="eastAsia"/>
                      <w:szCs w:val="21"/>
                    </w:rPr>
                    <w:t>175.76</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2755B">
                  <w:pPr>
                    <w:widowControl/>
                    <w:jc w:val="center"/>
                    <w:textAlignment w:val="center"/>
                    <w:rPr>
                      <w:szCs w:val="21"/>
                    </w:rPr>
                  </w:pPr>
                  <w:r>
                    <w:rPr>
                      <w:rFonts w:hint="eastAsia"/>
                      <w:szCs w:val="21"/>
                    </w:rPr>
                    <w:t>-159.26</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9028C">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DD157">
                  <w:pPr>
                    <w:widowControl/>
                    <w:jc w:val="center"/>
                    <w:textAlignment w:val="center"/>
                    <w:rPr>
                      <w:szCs w:val="21"/>
                    </w:rPr>
                  </w:pPr>
                  <w:r>
                    <w:rPr>
                      <w:rFonts w:hint="eastAsia"/>
                      <w:szCs w:val="21"/>
                    </w:rPr>
                    <w:t>7.5</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EDA7F">
                  <w:pPr>
                    <w:widowControl/>
                    <w:jc w:val="center"/>
                    <w:textAlignment w:val="center"/>
                    <w:rPr>
                      <w:szCs w:val="21"/>
                    </w:rPr>
                  </w:pPr>
                  <w:r>
                    <w:rPr>
                      <w:rFonts w:hint="eastAsia"/>
                      <w:szCs w:val="21"/>
                    </w:rPr>
                    <w:t>62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668A9">
                  <w:pPr>
                    <w:widowControl/>
                    <w:jc w:val="center"/>
                    <w:textAlignment w:val="center"/>
                    <w:rPr>
                      <w:szCs w:val="21"/>
                    </w:rPr>
                  </w:pPr>
                  <w:r>
                    <w:rPr>
                      <w:rFonts w:hint="eastAsia"/>
                      <w:szCs w:val="21"/>
                    </w:rPr>
                    <w:t>7.5</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5388D">
                  <w:pPr>
                    <w:widowControl/>
                    <w:jc w:val="center"/>
                    <w:textAlignment w:val="center"/>
                    <w:rPr>
                      <w:szCs w:val="21"/>
                    </w:rPr>
                  </w:pPr>
                  <w:r>
                    <w:rPr>
                      <w:rFonts w:hint="eastAsia"/>
                      <w:szCs w:val="21"/>
                    </w:rPr>
                    <w:t>5.6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8B088">
                  <w:pPr>
                    <w:widowControl/>
                    <w:jc w:val="center"/>
                    <w:textAlignment w:val="center"/>
                    <w:rPr>
                      <w:szCs w:val="21"/>
                    </w:rPr>
                  </w:pPr>
                  <w:r>
                    <w:rPr>
                      <w:rFonts w:hint="eastAsia"/>
                      <w:szCs w:val="21"/>
                    </w:rPr>
                    <w:t>73.29</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2DAD9">
                  <w:pPr>
                    <w:widowControl/>
                    <w:jc w:val="center"/>
                    <w:textAlignment w:val="center"/>
                    <w:rPr>
                      <w:szCs w:val="21"/>
                    </w:rPr>
                  </w:pPr>
                  <w:r>
                    <w:rPr>
                      <w:rFonts w:hint="eastAsia"/>
                      <w:szCs w:val="21"/>
                    </w:rPr>
                    <w:t>73.25</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83C70">
                  <w:pPr>
                    <w:widowControl/>
                    <w:jc w:val="center"/>
                    <w:textAlignment w:val="center"/>
                    <w:rPr>
                      <w:szCs w:val="21"/>
                    </w:rPr>
                  </w:pPr>
                  <w:r>
                    <w:rPr>
                      <w:rFonts w:hint="eastAsia"/>
                      <w:szCs w:val="21"/>
                    </w:rPr>
                    <w:t>73.29</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664E0">
                  <w:pPr>
                    <w:widowControl/>
                    <w:jc w:val="center"/>
                    <w:textAlignment w:val="center"/>
                    <w:rPr>
                      <w:szCs w:val="21"/>
                    </w:rPr>
                  </w:pPr>
                  <w:r>
                    <w:rPr>
                      <w:rFonts w:hint="eastAsia"/>
                      <w:szCs w:val="21"/>
                    </w:rPr>
                    <w:t>73.35</w:t>
                  </w:r>
                </w:p>
              </w:tc>
              <w:tc>
                <w:tcPr>
                  <w:tcW w:w="171" w:type="pct"/>
                  <w:vMerge w:val="continue"/>
                  <w:tcBorders>
                    <w:left w:val="single" w:color="000000" w:sz="4" w:space="0"/>
                    <w:right w:val="single" w:color="000000" w:sz="4" w:space="0"/>
                  </w:tcBorders>
                  <w:vAlign w:val="center"/>
                </w:tcPr>
                <w:p w14:paraId="7AF33E45">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D6ED8">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8DC79">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2D8E7">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4E186">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49781">
                  <w:pPr>
                    <w:widowControl/>
                    <w:jc w:val="center"/>
                    <w:textAlignment w:val="center"/>
                    <w:rPr>
                      <w:szCs w:val="21"/>
                    </w:rPr>
                  </w:pPr>
                  <w:r>
                    <w:rPr>
                      <w:rFonts w:hint="eastAsia"/>
                      <w:szCs w:val="21"/>
                    </w:rPr>
                    <w:t>53.29</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D8738">
                  <w:pPr>
                    <w:widowControl/>
                    <w:jc w:val="center"/>
                    <w:textAlignment w:val="center"/>
                    <w:rPr>
                      <w:szCs w:val="21"/>
                    </w:rPr>
                  </w:pPr>
                  <w:r>
                    <w:rPr>
                      <w:rFonts w:hint="eastAsia"/>
                      <w:szCs w:val="21"/>
                    </w:rPr>
                    <w:t>53.25</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DEED1">
                  <w:pPr>
                    <w:widowControl/>
                    <w:jc w:val="center"/>
                    <w:textAlignment w:val="center"/>
                    <w:rPr>
                      <w:szCs w:val="21"/>
                    </w:rPr>
                  </w:pPr>
                  <w:r>
                    <w:rPr>
                      <w:rFonts w:hint="eastAsia"/>
                      <w:szCs w:val="21"/>
                    </w:rPr>
                    <w:t>53.29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D6964">
                  <w:pPr>
                    <w:widowControl/>
                    <w:jc w:val="center"/>
                    <w:textAlignment w:val="center"/>
                    <w:rPr>
                      <w:szCs w:val="21"/>
                    </w:rPr>
                  </w:pPr>
                  <w:r>
                    <w:rPr>
                      <w:rFonts w:hint="eastAsia"/>
                      <w:szCs w:val="21"/>
                    </w:rPr>
                    <w:t>53.35</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2C02A">
                  <w:pPr>
                    <w:widowControl/>
                    <w:jc w:val="center"/>
                    <w:textAlignment w:val="center"/>
                    <w:rPr>
                      <w:kern w:val="0"/>
                      <w:szCs w:val="21"/>
                      <w:lang w:bidi="ar"/>
                    </w:rPr>
                  </w:pPr>
                </w:p>
              </w:tc>
            </w:tr>
            <w:tr w14:paraId="4A1DEB8F">
              <w:tblPrEx>
                <w:tblCellMar>
                  <w:top w:w="0" w:type="dxa"/>
                  <w:left w:w="23" w:type="dxa"/>
                  <w:bottom w:w="0" w:type="dxa"/>
                  <w:right w:w="23" w:type="dxa"/>
                </w:tblCellMar>
              </w:tblPrEx>
              <w:trPr>
                <w:trHeight w:val="606" w:hRule="atLeast"/>
              </w:trPr>
              <w:tc>
                <w:tcPr>
                  <w:tcW w:w="182" w:type="pct"/>
                  <w:vMerge w:val="continue"/>
                  <w:tcBorders>
                    <w:left w:val="single" w:color="000000" w:sz="4" w:space="0"/>
                    <w:right w:val="single" w:color="auto" w:sz="4" w:space="0"/>
                  </w:tcBorders>
                  <w:shd w:val="clear" w:color="auto" w:fill="auto"/>
                  <w:vAlign w:val="center"/>
                </w:tcPr>
                <w:p w14:paraId="3CAFE3AE">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6775573D">
                  <w:pPr>
                    <w:widowControl/>
                    <w:jc w:val="center"/>
                    <w:textAlignment w:val="center"/>
                    <w:rPr>
                      <w:rFonts w:ascii="宋体" w:hAnsi="宋体" w:cs="宋体"/>
                      <w:szCs w:val="21"/>
                    </w:rPr>
                  </w:pPr>
                  <w:r>
                    <w:rPr>
                      <w:rFonts w:hint="eastAsia" w:ascii="宋体" w:hAnsi="宋体" w:cs="宋体"/>
                      <w:szCs w:val="21"/>
                    </w:rPr>
                    <w:t>包装机</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45DF0">
                  <w:pPr>
                    <w:widowControl/>
                    <w:jc w:val="center"/>
                    <w:textAlignment w:val="center"/>
                    <w:rPr>
                      <w:szCs w:val="21"/>
                    </w:rPr>
                  </w:pPr>
                  <w:r>
                    <w:rPr>
                      <w:rFonts w:hint="eastAsia"/>
                      <w:kern w:val="0"/>
                      <w:szCs w:val="21"/>
                      <w:lang w:bidi="ar"/>
                    </w:rPr>
                    <w:t>70</w:t>
                  </w:r>
                </w:p>
              </w:tc>
              <w:tc>
                <w:tcPr>
                  <w:tcW w:w="175" w:type="pct"/>
                  <w:vMerge w:val="continue"/>
                  <w:tcBorders>
                    <w:left w:val="single" w:color="000000" w:sz="4" w:space="0"/>
                    <w:right w:val="single" w:color="000000" w:sz="4" w:space="0"/>
                  </w:tcBorders>
                  <w:vAlign w:val="center"/>
                </w:tcPr>
                <w:p w14:paraId="7EAF7012">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4277E">
                  <w:pPr>
                    <w:widowControl/>
                    <w:jc w:val="center"/>
                    <w:textAlignment w:val="center"/>
                    <w:rPr>
                      <w:szCs w:val="21"/>
                    </w:rPr>
                  </w:pPr>
                  <w:r>
                    <w:rPr>
                      <w:rFonts w:hint="eastAsia"/>
                      <w:szCs w:val="21"/>
                    </w:rPr>
                    <w:t>168.89</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C74C">
                  <w:pPr>
                    <w:widowControl/>
                    <w:jc w:val="center"/>
                    <w:textAlignment w:val="center"/>
                    <w:rPr>
                      <w:szCs w:val="21"/>
                    </w:rPr>
                  </w:pPr>
                  <w:r>
                    <w:rPr>
                      <w:rFonts w:hint="eastAsia"/>
                      <w:szCs w:val="21"/>
                    </w:rPr>
                    <w:t>-171.62</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63272">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DEF97">
                  <w:pPr>
                    <w:widowControl/>
                    <w:jc w:val="center"/>
                    <w:textAlignment w:val="center"/>
                    <w:rPr>
                      <w:szCs w:val="21"/>
                    </w:rPr>
                  </w:pPr>
                  <w:r>
                    <w:rPr>
                      <w:rFonts w:hint="eastAsia"/>
                      <w:szCs w:val="21"/>
                    </w:rPr>
                    <w:t>7.3</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D207E">
                  <w:pPr>
                    <w:widowControl/>
                    <w:jc w:val="center"/>
                    <w:textAlignment w:val="center"/>
                    <w:rPr>
                      <w:szCs w:val="21"/>
                    </w:rPr>
                  </w:pPr>
                  <w:r>
                    <w:rPr>
                      <w:rFonts w:hint="eastAsia"/>
                      <w:szCs w:val="21"/>
                    </w:rPr>
                    <w:t>48.7</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B34EF">
                  <w:pPr>
                    <w:widowControl/>
                    <w:jc w:val="center"/>
                    <w:textAlignment w:val="center"/>
                    <w:rPr>
                      <w:szCs w:val="21"/>
                    </w:rPr>
                  </w:pPr>
                  <w:r>
                    <w:rPr>
                      <w:rFonts w:hint="eastAsia"/>
                      <w:szCs w:val="21"/>
                    </w:rPr>
                    <w:t>7.7</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2E762">
                  <w:pPr>
                    <w:widowControl/>
                    <w:jc w:val="center"/>
                    <w:textAlignment w:val="center"/>
                    <w:rPr>
                      <w:szCs w:val="21"/>
                    </w:rPr>
                  </w:pPr>
                  <w:r>
                    <w:rPr>
                      <w:rFonts w:hint="eastAsia"/>
                      <w:szCs w:val="21"/>
                    </w:rPr>
                    <w:t>18.9</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B8070">
                  <w:pPr>
                    <w:widowControl/>
                    <w:jc w:val="center"/>
                    <w:textAlignment w:val="center"/>
                    <w:rPr>
                      <w:szCs w:val="21"/>
                    </w:rPr>
                  </w:pPr>
                  <w:r>
                    <w:rPr>
                      <w:rFonts w:hint="eastAsia"/>
                      <w:szCs w:val="21"/>
                    </w:rPr>
                    <w:t>58.3</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3C050">
                  <w:pPr>
                    <w:widowControl/>
                    <w:jc w:val="center"/>
                    <w:textAlignment w:val="center"/>
                    <w:rPr>
                      <w:szCs w:val="21"/>
                    </w:rPr>
                  </w:pPr>
                  <w:r>
                    <w:rPr>
                      <w:rFonts w:hint="eastAsia"/>
                      <w:szCs w:val="21"/>
                    </w:rPr>
                    <w:t>58.25</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12F16">
                  <w:pPr>
                    <w:widowControl/>
                    <w:jc w:val="center"/>
                    <w:textAlignment w:val="center"/>
                    <w:rPr>
                      <w:szCs w:val="21"/>
                    </w:rPr>
                  </w:pPr>
                  <w:r>
                    <w:rPr>
                      <w:rFonts w:hint="eastAsia"/>
                      <w:szCs w:val="21"/>
                    </w:rPr>
                    <w:t>58.26</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038FF">
                  <w:pPr>
                    <w:widowControl/>
                    <w:jc w:val="center"/>
                    <w:textAlignment w:val="center"/>
                    <w:rPr>
                      <w:szCs w:val="21"/>
                    </w:rPr>
                  </w:pPr>
                  <w:r>
                    <w:rPr>
                      <w:rFonts w:hint="eastAsia"/>
                      <w:szCs w:val="21"/>
                    </w:rPr>
                    <w:t>58.26</w:t>
                  </w:r>
                </w:p>
              </w:tc>
              <w:tc>
                <w:tcPr>
                  <w:tcW w:w="171" w:type="pct"/>
                  <w:vMerge w:val="continue"/>
                  <w:tcBorders>
                    <w:left w:val="single" w:color="000000" w:sz="4" w:space="0"/>
                    <w:right w:val="single" w:color="000000" w:sz="4" w:space="0"/>
                  </w:tcBorders>
                  <w:vAlign w:val="center"/>
                </w:tcPr>
                <w:p w14:paraId="29702BC5">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50D9">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45C4D">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F8E3">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E77F7">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59A9F">
                  <w:pPr>
                    <w:widowControl/>
                    <w:jc w:val="center"/>
                    <w:textAlignment w:val="center"/>
                    <w:rPr>
                      <w:szCs w:val="21"/>
                    </w:rPr>
                  </w:pPr>
                  <w:r>
                    <w:rPr>
                      <w:rFonts w:hint="eastAsia"/>
                      <w:szCs w:val="21"/>
                    </w:rPr>
                    <w:t>38.3</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09111">
                  <w:pPr>
                    <w:widowControl/>
                    <w:jc w:val="center"/>
                    <w:textAlignment w:val="center"/>
                    <w:rPr>
                      <w:szCs w:val="21"/>
                    </w:rPr>
                  </w:pPr>
                  <w:r>
                    <w:rPr>
                      <w:rFonts w:hint="eastAsia"/>
                      <w:szCs w:val="21"/>
                    </w:rPr>
                    <w:t>38.25</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63119">
                  <w:pPr>
                    <w:widowControl/>
                    <w:jc w:val="center"/>
                    <w:textAlignment w:val="center"/>
                    <w:rPr>
                      <w:szCs w:val="21"/>
                    </w:rPr>
                  </w:pPr>
                  <w:r>
                    <w:rPr>
                      <w:rFonts w:hint="eastAsia"/>
                      <w:szCs w:val="21"/>
                    </w:rPr>
                    <w:t>38.26</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245C0">
                  <w:pPr>
                    <w:widowControl/>
                    <w:jc w:val="center"/>
                    <w:textAlignment w:val="center"/>
                    <w:rPr>
                      <w:szCs w:val="21"/>
                    </w:rPr>
                  </w:pPr>
                  <w:r>
                    <w:rPr>
                      <w:rFonts w:hint="eastAsia"/>
                      <w:szCs w:val="21"/>
                    </w:rPr>
                    <w:t>38.26</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270A6">
                  <w:pPr>
                    <w:widowControl/>
                    <w:jc w:val="center"/>
                    <w:textAlignment w:val="center"/>
                    <w:rPr>
                      <w:szCs w:val="21"/>
                    </w:rPr>
                  </w:pPr>
                  <w:r>
                    <w:rPr>
                      <w:kern w:val="0"/>
                      <w:szCs w:val="21"/>
                      <w:lang w:bidi="ar"/>
                    </w:rPr>
                    <w:t>1</w:t>
                  </w:r>
                </w:p>
              </w:tc>
            </w:tr>
            <w:tr w14:paraId="0BF78E8C">
              <w:tblPrEx>
                <w:tblCellMar>
                  <w:top w:w="0" w:type="dxa"/>
                  <w:left w:w="23" w:type="dxa"/>
                  <w:bottom w:w="0" w:type="dxa"/>
                  <w:right w:w="23" w:type="dxa"/>
                </w:tblCellMar>
              </w:tblPrEx>
              <w:trPr>
                <w:trHeight w:val="606" w:hRule="atLeast"/>
              </w:trPr>
              <w:tc>
                <w:tcPr>
                  <w:tcW w:w="182" w:type="pct"/>
                  <w:vMerge w:val="continue"/>
                  <w:tcBorders>
                    <w:left w:val="single" w:color="000000" w:sz="4" w:space="0"/>
                    <w:right w:val="single" w:color="auto" w:sz="4" w:space="0"/>
                  </w:tcBorders>
                  <w:shd w:val="clear" w:color="auto" w:fill="auto"/>
                  <w:vAlign w:val="center"/>
                </w:tcPr>
                <w:p w14:paraId="1EE9260C">
                  <w:pPr>
                    <w:widowControl/>
                    <w:jc w:val="center"/>
                    <w:textAlignment w:val="center"/>
                    <w:rPr>
                      <w:rFonts w:ascii="宋体" w:hAnsi="宋体" w:cs="宋体"/>
                      <w:kern w:val="0"/>
                      <w:szCs w:val="21"/>
                      <w:lang w:bidi="ar"/>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104CD656">
                  <w:pPr>
                    <w:widowControl/>
                    <w:jc w:val="center"/>
                    <w:textAlignment w:val="center"/>
                    <w:rPr>
                      <w:rFonts w:ascii="宋体" w:hAnsi="宋体" w:cs="宋体"/>
                      <w:kern w:val="0"/>
                      <w:szCs w:val="21"/>
                      <w:lang w:bidi="ar"/>
                    </w:rPr>
                  </w:pPr>
                  <w:r>
                    <w:rPr>
                      <w:rFonts w:hint="eastAsia" w:ascii="宋体" w:hAnsi="宋体" w:cs="宋体"/>
                      <w:kern w:val="0"/>
                      <w:szCs w:val="21"/>
                      <w:lang w:bidi="ar"/>
                    </w:rPr>
                    <w:t>雾炮机2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2440E">
                  <w:pPr>
                    <w:widowControl/>
                    <w:jc w:val="center"/>
                    <w:textAlignment w:val="center"/>
                    <w:rPr>
                      <w:kern w:val="0"/>
                      <w:szCs w:val="21"/>
                      <w:lang w:bidi="ar"/>
                    </w:rPr>
                  </w:pPr>
                  <w:r>
                    <w:rPr>
                      <w:rFonts w:hint="eastAsia"/>
                      <w:kern w:val="0"/>
                      <w:szCs w:val="21"/>
                      <w:lang w:bidi="ar"/>
                    </w:rPr>
                    <w:t>70</w:t>
                  </w:r>
                </w:p>
              </w:tc>
              <w:tc>
                <w:tcPr>
                  <w:tcW w:w="175" w:type="pct"/>
                  <w:vMerge w:val="continue"/>
                  <w:tcBorders>
                    <w:left w:val="single" w:color="000000" w:sz="4" w:space="0"/>
                    <w:right w:val="single" w:color="000000" w:sz="4" w:space="0"/>
                  </w:tcBorders>
                  <w:vAlign w:val="center"/>
                </w:tcPr>
                <w:p w14:paraId="4C122438">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482C4">
                  <w:pPr>
                    <w:widowControl/>
                    <w:jc w:val="center"/>
                    <w:textAlignment w:val="center"/>
                    <w:rPr>
                      <w:szCs w:val="21"/>
                    </w:rPr>
                  </w:pPr>
                  <w:r>
                    <w:rPr>
                      <w:rFonts w:hint="eastAsia"/>
                      <w:szCs w:val="21"/>
                    </w:rPr>
                    <w:t>157.9</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DA88B">
                  <w:pPr>
                    <w:widowControl/>
                    <w:jc w:val="center"/>
                    <w:textAlignment w:val="center"/>
                    <w:rPr>
                      <w:szCs w:val="21"/>
                    </w:rPr>
                  </w:pPr>
                  <w:r>
                    <w:rPr>
                      <w:rFonts w:hint="eastAsia"/>
                      <w:szCs w:val="21"/>
                    </w:rPr>
                    <w:t>-189.49</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5FACC">
                  <w:pPr>
                    <w:widowControl/>
                    <w:jc w:val="center"/>
                    <w:textAlignment w:val="center"/>
                    <w:rPr>
                      <w:kern w:val="0"/>
                      <w:szCs w:val="21"/>
                      <w:lang w:bidi="ar"/>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B3DD8">
                  <w:pPr>
                    <w:widowControl/>
                    <w:jc w:val="center"/>
                    <w:textAlignment w:val="center"/>
                    <w:rPr>
                      <w:kern w:val="0"/>
                      <w:szCs w:val="21"/>
                      <w:lang w:bidi="ar"/>
                    </w:rPr>
                  </w:pPr>
                  <w:r>
                    <w:rPr>
                      <w:rFonts w:hint="eastAsia"/>
                      <w:szCs w:val="21"/>
                    </w:rPr>
                    <w:t>8.5</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35FF">
                  <w:pPr>
                    <w:widowControl/>
                    <w:jc w:val="center"/>
                    <w:textAlignment w:val="center"/>
                    <w:rPr>
                      <w:kern w:val="0"/>
                      <w:szCs w:val="21"/>
                      <w:lang w:bidi="ar"/>
                    </w:rPr>
                  </w:pPr>
                  <w:r>
                    <w:rPr>
                      <w:rFonts w:hint="eastAsia"/>
                      <w:szCs w:val="21"/>
                    </w:rPr>
                    <w:t>15.4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EA1FD">
                  <w:pPr>
                    <w:widowControl/>
                    <w:jc w:val="center"/>
                    <w:textAlignment w:val="center"/>
                    <w:rPr>
                      <w:kern w:val="0"/>
                      <w:szCs w:val="21"/>
                      <w:lang w:bidi="ar"/>
                    </w:rPr>
                  </w:pPr>
                  <w:r>
                    <w:rPr>
                      <w:rFonts w:hint="eastAsia"/>
                      <w:szCs w:val="21"/>
                    </w:rPr>
                    <w:t>8.1</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58068">
                  <w:pPr>
                    <w:widowControl/>
                    <w:jc w:val="center"/>
                    <w:textAlignment w:val="center"/>
                    <w:rPr>
                      <w:kern w:val="0"/>
                      <w:szCs w:val="21"/>
                      <w:lang w:bidi="ar"/>
                    </w:rPr>
                  </w:pPr>
                  <w:r>
                    <w:rPr>
                      <w:rFonts w:hint="eastAsia"/>
                      <w:szCs w:val="21"/>
                    </w:rPr>
                    <w:t>51.6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AEF21">
                  <w:pPr>
                    <w:widowControl/>
                    <w:jc w:val="center"/>
                    <w:textAlignment w:val="center"/>
                    <w:rPr>
                      <w:kern w:val="0"/>
                      <w:szCs w:val="21"/>
                      <w:lang w:bidi="ar"/>
                    </w:rPr>
                  </w:pPr>
                  <w:r>
                    <w:rPr>
                      <w:rFonts w:hint="eastAsia"/>
                      <w:kern w:val="0"/>
                      <w:szCs w:val="21"/>
                      <w:lang w:bidi="ar"/>
                    </w:rPr>
                    <w:t>58.31</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49C6C">
                  <w:pPr>
                    <w:widowControl/>
                    <w:jc w:val="center"/>
                    <w:textAlignment w:val="center"/>
                    <w:rPr>
                      <w:kern w:val="0"/>
                      <w:szCs w:val="21"/>
                      <w:lang w:bidi="ar"/>
                    </w:rPr>
                  </w:pPr>
                  <w:r>
                    <w:rPr>
                      <w:rFonts w:hint="eastAsia"/>
                      <w:kern w:val="0"/>
                      <w:szCs w:val="21"/>
                      <w:lang w:bidi="ar"/>
                    </w:rPr>
                    <w:t>58.25</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D73D">
                  <w:pPr>
                    <w:widowControl/>
                    <w:jc w:val="center"/>
                    <w:textAlignment w:val="center"/>
                    <w:rPr>
                      <w:kern w:val="0"/>
                      <w:szCs w:val="21"/>
                      <w:lang w:bidi="ar"/>
                    </w:rPr>
                  </w:pPr>
                  <w:r>
                    <w:rPr>
                      <w:rFonts w:hint="eastAsia"/>
                      <w:kern w:val="0"/>
                      <w:szCs w:val="21"/>
                      <w:lang w:bidi="ar"/>
                    </w:rPr>
                    <w:t>58.3</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81EED">
                  <w:pPr>
                    <w:widowControl/>
                    <w:jc w:val="center"/>
                    <w:textAlignment w:val="center"/>
                    <w:rPr>
                      <w:kern w:val="0"/>
                      <w:szCs w:val="21"/>
                      <w:lang w:bidi="ar"/>
                    </w:rPr>
                  </w:pPr>
                  <w:r>
                    <w:rPr>
                      <w:rFonts w:hint="eastAsia"/>
                      <w:kern w:val="0"/>
                      <w:szCs w:val="21"/>
                      <w:lang w:bidi="ar"/>
                    </w:rPr>
                    <w:t>58.25</w:t>
                  </w:r>
                </w:p>
              </w:tc>
              <w:tc>
                <w:tcPr>
                  <w:tcW w:w="171" w:type="pct"/>
                  <w:vMerge w:val="continue"/>
                  <w:tcBorders>
                    <w:left w:val="single" w:color="000000" w:sz="4" w:space="0"/>
                    <w:right w:val="single" w:color="000000" w:sz="4" w:space="0"/>
                  </w:tcBorders>
                  <w:vAlign w:val="center"/>
                </w:tcPr>
                <w:p w14:paraId="37AF2299">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96EE3">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50FDE">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9ADDD">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55613">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43274">
                  <w:pPr>
                    <w:widowControl/>
                    <w:jc w:val="center"/>
                    <w:textAlignment w:val="center"/>
                    <w:rPr>
                      <w:kern w:val="0"/>
                      <w:szCs w:val="21"/>
                      <w:lang w:bidi="ar"/>
                    </w:rPr>
                  </w:pPr>
                  <w:r>
                    <w:rPr>
                      <w:rFonts w:hint="eastAsia"/>
                      <w:kern w:val="0"/>
                      <w:szCs w:val="21"/>
                      <w:lang w:bidi="ar"/>
                    </w:rPr>
                    <w:t>38.31</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72A0A">
                  <w:pPr>
                    <w:widowControl/>
                    <w:jc w:val="center"/>
                    <w:textAlignment w:val="center"/>
                    <w:rPr>
                      <w:kern w:val="0"/>
                      <w:szCs w:val="21"/>
                      <w:lang w:bidi="ar"/>
                    </w:rPr>
                  </w:pPr>
                  <w:r>
                    <w:rPr>
                      <w:rFonts w:hint="eastAsia"/>
                      <w:kern w:val="0"/>
                      <w:szCs w:val="21"/>
                      <w:lang w:bidi="ar"/>
                    </w:rPr>
                    <w:t>38.25</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20D4E">
                  <w:pPr>
                    <w:widowControl/>
                    <w:jc w:val="center"/>
                    <w:textAlignment w:val="center"/>
                    <w:rPr>
                      <w:kern w:val="0"/>
                      <w:szCs w:val="21"/>
                      <w:lang w:bidi="ar"/>
                    </w:rPr>
                  </w:pPr>
                  <w:r>
                    <w:rPr>
                      <w:rFonts w:hint="eastAsia"/>
                      <w:kern w:val="0"/>
                      <w:szCs w:val="21"/>
                      <w:lang w:bidi="ar"/>
                    </w:rPr>
                    <w:t>38.3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DBE2A">
                  <w:pPr>
                    <w:widowControl/>
                    <w:jc w:val="center"/>
                    <w:textAlignment w:val="center"/>
                    <w:rPr>
                      <w:kern w:val="0"/>
                      <w:szCs w:val="21"/>
                      <w:lang w:bidi="ar"/>
                    </w:rPr>
                  </w:pPr>
                  <w:r>
                    <w:rPr>
                      <w:rFonts w:hint="eastAsia"/>
                      <w:kern w:val="0"/>
                      <w:szCs w:val="21"/>
                      <w:lang w:bidi="ar"/>
                    </w:rPr>
                    <w:t>38.25</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E02A">
                  <w:pPr>
                    <w:widowControl/>
                    <w:jc w:val="center"/>
                    <w:textAlignment w:val="center"/>
                    <w:rPr>
                      <w:kern w:val="0"/>
                      <w:szCs w:val="21"/>
                      <w:lang w:bidi="ar"/>
                    </w:rPr>
                  </w:pPr>
                  <w:r>
                    <w:rPr>
                      <w:rFonts w:hint="eastAsia"/>
                      <w:kern w:val="0"/>
                      <w:szCs w:val="21"/>
                      <w:lang w:bidi="ar"/>
                    </w:rPr>
                    <w:t>1</w:t>
                  </w:r>
                </w:p>
              </w:tc>
            </w:tr>
            <w:tr w14:paraId="2E21FE89">
              <w:tblPrEx>
                <w:tblCellMar>
                  <w:top w:w="0" w:type="dxa"/>
                  <w:left w:w="23" w:type="dxa"/>
                  <w:bottom w:w="0" w:type="dxa"/>
                  <w:right w:w="23" w:type="dxa"/>
                </w:tblCellMar>
              </w:tblPrEx>
              <w:trPr>
                <w:trHeight w:val="606" w:hRule="atLeast"/>
              </w:trPr>
              <w:tc>
                <w:tcPr>
                  <w:tcW w:w="182" w:type="pct"/>
                  <w:vMerge w:val="continue"/>
                  <w:tcBorders>
                    <w:left w:val="single" w:color="000000" w:sz="4" w:space="0"/>
                    <w:bottom w:val="single" w:color="000000" w:sz="4" w:space="0"/>
                    <w:right w:val="single" w:color="auto" w:sz="4" w:space="0"/>
                  </w:tcBorders>
                  <w:shd w:val="clear" w:color="auto" w:fill="auto"/>
                  <w:vAlign w:val="center"/>
                </w:tcPr>
                <w:p w14:paraId="1BFA8096">
                  <w:pPr>
                    <w:widowControl/>
                    <w:jc w:val="center"/>
                    <w:textAlignment w:val="center"/>
                    <w:rPr>
                      <w:rFonts w:ascii="宋体" w:hAnsi="宋体" w:cs="宋体"/>
                      <w:kern w:val="0"/>
                      <w:szCs w:val="21"/>
                      <w:lang w:bidi="ar"/>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5357E4C9">
                  <w:pPr>
                    <w:widowControl/>
                    <w:jc w:val="center"/>
                    <w:textAlignment w:val="center"/>
                    <w:rPr>
                      <w:rFonts w:ascii="宋体" w:hAnsi="宋体" w:cs="宋体"/>
                      <w:kern w:val="0"/>
                      <w:szCs w:val="21"/>
                      <w:lang w:bidi="ar"/>
                    </w:rPr>
                  </w:pPr>
                  <w:r>
                    <w:rPr>
                      <w:rFonts w:hint="eastAsia" w:ascii="宋体" w:hAnsi="宋体" w:cs="宋体"/>
                      <w:kern w:val="0"/>
                      <w:szCs w:val="21"/>
                      <w:lang w:bidi="ar"/>
                    </w:rPr>
                    <w:t>通风设备2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4EEB5">
                  <w:pPr>
                    <w:widowControl/>
                    <w:jc w:val="center"/>
                    <w:textAlignment w:val="center"/>
                    <w:rPr>
                      <w:kern w:val="0"/>
                      <w:szCs w:val="21"/>
                      <w:lang w:bidi="ar"/>
                    </w:rPr>
                  </w:pPr>
                  <w:r>
                    <w:rPr>
                      <w:rFonts w:hint="eastAsia"/>
                      <w:kern w:val="0"/>
                      <w:szCs w:val="21"/>
                      <w:lang w:bidi="ar"/>
                    </w:rPr>
                    <w:t>70</w:t>
                  </w:r>
                </w:p>
              </w:tc>
              <w:tc>
                <w:tcPr>
                  <w:tcW w:w="175" w:type="pct"/>
                  <w:vMerge w:val="continue"/>
                  <w:tcBorders>
                    <w:left w:val="single" w:color="000000" w:sz="4" w:space="0"/>
                    <w:bottom w:val="single" w:color="000000" w:sz="4" w:space="0"/>
                    <w:right w:val="single" w:color="000000" w:sz="4" w:space="0"/>
                  </w:tcBorders>
                  <w:vAlign w:val="center"/>
                </w:tcPr>
                <w:p w14:paraId="71647B7C">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D6A8">
                  <w:pPr>
                    <w:widowControl/>
                    <w:jc w:val="center"/>
                    <w:textAlignment w:val="center"/>
                    <w:rPr>
                      <w:szCs w:val="21"/>
                    </w:rPr>
                  </w:pPr>
                  <w:r>
                    <w:rPr>
                      <w:rFonts w:hint="eastAsia"/>
                      <w:szCs w:val="21"/>
                    </w:rPr>
                    <w:t>151.03</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1CC1F">
                  <w:pPr>
                    <w:widowControl/>
                    <w:jc w:val="center"/>
                    <w:textAlignment w:val="center"/>
                    <w:rPr>
                      <w:szCs w:val="21"/>
                    </w:rPr>
                  </w:pPr>
                  <w:r>
                    <w:rPr>
                      <w:rFonts w:hint="eastAsia"/>
                      <w:szCs w:val="21"/>
                    </w:rPr>
                    <w:t>-203.23</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CCC3F">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0DF2B">
                  <w:pPr>
                    <w:widowControl/>
                    <w:jc w:val="center"/>
                    <w:textAlignment w:val="center"/>
                    <w:rPr>
                      <w:szCs w:val="21"/>
                    </w:rPr>
                  </w:pPr>
                  <w:r>
                    <w:rPr>
                      <w:rFonts w:hint="eastAsia"/>
                      <w:szCs w:val="21"/>
                    </w:rPr>
                    <w:t>7.8</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56FD">
                  <w:pPr>
                    <w:widowControl/>
                    <w:jc w:val="center"/>
                    <w:textAlignment w:val="center"/>
                    <w:rPr>
                      <w:szCs w:val="21"/>
                    </w:rPr>
                  </w:pPr>
                  <w:r>
                    <w:rPr>
                      <w:rFonts w:hint="eastAsia"/>
                      <w:szCs w:val="21"/>
                    </w:rPr>
                    <w:t>32.2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39348">
                  <w:pPr>
                    <w:widowControl/>
                    <w:jc w:val="center"/>
                    <w:textAlignment w:val="center"/>
                    <w:rPr>
                      <w:szCs w:val="21"/>
                    </w:rPr>
                  </w:pPr>
                  <w:r>
                    <w:rPr>
                      <w:rFonts w:hint="eastAsia"/>
                      <w:szCs w:val="21"/>
                    </w:rPr>
                    <w:t>7.2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2D02">
                  <w:pPr>
                    <w:widowControl/>
                    <w:jc w:val="center"/>
                    <w:textAlignment w:val="center"/>
                    <w:rPr>
                      <w:szCs w:val="21"/>
                    </w:rPr>
                  </w:pPr>
                  <w:r>
                    <w:rPr>
                      <w:rFonts w:hint="eastAsia"/>
                      <w:szCs w:val="21"/>
                    </w:rPr>
                    <w:t>35.4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E593A">
                  <w:pPr>
                    <w:widowControl/>
                    <w:jc w:val="center"/>
                    <w:textAlignment w:val="center"/>
                    <w:rPr>
                      <w:szCs w:val="21"/>
                    </w:rPr>
                  </w:pPr>
                  <w:r>
                    <w:rPr>
                      <w:rFonts w:hint="eastAsia"/>
                      <w:szCs w:val="21"/>
                    </w:rPr>
                    <w:t>58.31</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9E3CD">
                  <w:pPr>
                    <w:widowControl/>
                    <w:jc w:val="center"/>
                    <w:textAlignment w:val="center"/>
                    <w:rPr>
                      <w:szCs w:val="21"/>
                    </w:rPr>
                  </w:pPr>
                  <w:r>
                    <w:rPr>
                      <w:rFonts w:hint="eastAsia"/>
                      <w:szCs w:val="21"/>
                    </w:rPr>
                    <w:t>58.27</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ADE3C">
                  <w:pPr>
                    <w:widowControl/>
                    <w:jc w:val="center"/>
                    <w:textAlignment w:val="center"/>
                    <w:rPr>
                      <w:szCs w:val="21"/>
                    </w:rPr>
                  </w:pPr>
                  <w:r>
                    <w:rPr>
                      <w:rFonts w:hint="eastAsia"/>
                      <w:szCs w:val="21"/>
                    </w:rPr>
                    <w:t>58.29</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0E6EE">
                  <w:pPr>
                    <w:widowControl/>
                    <w:jc w:val="center"/>
                    <w:textAlignment w:val="center"/>
                    <w:rPr>
                      <w:szCs w:val="21"/>
                    </w:rPr>
                  </w:pPr>
                  <w:r>
                    <w:rPr>
                      <w:rFonts w:hint="eastAsia"/>
                      <w:szCs w:val="21"/>
                    </w:rPr>
                    <w:t>58.25</w:t>
                  </w:r>
                </w:p>
              </w:tc>
              <w:tc>
                <w:tcPr>
                  <w:tcW w:w="171" w:type="pct"/>
                  <w:vMerge w:val="continue"/>
                  <w:tcBorders>
                    <w:left w:val="single" w:color="000000" w:sz="4" w:space="0"/>
                    <w:bottom w:val="single" w:color="000000" w:sz="4" w:space="0"/>
                    <w:right w:val="single" w:color="000000" w:sz="4" w:space="0"/>
                  </w:tcBorders>
                  <w:vAlign w:val="center"/>
                </w:tcPr>
                <w:p w14:paraId="6CC13FEB">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6D67D">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DE486">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137D">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32CEC">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FA34D">
                  <w:pPr>
                    <w:widowControl/>
                    <w:jc w:val="center"/>
                    <w:textAlignment w:val="center"/>
                    <w:rPr>
                      <w:szCs w:val="21"/>
                    </w:rPr>
                  </w:pPr>
                  <w:r>
                    <w:rPr>
                      <w:rFonts w:hint="eastAsia"/>
                      <w:szCs w:val="21"/>
                    </w:rPr>
                    <w:t>38.31</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3A222">
                  <w:pPr>
                    <w:widowControl/>
                    <w:jc w:val="center"/>
                    <w:textAlignment w:val="center"/>
                    <w:rPr>
                      <w:szCs w:val="21"/>
                    </w:rPr>
                  </w:pPr>
                  <w:r>
                    <w:rPr>
                      <w:rFonts w:hint="eastAsia"/>
                      <w:szCs w:val="21"/>
                    </w:rPr>
                    <w:t>38.27</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B3D30">
                  <w:pPr>
                    <w:widowControl/>
                    <w:jc w:val="center"/>
                    <w:textAlignment w:val="center"/>
                    <w:rPr>
                      <w:szCs w:val="21"/>
                    </w:rPr>
                  </w:pPr>
                  <w:r>
                    <w:rPr>
                      <w:rFonts w:hint="eastAsia"/>
                      <w:szCs w:val="21"/>
                    </w:rPr>
                    <w:t>38.29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36AEA">
                  <w:pPr>
                    <w:widowControl/>
                    <w:jc w:val="center"/>
                    <w:textAlignment w:val="center"/>
                    <w:rPr>
                      <w:szCs w:val="21"/>
                    </w:rPr>
                  </w:pPr>
                  <w:r>
                    <w:rPr>
                      <w:rFonts w:hint="eastAsia"/>
                      <w:szCs w:val="21"/>
                    </w:rPr>
                    <w:t>38.25</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274A4">
                  <w:pPr>
                    <w:widowControl/>
                    <w:jc w:val="center"/>
                    <w:textAlignment w:val="center"/>
                    <w:rPr>
                      <w:kern w:val="0"/>
                      <w:szCs w:val="21"/>
                      <w:lang w:bidi="ar"/>
                    </w:rPr>
                  </w:pPr>
                </w:p>
              </w:tc>
            </w:tr>
          </w:tbl>
          <w:p w14:paraId="3487F5F5">
            <w:pPr>
              <w:pStyle w:val="8"/>
              <w:spacing w:before="0" w:after="0" w:line="240" w:lineRule="auto"/>
              <w:ind w:firstLine="1767" w:firstLineChars="800"/>
              <w:rPr>
                <w:b/>
                <w:bCs/>
                <w:spacing w:val="5"/>
                <w:sz w:val="21"/>
                <w:szCs w:val="21"/>
              </w:rPr>
            </w:pPr>
          </w:p>
          <w:p w14:paraId="0175A888">
            <w:pPr>
              <w:spacing w:line="360" w:lineRule="auto"/>
              <w:ind w:firstLine="482" w:firstLineChars="200"/>
              <w:rPr>
                <w:b/>
                <w:bCs/>
                <w:sz w:val="24"/>
              </w:rPr>
            </w:pPr>
            <w:r>
              <w:rPr>
                <w:rFonts w:hint="eastAsia"/>
                <w:b/>
                <w:bCs/>
                <w:sz w:val="24"/>
              </w:rPr>
              <w:t>2、预测范围、点位与评价因子</w:t>
            </w:r>
          </w:p>
          <w:p w14:paraId="0883CF62">
            <w:pPr>
              <w:spacing w:line="360" w:lineRule="auto"/>
              <w:ind w:firstLine="480" w:firstLineChars="200"/>
              <w:rPr>
                <w:sz w:val="24"/>
              </w:rPr>
            </w:pPr>
            <w:r>
              <w:rPr>
                <w:rFonts w:hint="eastAsia"/>
                <w:sz w:val="24"/>
              </w:rPr>
              <w:t>①噪声预测范围为：厂界外1m。</w:t>
            </w:r>
          </w:p>
          <w:p w14:paraId="7F29B93F">
            <w:pPr>
              <w:spacing w:line="360" w:lineRule="auto"/>
              <w:ind w:firstLine="480" w:firstLineChars="200"/>
              <w:rPr>
                <w:sz w:val="24"/>
              </w:rPr>
            </w:pPr>
            <w:r>
              <w:rPr>
                <w:rFonts w:hint="eastAsia"/>
                <w:sz w:val="24"/>
              </w:rPr>
              <w:t>②预测点位：噪声分别预测东、西厂房厂界东西南北4个厂界处贡献值。</w:t>
            </w:r>
          </w:p>
          <w:p w14:paraId="2BAD3613">
            <w:pPr>
              <w:spacing w:line="360" w:lineRule="auto"/>
              <w:ind w:firstLine="480" w:firstLineChars="200"/>
              <w:rPr>
                <w:sz w:val="24"/>
              </w:rPr>
            </w:pPr>
            <w:r>
              <w:rPr>
                <w:rFonts w:hint="eastAsia"/>
                <w:sz w:val="24"/>
              </w:rPr>
              <w:t>③噪声预测因子：昼夜等效连续A声级。</w:t>
            </w:r>
          </w:p>
          <w:p w14:paraId="41F3F7B3">
            <w:pPr>
              <w:spacing w:line="360" w:lineRule="auto"/>
              <w:ind w:firstLine="482" w:firstLineChars="200"/>
              <w:rPr>
                <w:b/>
                <w:bCs/>
                <w:sz w:val="24"/>
              </w:rPr>
            </w:pPr>
            <w:r>
              <w:rPr>
                <w:rFonts w:hint="eastAsia"/>
                <w:b/>
                <w:bCs/>
                <w:sz w:val="24"/>
              </w:rPr>
              <w:t>3、</w:t>
            </w:r>
            <w:r>
              <w:rPr>
                <w:b/>
                <w:bCs/>
                <w:sz w:val="24"/>
              </w:rPr>
              <w:t>声环境影响预测</w:t>
            </w:r>
          </w:p>
          <w:p w14:paraId="4C52EB01">
            <w:pPr>
              <w:spacing w:line="360" w:lineRule="auto"/>
              <w:ind w:firstLine="482" w:firstLineChars="200"/>
              <w:rPr>
                <w:b/>
                <w:bCs/>
                <w:sz w:val="24"/>
              </w:rPr>
            </w:pPr>
            <w:r>
              <w:rPr>
                <w:b/>
                <w:bCs/>
                <w:sz w:val="24"/>
              </w:rPr>
              <w:t>（1）建筑物插入损失计算</w:t>
            </w:r>
          </w:p>
          <w:p w14:paraId="30A50D23">
            <w:pPr>
              <w:spacing w:line="360" w:lineRule="auto"/>
              <w:ind w:firstLine="480" w:firstLineChars="200"/>
              <w:rPr>
                <w:sz w:val="24"/>
              </w:rPr>
            </w:pPr>
            <w:r>
              <w:rPr>
                <w:sz w:val="24"/>
              </w:rPr>
              <w:t>根据《环境影响评</w:t>
            </w:r>
            <w:r>
              <w:rPr>
                <w:kern w:val="0"/>
                <w:sz w:val="24"/>
                <w:lang w:bidi="ar"/>
              </w:rPr>
              <w:t>价技术导则 声环境》（HJ2.4-2021）</w:t>
            </w:r>
            <w:r>
              <w:rPr>
                <w:sz w:val="24"/>
              </w:rPr>
              <w:t>附录B可知，室内声源可采用等效室外声源声功率级法进行计算。设靠近开口处（或窗户）室内、室外某倍频带的声压级分别为L</w:t>
            </w:r>
            <w:r>
              <w:rPr>
                <w:sz w:val="24"/>
                <w:vertAlign w:val="subscript"/>
              </w:rPr>
              <w:t>P1</w:t>
            </w:r>
            <w:r>
              <w:rPr>
                <w:sz w:val="24"/>
              </w:rPr>
              <w:t>和L</w:t>
            </w:r>
            <w:r>
              <w:rPr>
                <w:sz w:val="24"/>
                <w:vertAlign w:val="subscript"/>
              </w:rPr>
              <w:t>P2</w:t>
            </w:r>
            <w:r>
              <w:rPr>
                <w:sz w:val="24"/>
              </w:rPr>
              <w:t>。若声源所在室内声场为近似扩散声场，则室外的倍频带声压级可按以下公式近似求出：</w:t>
            </w:r>
          </w:p>
          <w:p w14:paraId="2FAF6872">
            <w:pPr>
              <w:snapToGrid w:val="0"/>
              <w:spacing w:line="360" w:lineRule="auto"/>
              <w:ind w:firstLine="480" w:firstLineChars="200"/>
              <w:jc w:val="center"/>
              <w:rPr>
                <w:sz w:val="24"/>
              </w:rPr>
            </w:pPr>
            <w:r>
              <w:rPr>
                <w:sz w:val="24"/>
              </w:rPr>
              <w:t>L</w:t>
            </w:r>
            <w:r>
              <w:rPr>
                <w:sz w:val="24"/>
                <w:vertAlign w:val="subscript"/>
              </w:rPr>
              <w:t>P2</w:t>
            </w:r>
            <w:r>
              <w:rPr>
                <w:sz w:val="24"/>
              </w:rPr>
              <w:t>＝L</w:t>
            </w:r>
            <w:r>
              <w:rPr>
                <w:sz w:val="24"/>
                <w:vertAlign w:val="subscript"/>
              </w:rPr>
              <w:t>P1</w:t>
            </w:r>
            <w:r>
              <w:rPr>
                <w:sz w:val="24"/>
              </w:rPr>
              <w:t>-（TL+6）</w:t>
            </w:r>
          </w:p>
          <w:p w14:paraId="4F39DC91">
            <w:pPr>
              <w:spacing w:line="360" w:lineRule="auto"/>
              <w:ind w:firstLine="480" w:firstLineChars="200"/>
              <w:rPr>
                <w:sz w:val="24"/>
              </w:rPr>
            </w:pPr>
            <w:r>
              <w:rPr>
                <w:sz w:val="24"/>
              </w:rPr>
              <w:t>式中：TL—隔墙（或窗户）倍频带的隔声量，dB。</w:t>
            </w:r>
          </w:p>
          <w:p w14:paraId="4E2AB763">
            <w:pPr>
              <w:spacing w:line="360" w:lineRule="auto"/>
              <w:ind w:firstLine="480" w:firstLineChars="200"/>
              <w:rPr>
                <w:sz w:val="24"/>
              </w:rPr>
            </w:pPr>
            <w:r>
              <w:rPr>
                <w:sz w:val="24"/>
              </w:rPr>
              <w:t>综上可知，建筑物插入损失等于建筑物隔音量+6。根据《环境工程手册 环境噪声控制卷》表4-14可知，单层板平均隔声量为20.5dB（A），本项目设备设置减振装置，</w:t>
            </w:r>
            <w:r>
              <w:rPr>
                <w:rFonts w:hint="eastAsia"/>
                <w:sz w:val="24"/>
              </w:rPr>
              <w:t>厂房为</w:t>
            </w:r>
            <w:r>
              <w:rPr>
                <w:sz w:val="24"/>
              </w:rPr>
              <w:t>钢架结构厂房，综合考虑，本项目建筑物隔音量选取</w:t>
            </w:r>
            <w:r>
              <w:rPr>
                <w:rFonts w:hint="eastAsia"/>
                <w:sz w:val="24"/>
              </w:rPr>
              <w:t>9</w:t>
            </w:r>
            <w:r>
              <w:rPr>
                <w:sz w:val="24"/>
              </w:rPr>
              <w:t>dB（A），则建筑物插入损失即为</w:t>
            </w:r>
            <w:r>
              <w:rPr>
                <w:rFonts w:hint="eastAsia"/>
                <w:sz w:val="24"/>
              </w:rPr>
              <w:t>20</w:t>
            </w:r>
            <w:r>
              <w:rPr>
                <w:sz w:val="24"/>
              </w:rPr>
              <w:t>dB（A）。</w:t>
            </w:r>
          </w:p>
          <w:p w14:paraId="72F5E7DB">
            <w:pPr>
              <w:widowControl/>
              <w:spacing w:line="360" w:lineRule="auto"/>
              <w:ind w:firstLine="482" w:firstLineChars="200"/>
              <w:rPr>
                <w:b/>
                <w:bCs/>
                <w:kern w:val="0"/>
                <w:sz w:val="24"/>
                <w:lang w:bidi="ar"/>
              </w:rPr>
            </w:pPr>
            <w:r>
              <w:rPr>
                <w:b/>
                <w:bCs/>
                <w:sz w:val="24"/>
              </w:rPr>
              <w:t>（2）</w:t>
            </w:r>
            <w:r>
              <w:rPr>
                <w:b/>
                <w:bCs/>
                <w:kern w:val="0"/>
                <w:sz w:val="24"/>
                <w:lang w:bidi="ar"/>
              </w:rPr>
              <w:t>噪声预测模式及方法</w:t>
            </w:r>
          </w:p>
          <w:p w14:paraId="228AB993">
            <w:pPr>
              <w:widowControl/>
              <w:spacing w:line="360" w:lineRule="auto"/>
              <w:ind w:firstLine="480" w:firstLineChars="200"/>
              <w:rPr>
                <w:kern w:val="0"/>
                <w:sz w:val="24"/>
                <w:lang w:bidi="ar"/>
              </w:rPr>
            </w:pPr>
            <w:r>
              <w:rPr>
                <w:kern w:val="0"/>
                <w:sz w:val="24"/>
                <w:lang w:bidi="ar"/>
              </w:rPr>
              <w:t>根据《环境影响评价技术导则 声环境》（HJ2.4-2021）中规定，本项目选用导则中附录A、B中给定的噪声预测模型，在不能取得声源倍频带声功率级或倍频带声压级，只能获得A声功率级或某点的A声级时，可用A声功率级或某点的A声级计算。</w:t>
            </w:r>
          </w:p>
          <w:p w14:paraId="5780143D">
            <w:pPr>
              <w:widowControl/>
              <w:spacing w:line="360" w:lineRule="auto"/>
              <w:ind w:firstLine="482" w:firstLineChars="200"/>
              <w:rPr>
                <w:b/>
                <w:bCs/>
                <w:kern w:val="0"/>
                <w:sz w:val="24"/>
                <w:lang w:bidi="ar"/>
              </w:rPr>
            </w:pPr>
            <w:r>
              <w:rPr>
                <w:b/>
                <w:bCs/>
                <w:kern w:val="0"/>
                <w:sz w:val="24"/>
                <w:lang w:bidi="ar"/>
              </w:rPr>
              <w:t>1）基本公式</w:t>
            </w:r>
          </w:p>
          <w:p w14:paraId="4C55BC0B">
            <w:pPr>
              <w:widowControl/>
              <w:spacing w:line="360" w:lineRule="auto"/>
              <w:jc w:val="center"/>
              <w:rPr>
                <w:kern w:val="0"/>
                <w:sz w:val="24"/>
                <w:lang w:bidi="ar"/>
              </w:rPr>
            </w:pPr>
            <w:r>
              <w:rPr>
                <w:kern w:val="0"/>
                <w:sz w:val="24"/>
                <w:lang w:bidi="ar"/>
              </w:rPr>
              <w:t>Lp(r)=Lw+DC-(Adiv++Aatm+Agr+Abar+Amisc)</w:t>
            </w:r>
          </w:p>
          <w:p w14:paraId="233DEB58">
            <w:pPr>
              <w:widowControl/>
              <w:spacing w:line="360" w:lineRule="auto"/>
              <w:ind w:firstLine="480" w:firstLineChars="200"/>
              <w:rPr>
                <w:kern w:val="0"/>
                <w:sz w:val="24"/>
                <w:lang w:bidi="ar"/>
              </w:rPr>
            </w:pPr>
            <w:r>
              <w:rPr>
                <w:kern w:val="0"/>
                <w:sz w:val="24"/>
                <w:lang w:bidi="ar"/>
              </w:rPr>
              <w:t>式中Lp(r)——预测点处声压级，dB；</w:t>
            </w:r>
          </w:p>
          <w:p w14:paraId="49FAAEF3">
            <w:pPr>
              <w:widowControl/>
              <w:spacing w:line="360" w:lineRule="auto"/>
              <w:ind w:firstLine="960" w:firstLineChars="400"/>
              <w:rPr>
                <w:kern w:val="0"/>
                <w:sz w:val="24"/>
                <w:lang w:bidi="ar"/>
              </w:rPr>
            </w:pPr>
            <w:r>
              <w:rPr>
                <w:kern w:val="0"/>
                <w:sz w:val="24"/>
                <w:lang w:bidi="ar"/>
              </w:rPr>
              <w:t>Lw——由点声源产生的声功率级（A计权或倍频带），dB；</w:t>
            </w:r>
          </w:p>
          <w:p w14:paraId="68E66B8C">
            <w:pPr>
              <w:widowControl/>
              <w:spacing w:line="360" w:lineRule="auto"/>
              <w:ind w:firstLine="960" w:firstLineChars="400"/>
              <w:rPr>
                <w:kern w:val="0"/>
                <w:sz w:val="24"/>
                <w:lang w:bidi="ar"/>
              </w:rPr>
            </w:pPr>
            <w:r>
              <w:rPr>
                <w:kern w:val="0"/>
                <w:sz w:val="24"/>
                <w:lang w:bidi="ar"/>
              </w:rPr>
              <w:t>DC——指向性校正，它描述点声源的等效连续声压级与产生声功率级Lw的全向点声源在规定方向的声级的偏差程度，dB；</w:t>
            </w:r>
          </w:p>
          <w:p w14:paraId="66AB8AD7">
            <w:pPr>
              <w:widowControl/>
              <w:spacing w:line="360" w:lineRule="auto"/>
              <w:ind w:firstLine="960" w:firstLineChars="400"/>
              <w:rPr>
                <w:kern w:val="0"/>
                <w:sz w:val="24"/>
                <w:lang w:bidi="ar"/>
              </w:rPr>
            </w:pPr>
            <w:r>
              <w:rPr>
                <w:kern w:val="0"/>
                <w:sz w:val="24"/>
                <w:lang w:bidi="ar"/>
              </w:rPr>
              <w:t>Adiv——几何发散引起的衰减，dB；</w:t>
            </w:r>
          </w:p>
          <w:p w14:paraId="3312405B">
            <w:pPr>
              <w:widowControl/>
              <w:spacing w:line="360" w:lineRule="auto"/>
              <w:ind w:firstLine="960" w:firstLineChars="400"/>
              <w:rPr>
                <w:kern w:val="0"/>
                <w:sz w:val="24"/>
                <w:lang w:bidi="ar"/>
              </w:rPr>
            </w:pPr>
            <w:r>
              <w:rPr>
                <w:kern w:val="0"/>
                <w:sz w:val="24"/>
                <w:lang w:bidi="ar"/>
              </w:rPr>
              <w:t>Aatm——大气吸收引起的衰减，dB；</w:t>
            </w:r>
          </w:p>
          <w:p w14:paraId="50A8B38E">
            <w:pPr>
              <w:widowControl/>
              <w:spacing w:line="360" w:lineRule="auto"/>
              <w:ind w:firstLine="960" w:firstLineChars="400"/>
              <w:rPr>
                <w:kern w:val="0"/>
                <w:sz w:val="24"/>
                <w:lang w:bidi="ar"/>
              </w:rPr>
            </w:pPr>
            <w:r>
              <w:rPr>
                <w:kern w:val="0"/>
                <w:sz w:val="24"/>
                <w:lang w:bidi="ar"/>
              </w:rPr>
              <w:t>Agr——地面效应引起的衰减，dB；</w:t>
            </w:r>
          </w:p>
          <w:p w14:paraId="44E8A371">
            <w:pPr>
              <w:widowControl/>
              <w:spacing w:line="360" w:lineRule="auto"/>
              <w:ind w:firstLine="960" w:firstLineChars="400"/>
              <w:rPr>
                <w:kern w:val="0"/>
                <w:sz w:val="24"/>
                <w:lang w:bidi="ar"/>
              </w:rPr>
            </w:pPr>
            <w:r>
              <w:rPr>
                <w:kern w:val="0"/>
                <w:sz w:val="24"/>
                <w:lang w:bidi="ar"/>
              </w:rPr>
              <w:t>Abar——障碍物屏蔽引起的衰减，dB；</w:t>
            </w:r>
          </w:p>
          <w:p w14:paraId="0546BB3F">
            <w:pPr>
              <w:spacing w:line="360" w:lineRule="auto"/>
              <w:rPr>
                <w:sz w:val="24"/>
              </w:rPr>
            </w:pPr>
            <w:r>
              <w:rPr>
                <w:kern w:val="0"/>
                <w:sz w:val="24"/>
                <w:lang w:bidi="ar"/>
              </w:rPr>
              <w:t>Amisc——其他多方面效应引起的衰减，dB。</w:t>
            </w:r>
          </w:p>
          <w:p w14:paraId="0BDA2993">
            <w:pPr>
              <w:widowControl/>
              <w:spacing w:line="360" w:lineRule="auto"/>
              <w:ind w:firstLine="482" w:firstLineChars="200"/>
              <w:rPr>
                <w:b/>
                <w:bCs/>
                <w:kern w:val="0"/>
                <w:sz w:val="24"/>
                <w:lang w:bidi="ar"/>
              </w:rPr>
            </w:pPr>
            <w:r>
              <w:rPr>
                <w:b/>
                <w:bCs/>
                <w:kern w:val="0"/>
                <w:sz w:val="24"/>
                <w:lang w:bidi="ar"/>
              </w:rPr>
              <w:t>2）预测条件假设</w:t>
            </w:r>
          </w:p>
          <w:p w14:paraId="2DB04CCB">
            <w:pPr>
              <w:widowControl/>
              <w:spacing w:line="360" w:lineRule="auto"/>
              <w:ind w:firstLine="480" w:firstLineChars="200"/>
              <w:rPr>
                <w:kern w:val="0"/>
                <w:sz w:val="24"/>
                <w:lang w:bidi="ar"/>
              </w:rPr>
            </w:pPr>
            <w:r>
              <w:rPr>
                <w:kern w:val="0"/>
                <w:sz w:val="24"/>
                <w:lang w:bidi="ar"/>
              </w:rPr>
              <w:t>①所有产噪设备均在正常工况条件下运行；</w:t>
            </w:r>
          </w:p>
          <w:p w14:paraId="6D933C4D">
            <w:pPr>
              <w:widowControl/>
              <w:spacing w:line="360" w:lineRule="auto"/>
              <w:ind w:firstLine="480" w:firstLineChars="200"/>
              <w:rPr>
                <w:kern w:val="0"/>
                <w:sz w:val="24"/>
                <w:lang w:bidi="ar"/>
              </w:rPr>
            </w:pPr>
            <w:r>
              <w:rPr>
                <w:kern w:val="0"/>
                <w:sz w:val="24"/>
                <w:lang w:bidi="ar"/>
              </w:rPr>
              <w:t>②考虑室内声源所在厂房围护结构的隔声、吸声作用；</w:t>
            </w:r>
          </w:p>
          <w:p w14:paraId="75977346">
            <w:pPr>
              <w:widowControl/>
              <w:spacing w:line="360" w:lineRule="auto"/>
              <w:ind w:firstLine="480" w:firstLineChars="200"/>
              <w:rPr>
                <w:kern w:val="0"/>
                <w:sz w:val="24"/>
                <w:lang w:bidi="ar"/>
              </w:rPr>
            </w:pPr>
            <w:r>
              <w:rPr>
                <w:kern w:val="0"/>
                <w:sz w:val="24"/>
                <w:lang w:bidi="ar"/>
              </w:rPr>
              <w:t>③衰减仅考虑几何发散衰减。</w:t>
            </w:r>
          </w:p>
          <w:p w14:paraId="710137CD">
            <w:pPr>
              <w:widowControl/>
              <w:spacing w:line="360" w:lineRule="auto"/>
              <w:ind w:firstLine="482" w:firstLineChars="200"/>
              <w:rPr>
                <w:b/>
                <w:bCs/>
                <w:kern w:val="0"/>
                <w:sz w:val="24"/>
                <w:lang w:bidi="ar"/>
              </w:rPr>
            </w:pPr>
            <w:r>
              <w:rPr>
                <w:b/>
                <w:bCs/>
                <w:kern w:val="0"/>
                <w:sz w:val="24"/>
                <w:lang w:bidi="ar"/>
              </w:rPr>
              <w:t>3）室内声源</w:t>
            </w:r>
          </w:p>
          <w:p w14:paraId="03F0EC30">
            <w:pPr>
              <w:widowControl/>
              <w:spacing w:line="360" w:lineRule="auto"/>
              <w:ind w:firstLine="480" w:firstLineChars="200"/>
              <w:rPr>
                <w:kern w:val="0"/>
                <w:sz w:val="24"/>
                <w:lang w:bidi="ar"/>
              </w:rPr>
            </w:pPr>
            <w:r>
              <w:rPr>
                <w:kern w:val="0"/>
                <w:sz w:val="24"/>
                <w:lang w:bidi="ar"/>
              </w:rPr>
              <w:t>室内声源由室内向室外传播示意图见下图。</w:t>
            </w:r>
          </w:p>
          <w:p w14:paraId="55C81B4B">
            <w:pPr>
              <w:widowControl/>
              <w:spacing w:line="360" w:lineRule="auto"/>
              <w:jc w:val="center"/>
              <w:rPr>
                <w:kern w:val="0"/>
                <w:sz w:val="24"/>
                <w:lang w:bidi="ar"/>
              </w:rPr>
            </w:pPr>
            <w:r>
              <w:rPr>
                <w:sz w:val="24"/>
              </w:rPr>
              <w:drawing>
                <wp:inline distT="0" distB="0" distL="114300" distR="114300">
                  <wp:extent cx="3716655" cy="1722120"/>
                  <wp:effectExtent l="0" t="0" r="1714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3716655" cy="1722120"/>
                          </a:xfrm>
                          <a:prstGeom prst="rect">
                            <a:avLst/>
                          </a:prstGeom>
                          <a:noFill/>
                          <a:ln>
                            <a:noFill/>
                          </a:ln>
                        </pic:spPr>
                      </pic:pic>
                    </a:graphicData>
                  </a:graphic>
                </wp:inline>
              </w:drawing>
            </w:r>
          </w:p>
          <w:p w14:paraId="645D7FCF">
            <w:pPr>
              <w:widowControl/>
              <w:spacing w:line="360" w:lineRule="auto"/>
              <w:jc w:val="center"/>
              <w:rPr>
                <w:kern w:val="0"/>
                <w:sz w:val="24"/>
                <w:lang w:bidi="ar"/>
              </w:rPr>
            </w:pPr>
            <w:r>
              <w:rPr>
                <w:b/>
                <w:bCs/>
                <w:kern w:val="0"/>
                <w:sz w:val="24"/>
                <w:lang w:bidi="ar"/>
              </w:rPr>
              <w:t>室内声源由室内向室外传播示意图</w:t>
            </w:r>
          </w:p>
          <w:p w14:paraId="5AABC138">
            <w:pPr>
              <w:widowControl/>
              <w:spacing w:line="360" w:lineRule="auto"/>
              <w:ind w:firstLine="480" w:firstLineChars="200"/>
              <w:rPr>
                <w:kern w:val="0"/>
                <w:sz w:val="24"/>
                <w:lang w:bidi="ar"/>
              </w:rPr>
            </w:pPr>
            <w:r>
              <w:rPr>
                <w:kern w:val="0"/>
                <w:sz w:val="24"/>
                <w:lang w:bidi="ar"/>
              </w:rPr>
              <w:t>①如果已知声源的声压级L(r0)，且声源位于地面上，则</w:t>
            </w:r>
          </w:p>
          <w:p w14:paraId="3D565E89">
            <w:pPr>
              <w:widowControl/>
              <w:spacing w:line="360" w:lineRule="auto"/>
              <w:jc w:val="center"/>
              <w:rPr>
                <w:kern w:val="0"/>
                <w:sz w:val="24"/>
                <w:lang w:bidi="ar"/>
              </w:rPr>
            </w:pPr>
            <w:r>
              <w:rPr>
                <w:kern w:val="0"/>
                <w:sz w:val="24"/>
                <w:lang w:bidi="ar"/>
              </w:rPr>
              <w:t>L</w:t>
            </w:r>
            <w:r>
              <w:rPr>
                <w:kern w:val="0"/>
                <w:sz w:val="24"/>
                <w:vertAlign w:val="subscript"/>
                <w:lang w:bidi="ar"/>
              </w:rPr>
              <w:t>w</w:t>
            </w:r>
            <w:r>
              <w:rPr>
                <w:kern w:val="0"/>
                <w:sz w:val="24"/>
                <w:lang w:bidi="ar"/>
              </w:rPr>
              <w:t>=L(r0)+20lgr</w:t>
            </w:r>
            <w:r>
              <w:rPr>
                <w:kern w:val="0"/>
                <w:sz w:val="24"/>
                <w:vertAlign w:val="subscript"/>
                <w:lang w:bidi="ar"/>
              </w:rPr>
              <w:t>0</w:t>
            </w:r>
            <w:r>
              <w:rPr>
                <w:kern w:val="0"/>
                <w:sz w:val="24"/>
                <w:lang w:bidi="ar"/>
              </w:rPr>
              <w:t>+8</w:t>
            </w:r>
          </w:p>
          <w:p w14:paraId="036E08C8">
            <w:pPr>
              <w:widowControl/>
              <w:spacing w:line="360" w:lineRule="auto"/>
              <w:ind w:firstLine="480" w:firstLineChars="200"/>
              <w:rPr>
                <w:kern w:val="0"/>
                <w:sz w:val="24"/>
                <w:lang w:bidi="ar"/>
              </w:rPr>
            </w:pPr>
            <w:r>
              <w:rPr>
                <w:kern w:val="0"/>
                <w:sz w:val="24"/>
                <w:lang w:bidi="ar"/>
              </w:rPr>
              <w:t>②首先计算出某个室内声源靠近围护结构处的声压级：</w:t>
            </w:r>
          </w:p>
          <w:p w14:paraId="56DB8793">
            <w:pPr>
              <w:widowControl/>
              <w:spacing w:line="360" w:lineRule="auto"/>
              <w:jc w:val="center"/>
              <w:rPr>
                <w:kern w:val="0"/>
                <w:sz w:val="24"/>
                <w:lang w:bidi="ar"/>
              </w:rPr>
            </w:pPr>
            <w:r>
              <w:rPr>
                <w:sz w:val="24"/>
              </w:rPr>
              <w:drawing>
                <wp:inline distT="0" distB="0" distL="114300" distR="114300">
                  <wp:extent cx="2840355" cy="676275"/>
                  <wp:effectExtent l="0" t="0" r="1714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2840355" cy="676275"/>
                          </a:xfrm>
                          <a:prstGeom prst="rect">
                            <a:avLst/>
                          </a:prstGeom>
                          <a:noFill/>
                          <a:ln>
                            <a:noFill/>
                          </a:ln>
                        </pic:spPr>
                      </pic:pic>
                    </a:graphicData>
                  </a:graphic>
                </wp:inline>
              </w:drawing>
            </w:r>
          </w:p>
          <w:p w14:paraId="31BA15EE">
            <w:pPr>
              <w:widowControl/>
              <w:spacing w:line="360" w:lineRule="auto"/>
              <w:ind w:firstLine="480" w:firstLineChars="200"/>
              <w:rPr>
                <w:kern w:val="0"/>
                <w:sz w:val="24"/>
                <w:lang w:bidi="ar"/>
              </w:rPr>
            </w:pPr>
            <w:r>
              <w:rPr>
                <w:kern w:val="0"/>
                <w:sz w:val="24"/>
                <w:lang w:bidi="ar"/>
              </w:rPr>
              <w:t>式中：L</w:t>
            </w:r>
            <w:r>
              <w:rPr>
                <w:kern w:val="0"/>
                <w:sz w:val="24"/>
                <w:vertAlign w:val="subscript"/>
                <w:lang w:bidi="ar"/>
              </w:rPr>
              <w:t>p1</w:t>
            </w:r>
            <w:r>
              <w:rPr>
                <w:kern w:val="0"/>
                <w:sz w:val="24"/>
                <w:lang w:bidi="ar"/>
              </w:rPr>
              <w:t>——某个室内声源靠近围护结构处的声压级。</w:t>
            </w:r>
          </w:p>
          <w:p w14:paraId="63B2BF9D">
            <w:pPr>
              <w:widowControl/>
              <w:spacing w:line="360" w:lineRule="auto"/>
              <w:ind w:firstLine="1200" w:firstLineChars="500"/>
              <w:rPr>
                <w:kern w:val="0"/>
                <w:sz w:val="24"/>
                <w:lang w:bidi="ar"/>
              </w:rPr>
            </w:pPr>
            <w:r>
              <w:rPr>
                <w:kern w:val="0"/>
                <w:sz w:val="24"/>
                <w:lang w:bidi="ar"/>
              </w:rPr>
              <w:t>Lw——某个室内声源靠近围护结构处产生的声功率级。</w:t>
            </w:r>
          </w:p>
          <w:p w14:paraId="483C213D">
            <w:pPr>
              <w:widowControl/>
              <w:spacing w:line="360" w:lineRule="auto"/>
              <w:ind w:firstLine="1200" w:firstLineChars="500"/>
              <w:rPr>
                <w:kern w:val="0"/>
                <w:sz w:val="24"/>
                <w:lang w:bidi="ar"/>
              </w:rPr>
            </w:pPr>
            <w:r>
              <w:rPr>
                <w:kern w:val="0"/>
                <w:sz w:val="24"/>
                <w:lang w:bidi="ar"/>
              </w:rPr>
              <w:t>Q——指向性因数；通常对无指向性声源，当声源放在房间中心时，Q=1；当放在一面墙的中心时，Q=2；当放在两面墙夹角处时，Q=4；当放在三面墙夹角处时，Q=8。</w:t>
            </w:r>
          </w:p>
          <w:p w14:paraId="39F62AFB">
            <w:pPr>
              <w:widowControl/>
              <w:spacing w:line="360" w:lineRule="auto"/>
              <w:ind w:firstLine="1200" w:firstLineChars="500"/>
              <w:rPr>
                <w:kern w:val="0"/>
                <w:sz w:val="24"/>
                <w:lang w:bidi="ar"/>
              </w:rPr>
            </w:pPr>
            <w:r>
              <w:rPr>
                <w:kern w:val="0"/>
                <w:sz w:val="24"/>
                <w:lang w:bidi="ar"/>
              </w:rPr>
              <w:t>R——房间常数；R=Sa/(1-a)，S为房间内表面面积，m²；a为平均吸声系数，本评价a取0.15。</w:t>
            </w:r>
          </w:p>
          <w:p w14:paraId="49DA4849">
            <w:pPr>
              <w:widowControl/>
              <w:spacing w:line="360" w:lineRule="auto"/>
              <w:ind w:firstLine="1200" w:firstLineChars="500"/>
              <w:rPr>
                <w:kern w:val="0"/>
                <w:sz w:val="24"/>
                <w:lang w:bidi="ar"/>
              </w:rPr>
            </w:pPr>
            <w:r>
              <w:rPr>
                <w:kern w:val="0"/>
                <w:sz w:val="24"/>
                <w:lang w:bidi="ar"/>
              </w:rPr>
              <w:t>r——声源到靠近围护结构某点处的距离，m。</w:t>
            </w:r>
          </w:p>
          <w:p w14:paraId="772C9D58">
            <w:pPr>
              <w:widowControl/>
              <w:spacing w:line="360" w:lineRule="auto"/>
              <w:ind w:firstLine="480" w:firstLineChars="200"/>
              <w:rPr>
                <w:kern w:val="0"/>
                <w:sz w:val="24"/>
                <w:lang w:bidi="ar"/>
              </w:rPr>
            </w:pPr>
            <w:r>
              <w:rPr>
                <w:kern w:val="0"/>
                <w:sz w:val="24"/>
                <w:lang w:bidi="ar"/>
              </w:rPr>
              <w:t>③计算出所有室内声源在围护结构处产生的总声压级：</w:t>
            </w:r>
          </w:p>
          <w:p w14:paraId="43506566">
            <w:pPr>
              <w:adjustRightInd w:val="0"/>
              <w:snapToGrid w:val="0"/>
              <w:spacing w:line="360" w:lineRule="auto"/>
              <w:jc w:val="center"/>
              <w:rPr>
                <w:sz w:val="24"/>
                <w:vertAlign w:val="subscript"/>
              </w:rPr>
            </w:pPr>
            <w:r>
              <w:rPr>
                <w:sz w:val="24"/>
              </w:rPr>
              <w:drawing>
                <wp:inline distT="0" distB="0" distL="114300" distR="114300">
                  <wp:extent cx="3279140" cy="823595"/>
                  <wp:effectExtent l="0" t="0" r="16510"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3279140" cy="823595"/>
                          </a:xfrm>
                          <a:prstGeom prst="rect">
                            <a:avLst/>
                          </a:prstGeom>
                          <a:noFill/>
                          <a:ln>
                            <a:noFill/>
                          </a:ln>
                        </pic:spPr>
                      </pic:pic>
                    </a:graphicData>
                  </a:graphic>
                </wp:inline>
              </w:drawing>
            </w:r>
          </w:p>
          <w:p w14:paraId="2812F06B">
            <w:pPr>
              <w:widowControl/>
              <w:spacing w:line="360" w:lineRule="auto"/>
              <w:ind w:firstLine="480" w:firstLineChars="200"/>
              <w:rPr>
                <w:kern w:val="0"/>
                <w:sz w:val="24"/>
                <w:lang w:bidi="ar"/>
              </w:rPr>
            </w:pPr>
            <w:r>
              <w:rPr>
                <w:kern w:val="0"/>
                <w:sz w:val="24"/>
                <w:lang w:bidi="ar"/>
              </w:rPr>
              <w:t>式中：L</w:t>
            </w:r>
            <w:r>
              <w:rPr>
                <w:kern w:val="0"/>
                <w:sz w:val="24"/>
                <w:vertAlign w:val="subscript"/>
                <w:lang w:bidi="ar"/>
              </w:rPr>
              <w:t>p1i</w:t>
            </w:r>
            <w:r>
              <w:rPr>
                <w:kern w:val="0"/>
                <w:sz w:val="24"/>
                <w:lang w:bidi="ar"/>
              </w:rPr>
              <w:t>（T）——靠近围护结构处室内N个声源i倍频带的叠加声压级，dB；</w:t>
            </w:r>
          </w:p>
          <w:p w14:paraId="70323094">
            <w:pPr>
              <w:widowControl/>
              <w:spacing w:line="360" w:lineRule="auto"/>
              <w:ind w:firstLine="1200" w:firstLineChars="500"/>
              <w:rPr>
                <w:kern w:val="0"/>
                <w:sz w:val="24"/>
                <w:lang w:bidi="ar"/>
              </w:rPr>
            </w:pPr>
            <w:r>
              <w:rPr>
                <w:kern w:val="0"/>
                <w:sz w:val="24"/>
                <w:lang w:bidi="ar"/>
              </w:rPr>
              <w:t>L</w:t>
            </w:r>
            <w:r>
              <w:rPr>
                <w:kern w:val="0"/>
                <w:sz w:val="24"/>
                <w:vertAlign w:val="subscript"/>
                <w:lang w:bidi="ar"/>
              </w:rPr>
              <w:t>plij</w:t>
            </w:r>
            <w:r>
              <w:rPr>
                <w:kern w:val="0"/>
                <w:sz w:val="24"/>
                <w:lang w:bidi="ar"/>
              </w:rPr>
              <w:t>——室内j声源i倍频带的声压级，dB；</w:t>
            </w:r>
          </w:p>
          <w:p w14:paraId="0580576D">
            <w:pPr>
              <w:widowControl/>
              <w:spacing w:line="360" w:lineRule="auto"/>
              <w:ind w:firstLine="1200" w:firstLineChars="500"/>
              <w:rPr>
                <w:kern w:val="0"/>
                <w:sz w:val="24"/>
                <w:lang w:bidi="ar"/>
              </w:rPr>
            </w:pPr>
            <w:r>
              <w:rPr>
                <w:kern w:val="0"/>
                <w:sz w:val="24"/>
                <w:lang w:bidi="ar"/>
              </w:rPr>
              <w:t>N——室内声源总数。</w:t>
            </w:r>
          </w:p>
          <w:p w14:paraId="05449FA8">
            <w:pPr>
              <w:widowControl/>
              <w:spacing w:line="360" w:lineRule="auto"/>
              <w:ind w:firstLine="480" w:firstLineChars="200"/>
              <w:rPr>
                <w:kern w:val="0"/>
                <w:sz w:val="24"/>
                <w:lang w:bidi="ar"/>
              </w:rPr>
            </w:pPr>
            <w:r>
              <w:rPr>
                <w:kern w:val="0"/>
                <w:sz w:val="24"/>
                <w:lang w:bidi="ar"/>
              </w:rPr>
              <w:t>④计算出室外靠近围护结构处的声压级：</w:t>
            </w:r>
          </w:p>
          <w:p w14:paraId="56D7D485">
            <w:pPr>
              <w:adjustRightInd w:val="0"/>
              <w:snapToGrid w:val="0"/>
              <w:spacing w:line="360" w:lineRule="auto"/>
              <w:jc w:val="center"/>
              <w:rPr>
                <w:sz w:val="24"/>
              </w:rPr>
            </w:pPr>
            <w:r>
              <w:rPr>
                <w:sz w:val="24"/>
              </w:rPr>
              <w:t>L</w:t>
            </w:r>
            <w:r>
              <w:rPr>
                <w:sz w:val="24"/>
                <w:vertAlign w:val="subscript"/>
              </w:rPr>
              <w:t>p2</w:t>
            </w:r>
            <w:r>
              <w:rPr>
                <w:sz w:val="24"/>
              </w:rPr>
              <w:t>=L</w:t>
            </w:r>
            <w:r>
              <w:rPr>
                <w:sz w:val="24"/>
                <w:vertAlign w:val="subscript"/>
              </w:rPr>
              <w:t>p1</w:t>
            </w:r>
            <w:r>
              <w:rPr>
                <w:sz w:val="24"/>
              </w:rPr>
              <w:t>-(TL+6)</w:t>
            </w:r>
          </w:p>
          <w:p w14:paraId="38C7B82E">
            <w:pPr>
              <w:adjustRightInd w:val="0"/>
              <w:snapToGrid w:val="0"/>
              <w:spacing w:line="360" w:lineRule="auto"/>
              <w:ind w:firstLine="480" w:firstLineChars="200"/>
              <w:rPr>
                <w:sz w:val="24"/>
              </w:rPr>
            </w:pPr>
            <w:r>
              <w:rPr>
                <w:sz w:val="24"/>
              </w:rPr>
              <w:t>式中：L</w:t>
            </w:r>
            <w:r>
              <w:rPr>
                <w:sz w:val="24"/>
                <w:vertAlign w:val="subscript"/>
              </w:rPr>
              <w:t>p1</w:t>
            </w:r>
            <w:r>
              <w:rPr>
                <w:kern w:val="0"/>
                <w:sz w:val="24"/>
                <w:lang w:bidi="ar"/>
              </w:rPr>
              <w:t>——</w:t>
            </w:r>
            <w:r>
              <w:rPr>
                <w:sz w:val="24"/>
              </w:rPr>
              <w:t>靠近开口处（或窗户）室内某倍频带的声压级或 A 声级，dB；</w:t>
            </w:r>
          </w:p>
          <w:p w14:paraId="784C3DD9">
            <w:pPr>
              <w:adjustRightInd w:val="0"/>
              <w:snapToGrid w:val="0"/>
              <w:spacing w:line="360" w:lineRule="auto"/>
              <w:ind w:firstLine="1200" w:firstLineChars="500"/>
              <w:rPr>
                <w:sz w:val="24"/>
              </w:rPr>
            </w:pPr>
            <w:r>
              <w:rPr>
                <w:sz w:val="24"/>
              </w:rPr>
              <w:t>L</w:t>
            </w:r>
            <w:r>
              <w:rPr>
                <w:sz w:val="24"/>
                <w:vertAlign w:val="subscript"/>
              </w:rPr>
              <w:t>p2</w:t>
            </w:r>
            <w:r>
              <w:rPr>
                <w:kern w:val="0"/>
                <w:sz w:val="24"/>
                <w:lang w:bidi="ar"/>
              </w:rPr>
              <w:t>——</w:t>
            </w:r>
            <w:r>
              <w:rPr>
                <w:sz w:val="24"/>
              </w:rPr>
              <w:t>靠近开口处（或窗户）室外某倍频带的声压级或 A 声级，dB；</w:t>
            </w:r>
          </w:p>
          <w:p w14:paraId="2C65E1AB">
            <w:pPr>
              <w:adjustRightInd w:val="0"/>
              <w:snapToGrid w:val="0"/>
              <w:spacing w:line="360" w:lineRule="auto"/>
              <w:ind w:firstLine="1200" w:firstLineChars="500"/>
              <w:rPr>
                <w:sz w:val="24"/>
              </w:rPr>
            </w:pPr>
            <w:r>
              <w:rPr>
                <w:sz w:val="24"/>
              </w:rPr>
              <w:t>TL</w:t>
            </w:r>
            <w:r>
              <w:rPr>
                <w:kern w:val="0"/>
                <w:sz w:val="24"/>
                <w:lang w:bidi="ar"/>
              </w:rPr>
              <w:t>——</w:t>
            </w:r>
            <w:r>
              <w:rPr>
                <w:sz w:val="24"/>
              </w:rPr>
              <w:t>隔墙（或窗户）倍频带或 A 声级的隔声量，dB。</w:t>
            </w:r>
          </w:p>
          <w:p w14:paraId="3491CC83">
            <w:pPr>
              <w:widowControl/>
              <w:spacing w:line="360" w:lineRule="auto"/>
              <w:ind w:firstLine="480" w:firstLineChars="200"/>
              <w:rPr>
                <w:kern w:val="0"/>
                <w:sz w:val="24"/>
                <w:lang w:bidi="ar"/>
              </w:rPr>
            </w:pPr>
            <w:r>
              <w:rPr>
                <w:kern w:val="0"/>
                <w:sz w:val="24"/>
                <w:lang w:bidi="ar"/>
              </w:rPr>
              <w:t>⑤将室外声级</w:t>
            </w:r>
            <w:r>
              <w:rPr>
                <w:sz w:val="24"/>
              </w:rPr>
              <w:t>L</w:t>
            </w:r>
            <w:r>
              <w:rPr>
                <w:sz w:val="24"/>
                <w:vertAlign w:val="subscript"/>
              </w:rPr>
              <w:t>p2</w:t>
            </w:r>
            <w:r>
              <w:rPr>
                <w:sz w:val="24"/>
              </w:rPr>
              <w:t>（</w:t>
            </w:r>
            <w:r>
              <w:rPr>
                <w:kern w:val="0"/>
                <w:sz w:val="24"/>
                <w:lang w:bidi="ar"/>
              </w:rPr>
              <w:t>T）和透声面积换算成等效的室外声源，计算出等效声源的声功率级Lw；</w:t>
            </w:r>
          </w:p>
          <w:p w14:paraId="5C9E9A0C">
            <w:pPr>
              <w:adjustRightInd w:val="0"/>
              <w:snapToGrid w:val="0"/>
              <w:spacing w:line="360" w:lineRule="auto"/>
              <w:jc w:val="center"/>
              <w:rPr>
                <w:sz w:val="24"/>
              </w:rPr>
            </w:pPr>
            <w:r>
              <w:rPr>
                <w:sz w:val="24"/>
              </w:rPr>
              <w:t>L=L</w:t>
            </w:r>
            <w:r>
              <w:rPr>
                <w:sz w:val="24"/>
                <w:vertAlign w:val="subscript"/>
              </w:rPr>
              <w:t>p2</w:t>
            </w:r>
            <w:r>
              <w:rPr>
                <w:sz w:val="24"/>
              </w:rPr>
              <w:t>(T)+101gS</w:t>
            </w:r>
          </w:p>
          <w:p w14:paraId="1F93F4C0">
            <w:pPr>
              <w:adjustRightInd w:val="0"/>
              <w:snapToGrid w:val="0"/>
              <w:spacing w:line="360" w:lineRule="auto"/>
              <w:ind w:firstLine="1200" w:firstLineChars="500"/>
              <w:rPr>
                <w:sz w:val="24"/>
              </w:rPr>
            </w:pPr>
            <w:r>
              <w:rPr>
                <w:sz w:val="24"/>
              </w:rPr>
              <w:t>式中：S为透声面积，m</w:t>
            </w:r>
            <w:r>
              <w:rPr>
                <w:sz w:val="24"/>
                <w:vertAlign w:val="superscript"/>
              </w:rPr>
              <w:t>2</w:t>
            </w:r>
            <w:r>
              <w:rPr>
                <w:sz w:val="24"/>
              </w:rPr>
              <w:t>。</w:t>
            </w:r>
          </w:p>
          <w:p w14:paraId="20FEAEB5">
            <w:pPr>
              <w:spacing w:line="360" w:lineRule="auto"/>
              <w:ind w:firstLine="480" w:firstLineChars="200"/>
              <w:rPr>
                <w:sz w:val="24"/>
              </w:rPr>
            </w:pPr>
            <w:r>
              <w:rPr>
                <w:kern w:val="0"/>
                <w:sz w:val="24"/>
                <w:lang w:bidi="ar"/>
              </w:rPr>
              <w:t>⑥等效室外声源的位置为围护结构的位置，其声功率级为Lw，由此按室外声源方法计算等效室外声源在预测点产生的A声级。</w:t>
            </w:r>
          </w:p>
          <w:p w14:paraId="32F49F9C">
            <w:pPr>
              <w:widowControl/>
              <w:spacing w:line="360" w:lineRule="auto"/>
              <w:ind w:firstLine="482" w:firstLineChars="200"/>
              <w:rPr>
                <w:b/>
                <w:bCs/>
                <w:kern w:val="0"/>
                <w:sz w:val="24"/>
                <w:lang w:bidi="ar"/>
              </w:rPr>
            </w:pPr>
            <w:r>
              <w:rPr>
                <w:rFonts w:hint="eastAsia"/>
                <w:b/>
                <w:bCs/>
                <w:kern w:val="0"/>
                <w:sz w:val="24"/>
                <w:lang w:bidi="ar"/>
              </w:rPr>
              <w:t>4</w:t>
            </w:r>
            <w:r>
              <w:rPr>
                <w:b/>
                <w:bCs/>
                <w:kern w:val="0"/>
                <w:sz w:val="24"/>
                <w:lang w:bidi="ar"/>
              </w:rPr>
              <w:t>）计算总声压级</w:t>
            </w:r>
          </w:p>
          <w:p w14:paraId="3448C877">
            <w:pPr>
              <w:adjustRightInd w:val="0"/>
              <w:snapToGrid w:val="0"/>
              <w:spacing w:line="360" w:lineRule="auto"/>
              <w:ind w:firstLine="480" w:firstLineChars="200"/>
              <w:rPr>
                <w:sz w:val="24"/>
              </w:rPr>
            </w:pPr>
            <w:r>
              <w:rPr>
                <w:sz w:val="24"/>
              </w:rPr>
              <w:t>设第i个室外声源在预测点产生的A声级为LAi，在T时间内该声源工作时间为ti；第j个等效室外声源在预测点产生的A声级为LAj，在T时间内该声源工作时间为tj，则工程声源对预测点产生的贡献值（Leqg）为：</w:t>
            </w:r>
          </w:p>
          <w:p w14:paraId="2B057BCB">
            <w:pPr>
              <w:adjustRightInd w:val="0"/>
              <w:snapToGrid w:val="0"/>
              <w:spacing w:line="360" w:lineRule="auto"/>
              <w:jc w:val="center"/>
              <w:rPr>
                <w:sz w:val="24"/>
              </w:rPr>
            </w:pPr>
            <w:r>
              <w:rPr>
                <w:sz w:val="24"/>
              </w:rPr>
              <w:drawing>
                <wp:inline distT="0" distB="0" distL="114300" distR="114300">
                  <wp:extent cx="4331970" cy="802005"/>
                  <wp:effectExtent l="0" t="0" r="11430" b="171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4"/>
                          <a:srcRect r="3082"/>
                          <a:stretch>
                            <a:fillRect/>
                          </a:stretch>
                        </pic:blipFill>
                        <pic:spPr>
                          <a:xfrm>
                            <a:off x="0" y="0"/>
                            <a:ext cx="4331970" cy="802005"/>
                          </a:xfrm>
                          <a:prstGeom prst="rect">
                            <a:avLst/>
                          </a:prstGeom>
                          <a:noFill/>
                          <a:ln>
                            <a:noFill/>
                          </a:ln>
                        </pic:spPr>
                      </pic:pic>
                    </a:graphicData>
                  </a:graphic>
                </wp:inline>
              </w:drawing>
            </w:r>
          </w:p>
          <w:p w14:paraId="7F51C28C">
            <w:pPr>
              <w:adjustRightInd w:val="0"/>
              <w:snapToGrid w:val="0"/>
              <w:spacing w:line="360" w:lineRule="auto"/>
              <w:ind w:firstLine="480" w:firstLineChars="200"/>
              <w:rPr>
                <w:sz w:val="24"/>
              </w:rPr>
            </w:pPr>
            <w:r>
              <w:rPr>
                <w:sz w:val="24"/>
              </w:rPr>
              <w:t>式中：Leqg——建设项目声源在预测点产生的噪声贡献值，dB；</w:t>
            </w:r>
          </w:p>
          <w:p w14:paraId="358A397F">
            <w:pPr>
              <w:adjustRightInd w:val="0"/>
              <w:snapToGrid w:val="0"/>
              <w:spacing w:line="360" w:lineRule="auto"/>
              <w:ind w:firstLine="1200" w:firstLineChars="500"/>
              <w:rPr>
                <w:sz w:val="24"/>
              </w:rPr>
            </w:pPr>
            <w:r>
              <w:rPr>
                <w:sz w:val="24"/>
              </w:rPr>
              <w:t>T——用于计算等效声级的时间，s；</w:t>
            </w:r>
          </w:p>
          <w:p w14:paraId="033392EE">
            <w:pPr>
              <w:adjustRightInd w:val="0"/>
              <w:snapToGrid w:val="0"/>
              <w:spacing w:line="360" w:lineRule="auto"/>
              <w:ind w:firstLine="1200" w:firstLineChars="500"/>
              <w:rPr>
                <w:sz w:val="24"/>
              </w:rPr>
            </w:pPr>
            <w:r>
              <w:rPr>
                <w:sz w:val="24"/>
              </w:rPr>
              <w:t>N——室外声源个数；</w:t>
            </w:r>
          </w:p>
          <w:p w14:paraId="149C629C">
            <w:pPr>
              <w:adjustRightInd w:val="0"/>
              <w:snapToGrid w:val="0"/>
              <w:spacing w:line="360" w:lineRule="auto"/>
              <w:ind w:firstLine="1200" w:firstLineChars="500"/>
              <w:rPr>
                <w:sz w:val="24"/>
              </w:rPr>
            </w:pPr>
            <w:r>
              <w:rPr>
                <w:sz w:val="24"/>
              </w:rPr>
              <w:t>t i——在T时间内i声源工作时间，s；</w:t>
            </w:r>
          </w:p>
          <w:p w14:paraId="44CAE464">
            <w:pPr>
              <w:adjustRightInd w:val="0"/>
              <w:snapToGrid w:val="0"/>
              <w:spacing w:line="360" w:lineRule="auto"/>
              <w:ind w:firstLine="1200" w:firstLineChars="500"/>
              <w:rPr>
                <w:sz w:val="24"/>
              </w:rPr>
            </w:pPr>
            <w:r>
              <w:rPr>
                <w:sz w:val="24"/>
              </w:rPr>
              <w:t>M——等效室外声源个数；</w:t>
            </w:r>
          </w:p>
          <w:p w14:paraId="221B1204">
            <w:pPr>
              <w:spacing w:line="360" w:lineRule="auto"/>
              <w:rPr>
                <w:sz w:val="24"/>
              </w:rPr>
            </w:pPr>
            <w:r>
              <w:rPr>
                <w:sz w:val="24"/>
              </w:rPr>
              <w:t>t j——在T时间内j声源工作时间，s。</w:t>
            </w:r>
          </w:p>
          <w:p w14:paraId="7F8E3677">
            <w:pPr>
              <w:keepNext/>
              <w:keepLines/>
              <w:spacing w:line="360" w:lineRule="auto"/>
              <w:ind w:firstLine="482" w:firstLineChars="200"/>
              <w:outlineLvl w:val="3"/>
              <w:rPr>
                <w:b/>
                <w:bCs/>
                <w:kern w:val="0"/>
                <w:sz w:val="24"/>
              </w:rPr>
            </w:pPr>
            <w:r>
              <w:rPr>
                <w:rFonts w:hint="eastAsia"/>
                <w:b/>
                <w:bCs/>
                <w:kern w:val="0"/>
                <w:sz w:val="24"/>
              </w:rPr>
              <w:t>4、</w:t>
            </w:r>
            <w:r>
              <w:rPr>
                <w:b/>
                <w:bCs/>
                <w:kern w:val="0"/>
                <w:sz w:val="24"/>
              </w:rPr>
              <w:t>预测模式及结果</w:t>
            </w:r>
          </w:p>
          <w:p w14:paraId="3C9C6666">
            <w:pPr>
              <w:spacing w:line="360" w:lineRule="auto"/>
              <w:ind w:firstLine="448" w:firstLineChars="200"/>
              <w:rPr>
                <w:spacing w:val="-8"/>
                <w:kern w:val="0"/>
                <w:sz w:val="24"/>
              </w:rPr>
            </w:pPr>
            <w:r>
              <w:rPr>
                <w:spacing w:val="-8"/>
                <w:kern w:val="0"/>
                <w:sz w:val="24"/>
              </w:rPr>
              <w:t>本</w:t>
            </w:r>
            <w:r>
              <w:rPr>
                <w:rFonts w:hint="eastAsia"/>
                <w:spacing w:val="-8"/>
                <w:kern w:val="0"/>
                <w:sz w:val="24"/>
              </w:rPr>
              <w:t>次</w:t>
            </w:r>
            <w:r>
              <w:rPr>
                <w:spacing w:val="-8"/>
                <w:kern w:val="0"/>
                <w:sz w:val="24"/>
              </w:rPr>
              <w:t>评价采用</w:t>
            </w:r>
            <w:r>
              <w:rPr>
                <w:rFonts w:hint="eastAsia"/>
                <w:spacing w:val="-8"/>
                <w:kern w:val="0"/>
                <w:sz w:val="24"/>
              </w:rPr>
              <w:t>“</w:t>
            </w:r>
            <w:r>
              <w:rPr>
                <w:spacing w:val="-8"/>
                <w:kern w:val="0"/>
                <w:sz w:val="24"/>
              </w:rPr>
              <w:t>环安科技-NoiseSystem4.0</w:t>
            </w:r>
            <w:r>
              <w:rPr>
                <w:rFonts w:hint="eastAsia"/>
                <w:spacing w:val="-8"/>
                <w:kern w:val="0"/>
                <w:sz w:val="24"/>
              </w:rPr>
              <w:t>”</w:t>
            </w:r>
            <w:r>
              <w:rPr>
                <w:spacing w:val="-8"/>
                <w:kern w:val="0"/>
                <w:sz w:val="24"/>
              </w:rPr>
              <w:t>进行预测</w:t>
            </w:r>
            <w:r>
              <w:rPr>
                <w:rFonts w:hint="eastAsia"/>
                <w:spacing w:val="-8"/>
                <w:kern w:val="0"/>
                <w:sz w:val="24"/>
              </w:rPr>
              <w:t>，按照厂界等间距取接收点和厂界东、南、西、北侧线性接收点处</w:t>
            </w:r>
            <w:r>
              <w:rPr>
                <w:spacing w:val="-8"/>
                <w:kern w:val="0"/>
                <w:sz w:val="24"/>
              </w:rPr>
              <w:t>贡献值最大的点位进行分析。</w:t>
            </w:r>
          </w:p>
          <w:p w14:paraId="038EDEB2">
            <w:pPr>
              <w:spacing w:line="360" w:lineRule="auto"/>
              <w:ind w:firstLine="448" w:firstLineChars="200"/>
            </w:pPr>
            <w:r>
              <w:rPr>
                <w:spacing w:val="-8"/>
                <w:kern w:val="0"/>
                <w:sz w:val="24"/>
              </w:rPr>
              <w:t>项目在采取各种隔声降噪措施后，项目建设完成投入运行后设备噪声对厂界声环境贡献值预测结果如</w:t>
            </w:r>
            <w:r>
              <w:rPr>
                <w:spacing w:val="-2"/>
                <w:kern w:val="0"/>
                <w:sz w:val="24"/>
              </w:rPr>
              <w:t>下表</w:t>
            </w:r>
            <w:r>
              <w:rPr>
                <w:spacing w:val="-8"/>
                <w:kern w:val="0"/>
                <w:sz w:val="24"/>
              </w:rPr>
              <w:t>所示：</w:t>
            </w:r>
          </w:p>
          <w:p w14:paraId="0E2FAB92">
            <w:pPr>
              <w:pStyle w:val="56"/>
            </w:pPr>
            <w:r>
              <w:rPr>
                <w:rFonts w:hint="eastAsia"/>
              </w:rPr>
              <w:t>表4-7 本项目运营期厂界等间距噪声贡献值预测结果（单位：dB（A））</w:t>
            </w:r>
          </w:p>
          <w:tbl>
            <w:tblPr>
              <w:tblStyle w:val="23"/>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94"/>
              <w:gridCol w:w="994"/>
              <w:gridCol w:w="994"/>
              <w:gridCol w:w="763"/>
              <w:gridCol w:w="757"/>
              <w:gridCol w:w="849"/>
              <w:gridCol w:w="1208"/>
              <w:gridCol w:w="793"/>
            </w:tblGrid>
            <w:tr w14:paraId="01C4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994" w:type="dxa"/>
                  <w:vMerge w:val="restart"/>
                  <w:vAlign w:val="center"/>
                </w:tcPr>
                <w:p w14:paraId="4C7F961E">
                  <w:pPr>
                    <w:jc w:val="center"/>
                  </w:pPr>
                  <w:r>
                    <w:rPr>
                      <w:rFonts w:hint="eastAsia"/>
                    </w:rPr>
                    <w:t>厂房名称</w:t>
                  </w:r>
                </w:p>
              </w:tc>
              <w:tc>
                <w:tcPr>
                  <w:tcW w:w="994" w:type="dxa"/>
                  <w:vMerge w:val="restart"/>
                  <w:vAlign w:val="center"/>
                </w:tcPr>
                <w:p w14:paraId="1C787111">
                  <w:pPr>
                    <w:jc w:val="center"/>
                  </w:pPr>
                  <w:r>
                    <w:rPr>
                      <w:rFonts w:hint="eastAsia"/>
                    </w:rPr>
                    <w:t>预测方位</w:t>
                  </w:r>
                </w:p>
              </w:tc>
              <w:tc>
                <w:tcPr>
                  <w:tcW w:w="2751" w:type="dxa"/>
                  <w:gridSpan w:val="3"/>
                  <w:vAlign w:val="center"/>
                </w:tcPr>
                <w:p w14:paraId="3E10CC4F">
                  <w:pPr>
                    <w:jc w:val="center"/>
                  </w:pPr>
                  <w:r>
                    <w:rPr>
                      <w:rFonts w:hint="eastAsia"/>
                    </w:rPr>
                    <w:t>最大值点空间相对位置/m</w:t>
                  </w:r>
                </w:p>
              </w:tc>
              <w:tc>
                <w:tcPr>
                  <w:tcW w:w="757" w:type="dxa"/>
                  <w:vMerge w:val="restart"/>
                  <w:vAlign w:val="center"/>
                </w:tcPr>
                <w:p w14:paraId="6B958C84">
                  <w:pPr>
                    <w:jc w:val="center"/>
                  </w:pPr>
                  <w:r>
                    <w:rPr>
                      <w:rFonts w:hint="eastAsia"/>
                    </w:rPr>
                    <w:t>时段</w:t>
                  </w:r>
                </w:p>
              </w:tc>
              <w:tc>
                <w:tcPr>
                  <w:tcW w:w="849" w:type="dxa"/>
                  <w:vMerge w:val="restart"/>
                  <w:vAlign w:val="center"/>
                </w:tcPr>
                <w:p w14:paraId="702D2B9D">
                  <w:pPr>
                    <w:jc w:val="center"/>
                  </w:pPr>
                  <w:r>
                    <w:rPr>
                      <w:rFonts w:hint="eastAsia"/>
                    </w:rPr>
                    <w:t>贡献值（dB(A)）</w:t>
                  </w:r>
                </w:p>
              </w:tc>
              <w:tc>
                <w:tcPr>
                  <w:tcW w:w="1208" w:type="dxa"/>
                  <w:vMerge w:val="restart"/>
                  <w:vAlign w:val="center"/>
                </w:tcPr>
                <w:p w14:paraId="11C00F43">
                  <w:pPr>
                    <w:jc w:val="center"/>
                  </w:pPr>
                  <w:r>
                    <w:rPr>
                      <w:rFonts w:hint="eastAsia"/>
                    </w:rPr>
                    <w:t>标准限值（dB(A)）</w:t>
                  </w:r>
                </w:p>
              </w:tc>
              <w:tc>
                <w:tcPr>
                  <w:tcW w:w="793" w:type="dxa"/>
                  <w:vMerge w:val="restart"/>
                  <w:vAlign w:val="center"/>
                </w:tcPr>
                <w:p w14:paraId="0245C0DA">
                  <w:pPr>
                    <w:jc w:val="center"/>
                  </w:pPr>
                  <w:r>
                    <w:rPr>
                      <w:rFonts w:hint="eastAsia"/>
                    </w:rPr>
                    <w:t>达标情况</w:t>
                  </w:r>
                </w:p>
              </w:tc>
            </w:tr>
            <w:tr w14:paraId="2873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379E8C17">
                  <w:pPr>
                    <w:jc w:val="center"/>
                  </w:pPr>
                </w:p>
              </w:tc>
              <w:tc>
                <w:tcPr>
                  <w:tcW w:w="994" w:type="dxa"/>
                  <w:vMerge w:val="continue"/>
                  <w:vAlign w:val="center"/>
                </w:tcPr>
                <w:p w14:paraId="07617219">
                  <w:pPr>
                    <w:jc w:val="center"/>
                  </w:pPr>
                </w:p>
              </w:tc>
              <w:tc>
                <w:tcPr>
                  <w:tcW w:w="994" w:type="dxa"/>
                  <w:vAlign w:val="center"/>
                </w:tcPr>
                <w:p w14:paraId="4420677E">
                  <w:pPr>
                    <w:jc w:val="center"/>
                  </w:pPr>
                  <w:r>
                    <w:rPr>
                      <w:rFonts w:hint="eastAsia"/>
                    </w:rPr>
                    <w:t>X</w:t>
                  </w:r>
                </w:p>
              </w:tc>
              <w:tc>
                <w:tcPr>
                  <w:tcW w:w="994" w:type="dxa"/>
                  <w:vAlign w:val="center"/>
                </w:tcPr>
                <w:p w14:paraId="1E28F6A3">
                  <w:pPr>
                    <w:jc w:val="center"/>
                  </w:pPr>
                  <w:r>
                    <w:rPr>
                      <w:rFonts w:hint="eastAsia"/>
                    </w:rPr>
                    <w:t>Y</w:t>
                  </w:r>
                </w:p>
              </w:tc>
              <w:tc>
                <w:tcPr>
                  <w:tcW w:w="763" w:type="dxa"/>
                  <w:vAlign w:val="center"/>
                </w:tcPr>
                <w:p w14:paraId="217EA465">
                  <w:pPr>
                    <w:jc w:val="center"/>
                  </w:pPr>
                  <w:r>
                    <w:rPr>
                      <w:rFonts w:hint="eastAsia"/>
                    </w:rPr>
                    <w:t>Z</w:t>
                  </w:r>
                </w:p>
              </w:tc>
              <w:tc>
                <w:tcPr>
                  <w:tcW w:w="757" w:type="dxa"/>
                  <w:vMerge w:val="continue"/>
                  <w:vAlign w:val="center"/>
                </w:tcPr>
                <w:p w14:paraId="249E246C">
                  <w:pPr>
                    <w:jc w:val="center"/>
                  </w:pPr>
                </w:p>
              </w:tc>
              <w:tc>
                <w:tcPr>
                  <w:tcW w:w="849" w:type="dxa"/>
                  <w:vMerge w:val="continue"/>
                  <w:vAlign w:val="center"/>
                </w:tcPr>
                <w:p w14:paraId="3A6CF5EF">
                  <w:pPr>
                    <w:jc w:val="center"/>
                  </w:pPr>
                </w:p>
              </w:tc>
              <w:tc>
                <w:tcPr>
                  <w:tcW w:w="1208" w:type="dxa"/>
                  <w:vMerge w:val="continue"/>
                  <w:vAlign w:val="center"/>
                </w:tcPr>
                <w:p w14:paraId="57363403">
                  <w:pPr>
                    <w:jc w:val="center"/>
                  </w:pPr>
                </w:p>
              </w:tc>
              <w:tc>
                <w:tcPr>
                  <w:tcW w:w="793" w:type="dxa"/>
                  <w:vMerge w:val="continue"/>
                  <w:vAlign w:val="center"/>
                </w:tcPr>
                <w:p w14:paraId="0B0DD2B3">
                  <w:pPr>
                    <w:jc w:val="center"/>
                  </w:pPr>
                </w:p>
              </w:tc>
            </w:tr>
            <w:tr w14:paraId="4CD6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994" w:type="dxa"/>
                  <w:vMerge w:val="restart"/>
                  <w:vAlign w:val="center"/>
                </w:tcPr>
                <w:p w14:paraId="384F7ABD">
                  <w:pPr>
                    <w:jc w:val="center"/>
                  </w:pPr>
                  <w:r>
                    <w:rPr>
                      <w:rFonts w:hint="eastAsia"/>
                    </w:rPr>
                    <w:t>西厂房</w:t>
                  </w:r>
                </w:p>
              </w:tc>
              <w:tc>
                <w:tcPr>
                  <w:tcW w:w="994" w:type="dxa"/>
                  <w:vAlign w:val="center"/>
                </w:tcPr>
                <w:p w14:paraId="3AD0D524">
                  <w:pPr>
                    <w:jc w:val="center"/>
                  </w:pPr>
                  <w:r>
                    <w:rPr>
                      <w:rFonts w:hint="eastAsia"/>
                    </w:rPr>
                    <w:t>东侧1</w:t>
                  </w:r>
                </w:p>
              </w:tc>
              <w:tc>
                <w:tcPr>
                  <w:tcW w:w="994" w:type="dxa"/>
                  <w:vAlign w:val="center"/>
                </w:tcPr>
                <w:p w14:paraId="2A36C5B1">
                  <w:pPr>
                    <w:widowControl/>
                    <w:jc w:val="center"/>
                    <w:textAlignment w:val="center"/>
                  </w:pPr>
                  <w:r>
                    <w:rPr>
                      <w:rFonts w:hint="eastAsia"/>
                    </w:rPr>
                    <w:t>114.62</w:t>
                  </w:r>
                </w:p>
              </w:tc>
              <w:tc>
                <w:tcPr>
                  <w:tcW w:w="994" w:type="dxa"/>
                  <w:vAlign w:val="center"/>
                </w:tcPr>
                <w:p w14:paraId="6225550F">
                  <w:pPr>
                    <w:widowControl/>
                    <w:jc w:val="center"/>
                    <w:textAlignment w:val="center"/>
                  </w:pPr>
                  <w:r>
                    <w:rPr>
                      <w:rFonts w:hint="eastAsia"/>
                    </w:rPr>
                    <w:t>-178.49</w:t>
                  </w:r>
                </w:p>
              </w:tc>
              <w:tc>
                <w:tcPr>
                  <w:tcW w:w="763" w:type="dxa"/>
                  <w:vAlign w:val="center"/>
                </w:tcPr>
                <w:p w14:paraId="1EAC46EF">
                  <w:pPr>
                    <w:widowControl/>
                    <w:jc w:val="center"/>
                    <w:textAlignment w:val="center"/>
                  </w:pPr>
                  <w:r>
                    <w:rPr>
                      <w:rFonts w:hint="eastAsia"/>
                    </w:rPr>
                    <w:t>1.2</w:t>
                  </w:r>
                </w:p>
              </w:tc>
              <w:tc>
                <w:tcPr>
                  <w:tcW w:w="757" w:type="dxa"/>
                  <w:vAlign w:val="center"/>
                </w:tcPr>
                <w:p w14:paraId="14DA9FAE">
                  <w:pPr>
                    <w:jc w:val="center"/>
                  </w:pPr>
                  <w:r>
                    <w:rPr>
                      <w:rFonts w:hint="eastAsia"/>
                    </w:rPr>
                    <w:t>昼间</w:t>
                  </w:r>
                </w:p>
              </w:tc>
              <w:tc>
                <w:tcPr>
                  <w:tcW w:w="849" w:type="dxa"/>
                  <w:vAlign w:val="center"/>
                </w:tcPr>
                <w:p w14:paraId="0CCF74A8">
                  <w:pPr>
                    <w:jc w:val="center"/>
                  </w:pPr>
                  <w:r>
                    <w:rPr>
                      <w:rFonts w:hint="eastAsia"/>
                    </w:rPr>
                    <w:t>51.23</w:t>
                  </w:r>
                </w:p>
              </w:tc>
              <w:tc>
                <w:tcPr>
                  <w:tcW w:w="1208" w:type="dxa"/>
                  <w:vAlign w:val="center"/>
                </w:tcPr>
                <w:p w14:paraId="6C0DEE1C">
                  <w:pPr>
                    <w:jc w:val="center"/>
                  </w:pPr>
                  <w:r>
                    <w:rPr>
                      <w:rFonts w:hint="eastAsia"/>
                    </w:rPr>
                    <w:t>65</w:t>
                  </w:r>
                </w:p>
              </w:tc>
              <w:tc>
                <w:tcPr>
                  <w:tcW w:w="793" w:type="dxa"/>
                  <w:vAlign w:val="center"/>
                </w:tcPr>
                <w:p w14:paraId="5A7BE022">
                  <w:pPr>
                    <w:jc w:val="center"/>
                  </w:pPr>
                  <w:r>
                    <w:rPr>
                      <w:rFonts w:hint="eastAsia"/>
                    </w:rPr>
                    <w:t>达标</w:t>
                  </w:r>
                </w:p>
              </w:tc>
            </w:tr>
            <w:tr w14:paraId="3872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4FA4553">
                  <w:pPr>
                    <w:jc w:val="center"/>
                  </w:pPr>
                </w:p>
              </w:tc>
              <w:tc>
                <w:tcPr>
                  <w:tcW w:w="994" w:type="dxa"/>
                  <w:vAlign w:val="center"/>
                </w:tcPr>
                <w:p w14:paraId="0859DB26">
                  <w:pPr>
                    <w:jc w:val="center"/>
                  </w:pPr>
                  <w:r>
                    <w:rPr>
                      <w:rFonts w:hint="eastAsia"/>
                    </w:rPr>
                    <w:t>东侧2</w:t>
                  </w:r>
                </w:p>
              </w:tc>
              <w:tc>
                <w:tcPr>
                  <w:tcW w:w="994" w:type="dxa"/>
                  <w:vAlign w:val="center"/>
                </w:tcPr>
                <w:p w14:paraId="6FD7C254">
                  <w:pPr>
                    <w:widowControl/>
                    <w:jc w:val="center"/>
                    <w:textAlignment w:val="center"/>
                  </w:pPr>
                  <w:r>
                    <w:rPr>
                      <w:rFonts w:hint="eastAsia"/>
                    </w:rPr>
                    <w:t>105.00</w:t>
                  </w:r>
                </w:p>
              </w:tc>
              <w:tc>
                <w:tcPr>
                  <w:tcW w:w="994" w:type="dxa"/>
                  <w:vAlign w:val="center"/>
                </w:tcPr>
                <w:p w14:paraId="62F397EC">
                  <w:pPr>
                    <w:widowControl/>
                    <w:jc w:val="center"/>
                    <w:textAlignment w:val="center"/>
                  </w:pPr>
                  <w:r>
                    <w:rPr>
                      <w:rFonts w:hint="eastAsia"/>
                    </w:rPr>
                    <w:t>-208.03</w:t>
                  </w:r>
                </w:p>
              </w:tc>
              <w:tc>
                <w:tcPr>
                  <w:tcW w:w="763" w:type="dxa"/>
                  <w:vAlign w:val="center"/>
                </w:tcPr>
                <w:p w14:paraId="77CC10A3">
                  <w:pPr>
                    <w:widowControl/>
                    <w:jc w:val="center"/>
                    <w:textAlignment w:val="center"/>
                  </w:pPr>
                  <w:r>
                    <w:rPr>
                      <w:rFonts w:hint="eastAsia"/>
                    </w:rPr>
                    <w:t>1.2</w:t>
                  </w:r>
                </w:p>
              </w:tc>
              <w:tc>
                <w:tcPr>
                  <w:tcW w:w="757" w:type="dxa"/>
                  <w:vAlign w:val="center"/>
                </w:tcPr>
                <w:p w14:paraId="2C0787F2">
                  <w:pPr>
                    <w:jc w:val="center"/>
                  </w:pPr>
                  <w:r>
                    <w:rPr>
                      <w:rFonts w:hint="eastAsia"/>
                    </w:rPr>
                    <w:t>昼间</w:t>
                  </w:r>
                </w:p>
              </w:tc>
              <w:tc>
                <w:tcPr>
                  <w:tcW w:w="849" w:type="dxa"/>
                  <w:vAlign w:val="center"/>
                </w:tcPr>
                <w:p w14:paraId="73086877">
                  <w:pPr>
                    <w:jc w:val="center"/>
                  </w:pPr>
                  <w:r>
                    <w:rPr>
                      <w:rFonts w:hint="eastAsia"/>
                    </w:rPr>
                    <w:t>52.36</w:t>
                  </w:r>
                </w:p>
              </w:tc>
              <w:tc>
                <w:tcPr>
                  <w:tcW w:w="1208" w:type="dxa"/>
                  <w:vAlign w:val="center"/>
                </w:tcPr>
                <w:p w14:paraId="1740AF7D">
                  <w:pPr>
                    <w:jc w:val="center"/>
                  </w:pPr>
                  <w:r>
                    <w:rPr>
                      <w:rFonts w:hint="eastAsia"/>
                    </w:rPr>
                    <w:t>65</w:t>
                  </w:r>
                </w:p>
              </w:tc>
              <w:tc>
                <w:tcPr>
                  <w:tcW w:w="793" w:type="dxa"/>
                  <w:vAlign w:val="center"/>
                </w:tcPr>
                <w:p w14:paraId="6EFE7A1D">
                  <w:pPr>
                    <w:jc w:val="center"/>
                  </w:pPr>
                  <w:r>
                    <w:rPr>
                      <w:rFonts w:hint="eastAsia"/>
                    </w:rPr>
                    <w:t>达标</w:t>
                  </w:r>
                </w:p>
              </w:tc>
            </w:tr>
            <w:tr w14:paraId="2BFE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5E39E3BA">
                  <w:pPr>
                    <w:jc w:val="center"/>
                  </w:pPr>
                </w:p>
              </w:tc>
              <w:tc>
                <w:tcPr>
                  <w:tcW w:w="994" w:type="dxa"/>
                  <w:vAlign w:val="center"/>
                </w:tcPr>
                <w:p w14:paraId="115B0552">
                  <w:pPr>
                    <w:jc w:val="center"/>
                  </w:pPr>
                  <w:r>
                    <w:rPr>
                      <w:rFonts w:hint="eastAsia"/>
                    </w:rPr>
                    <w:t>南侧1</w:t>
                  </w:r>
                </w:p>
              </w:tc>
              <w:tc>
                <w:tcPr>
                  <w:tcW w:w="994" w:type="dxa"/>
                  <w:vAlign w:val="center"/>
                </w:tcPr>
                <w:p w14:paraId="3CFE17E7">
                  <w:pPr>
                    <w:widowControl/>
                    <w:jc w:val="center"/>
                    <w:textAlignment w:val="center"/>
                  </w:pPr>
                  <w:r>
                    <w:rPr>
                      <w:rFonts w:hint="eastAsia"/>
                    </w:rPr>
                    <w:t>76.15</w:t>
                  </w:r>
                </w:p>
              </w:tc>
              <w:tc>
                <w:tcPr>
                  <w:tcW w:w="994" w:type="dxa"/>
                  <w:vAlign w:val="center"/>
                </w:tcPr>
                <w:p w14:paraId="3B654109">
                  <w:pPr>
                    <w:widowControl/>
                    <w:jc w:val="center"/>
                    <w:textAlignment w:val="center"/>
                  </w:pPr>
                  <w:r>
                    <w:rPr>
                      <w:rFonts w:hint="eastAsia"/>
                    </w:rPr>
                    <w:t>-195.67</w:t>
                  </w:r>
                </w:p>
              </w:tc>
              <w:tc>
                <w:tcPr>
                  <w:tcW w:w="763" w:type="dxa"/>
                  <w:vAlign w:val="center"/>
                </w:tcPr>
                <w:p w14:paraId="3ADDF4A3">
                  <w:pPr>
                    <w:widowControl/>
                    <w:jc w:val="center"/>
                    <w:textAlignment w:val="center"/>
                  </w:pPr>
                  <w:r>
                    <w:rPr>
                      <w:rFonts w:hint="eastAsia"/>
                    </w:rPr>
                    <w:t>1.2</w:t>
                  </w:r>
                </w:p>
              </w:tc>
              <w:tc>
                <w:tcPr>
                  <w:tcW w:w="757" w:type="dxa"/>
                  <w:vAlign w:val="center"/>
                </w:tcPr>
                <w:p w14:paraId="0F4A235D">
                  <w:pPr>
                    <w:jc w:val="center"/>
                  </w:pPr>
                  <w:r>
                    <w:rPr>
                      <w:rFonts w:hint="eastAsia"/>
                    </w:rPr>
                    <w:t>昼间</w:t>
                  </w:r>
                </w:p>
              </w:tc>
              <w:tc>
                <w:tcPr>
                  <w:tcW w:w="849" w:type="dxa"/>
                  <w:vAlign w:val="center"/>
                </w:tcPr>
                <w:p w14:paraId="457D6B8B">
                  <w:pPr>
                    <w:jc w:val="center"/>
                  </w:pPr>
                  <w:r>
                    <w:rPr>
                      <w:rFonts w:hint="eastAsia"/>
                    </w:rPr>
                    <w:t>55.45</w:t>
                  </w:r>
                </w:p>
              </w:tc>
              <w:tc>
                <w:tcPr>
                  <w:tcW w:w="1208" w:type="dxa"/>
                  <w:vAlign w:val="center"/>
                </w:tcPr>
                <w:p w14:paraId="75C90C8C">
                  <w:pPr>
                    <w:jc w:val="center"/>
                  </w:pPr>
                  <w:r>
                    <w:rPr>
                      <w:rFonts w:hint="eastAsia"/>
                    </w:rPr>
                    <w:t>65</w:t>
                  </w:r>
                </w:p>
              </w:tc>
              <w:tc>
                <w:tcPr>
                  <w:tcW w:w="793" w:type="dxa"/>
                  <w:vAlign w:val="center"/>
                </w:tcPr>
                <w:p w14:paraId="37656A81">
                  <w:pPr>
                    <w:jc w:val="center"/>
                  </w:pPr>
                  <w:r>
                    <w:rPr>
                      <w:rFonts w:hint="eastAsia"/>
                    </w:rPr>
                    <w:t>达标</w:t>
                  </w:r>
                </w:p>
              </w:tc>
            </w:tr>
            <w:tr w14:paraId="15AF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FDBF988">
                  <w:pPr>
                    <w:jc w:val="center"/>
                  </w:pPr>
                </w:p>
              </w:tc>
              <w:tc>
                <w:tcPr>
                  <w:tcW w:w="994" w:type="dxa"/>
                  <w:vAlign w:val="center"/>
                </w:tcPr>
                <w:p w14:paraId="0FD08879">
                  <w:pPr>
                    <w:jc w:val="center"/>
                  </w:pPr>
                  <w:r>
                    <w:rPr>
                      <w:rFonts w:hint="eastAsia"/>
                    </w:rPr>
                    <w:t>南侧2</w:t>
                  </w:r>
                </w:p>
              </w:tc>
              <w:tc>
                <w:tcPr>
                  <w:tcW w:w="994" w:type="dxa"/>
                  <w:vAlign w:val="center"/>
                </w:tcPr>
                <w:p w14:paraId="14F4D8AB">
                  <w:pPr>
                    <w:widowControl/>
                    <w:jc w:val="center"/>
                    <w:textAlignment w:val="center"/>
                  </w:pPr>
                  <w:r>
                    <w:rPr>
                      <w:rFonts w:hint="eastAsia"/>
                    </w:rPr>
                    <w:t>46.61</w:t>
                  </w:r>
                </w:p>
              </w:tc>
              <w:tc>
                <w:tcPr>
                  <w:tcW w:w="994" w:type="dxa"/>
                  <w:vAlign w:val="center"/>
                </w:tcPr>
                <w:p w14:paraId="100AF087">
                  <w:pPr>
                    <w:widowControl/>
                    <w:jc w:val="center"/>
                    <w:textAlignment w:val="center"/>
                  </w:pPr>
                  <w:r>
                    <w:rPr>
                      <w:rFonts w:hint="eastAsia"/>
                    </w:rPr>
                    <w:t>-180.56</w:t>
                  </w:r>
                </w:p>
              </w:tc>
              <w:tc>
                <w:tcPr>
                  <w:tcW w:w="763" w:type="dxa"/>
                  <w:vAlign w:val="center"/>
                </w:tcPr>
                <w:p w14:paraId="45114C35">
                  <w:pPr>
                    <w:widowControl/>
                    <w:jc w:val="center"/>
                    <w:textAlignment w:val="center"/>
                  </w:pPr>
                  <w:r>
                    <w:rPr>
                      <w:rFonts w:hint="eastAsia"/>
                    </w:rPr>
                    <w:t>1.2</w:t>
                  </w:r>
                </w:p>
              </w:tc>
              <w:tc>
                <w:tcPr>
                  <w:tcW w:w="757" w:type="dxa"/>
                  <w:vAlign w:val="center"/>
                </w:tcPr>
                <w:p w14:paraId="659358CF">
                  <w:pPr>
                    <w:jc w:val="center"/>
                  </w:pPr>
                  <w:r>
                    <w:rPr>
                      <w:rFonts w:hint="eastAsia"/>
                    </w:rPr>
                    <w:t>昼间</w:t>
                  </w:r>
                </w:p>
              </w:tc>
              <w:tc>
                <w:tcPr>
                  <w:tcW w:w="849" w:type="dxa"/>
                  <w:vAlign w:val="center"/>
                </w:tcPr>
                <w:p w14:paraId="68493CE7">
                  <w:pPr>
                    <w:jc w:val="center"/>
                  </w:pPr>
                  <w:r>
                    <w:rPr>
                      <w:rFonts w:hint="eastAsia"/>
                    </w:rPr>
                    <w:t>53.2</w:t>
                  </w:r>
                </w:p>
              </w:tc>
              <w:tc>
                <w:tcPr>
                  <w:tcW w:w="1208" w:type="dxa"/>
                  <w:vAlign w:val="center"/>
                </w:tcPr>
                <w:p w14:paraId="7DB33618">
                  <w:pPr>
                    <w:jc w:val="center"/>
                  </w:pPr>
                  <w:r>
                    <w:rPr>
                      <w:rFonts w:hint="eastAsia"/>
                    </w:rPr>
                    <w:t>65</w:t>
                  </w:r>
                </w:p>
              </w:tc>
              <w:tc>
                <w:tcPr>
                  <w:tcW w:w="793" w:type="dxa"/>
                  <w:vAlign w:val="center"/>
                </w:tcPr>
                <w:p w14:paraId="64509CD8">
                  <w:pPr>
                    <w:jc w:val="center"/>
                  </w:pPr>
                  <w:r>
                    <w:rPr>
                      <w:rFonts w:hint="eastAsia"/>
                    </w:rPr>
                    <w:t>达标</w:t>
                  </w:r>
                </w:p>
              </w:tc>
            </w:tr>
            <w:tr w14:paraId="5A7B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24A164FA">
                  <w:pPr>
                    <w:jc w:val="center"/>
                  </w:pPr>
                </w:p>
              </w:tc>
              <w:tc>
                <w:tcPr>
                  <w:tcW w:w="994" w:type="dxa"/>
                  <w:vAlign w:val="center"/>
                </w:tcPr>
                <w:p w14:paraId="13F4BE7B">
                  <w:pPr>
                    <w:jc w:val="center"/>
                  </w:pPr>
                  <w:r>
                    <w:rPr>
                      <w:rFonts w:hint="eastAsia"/>
                    </w:rPr>
                    <w:t>西侧1</w:t>
                  </w:r>
                </w:p>
              </w:tc>
              <w:tc>
                <w:tcPr>
                  <w:tcW w:w="994" w:type="dxa"/>
                  <w:vAlign w:val="center"/>
                </w:tcPr>
                <w:p w14:paraId="41B93290">
                  <w:pPr>
                    <w:widowControl/>
                    <w:jc w:val="center"/>
                    <w:textAlignment w:val="center"/>
                  </w:pPr>
                  <w:r>
                    <w:rPr>
                      <w:rFonts w:hint="eastAsia"/>
                    </w:rPr>
                    <w:t>19.81</w:t>
                  </w:r>
                </w:p>
              </w:tc>
              <w:tc>
                <w:tcPr>
                  <w:tcW w:w="994" w:type="dxa"/>
                  <w:vAlign w:val="center"/>
                </w:tcPr>
                <w:p w14:paraId="5A1C541D">
                  <w:pPr>
                    <w:widowControl/>
                    <w:jc w:val="center"/>
                    <w:textAlignment w:val="center"/>
                  </w:pPr>
                  <w:r>
                    <w:rPr>
                      <w:rFonts w:hint="eastAsia"/>
                    </w:rPr>
                    <w:t>-169.56</w:t>
                  </w:r>
                </w:p>
              </w:tc>
              <w:tc>
                <w:tcPr>
                  <w:tcW w:w="763" w:type="dxa"/>
                  <w:vAlign w:val="center"/>
                </w:tcPr>
                <w:p w14:paraId="2507F3B0">
                  <w:pPr>
                    <w:widowControl/>
                    <w:jc w:val="center"/>
                    <w:textAlignment w:val="center"/>
                  </w:pPr>
                  <w:r>
                    <w:rPr>
                      <w:rFonts w:hint="eastAsia"/>
                    </w:rPr>
                    <w:t>1.2</w:t>
                  </w:r>
                </w:p>
              </w:tc>
              <w:tc>
                <w:tcPr>
                  <w:tcW w:w="757" w:type="dxa"/>
                  <w:vAlign w:val="center"/>
                </w:tcPr>
                <w:p w14:paraId="135C7FE8">
                  <w:pPr>
                    <w:jc w:val="center"/>
                  </w:pPr>
                  <w:r>
                    <w:rPr>
                      <w:rFonts w:hint="eastAsia"/>
                    </w:rPr>
                    <w:t>昼间</w:t>
                  </w:r>
                </w:p>
              </w:tc>
              <w:tc>
                <w:tcPr>
                  <w:tcW w:w="849" w:type="dxa"/>
                  <w:vAlign w:val="center"/>
                </w:tcPr>
                <w:p w14:paraId="46CFD617">
                  <w:pPr>
                    <w:jc w:val="center"/>
                  </w:pPr>
                  <w:r>
                    <w:rPr>
                      <w:rFonts w:hint="eastAsia"/>
                    </w:rPr>
                    <w:t>51.00</w:t>
                  </w:r>
                </w:p>
              </w:tc>
              <w:tc>
                <w:tcPr>
                  <w:tcW w:w="1208" w:type="dxa"/>
                  <w:vAlign w:val="center"/>
                </w:tcPr>
                <w:p w14:paraId="50621D62">
                  <w:pPr>
                    <w:jc w:val="center"/>
                  </w:pPr>
                  <w:r>
                    <w:rPr>
                      <w:rFonts w:hint="eastAsia"/>
                    </w:rPr>
                    <w:t>32</w:t>
                  </w:r>
                </w:p>
              </w:tc>
              <w:tc>
                <w:tcPr>
                  <w:tcW w:w="793" w:type="dxa"/>
                  <w:vAlign w:val="center"/>
                </w:tcPr>
                <w:p w14:paraId="4EDA7B0E">
                  <w:pPr>
                    <w:jc w:val="center"/>
                  </w:pPr>
                  <w:r>
                    <w:rPr>
                      <w:rFonts w:hint="eastAsia"/>
                    </w:rPr>
                    <w:t>达标</w:t>
                  </w:r>
                </w:p>
              </w:tc>
            </w:tr>
            <w:tr w14:paraId="167A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07343CB7">
                  <w:pPr>
                    <w:jc w:val="center"/>
                  </w:pPr>
                </w:p>
              </w:tc>
              <w:tc>
                <w:tcPr>
                  <w:tcW w:w="994" w:type="dxa"/>
                  <w:vAlign w:val="center"/>
                </w:tcPr>
                <w:p w14:paraId="759FE8B7">
                  <w:pPr>
                    <w:jc w:val="center"/>
                  </w:pPr>
                  <w:r>
                    <w:rPr>
                      <w:rFonts w:hint="eastAsia"/>
                    </w:rPr>
                    <w:t>西侧2</w:t>
                  </w:r>
                </w:p>
              </w:tc>
              <w:tc>
                <w:tcPr>
                  <w:tcW w:w="994" w:type="dxa"/>
                  <w:vAlign w:val="center"/>
                </w:tcPr>
                <w:p w14:paraId="540329C1">
                  <w:pPr>
                    <w:widowControl/>
                    <w:jc w:val="center"/>
                    <w:textAlignment w:val="center"/>
                  </w:pPr>
                  <w:r>
                    <w:rPr>
                      <w:rFonts w:hint="eastAsia"/>
                    </w:rPr>
                    <w:t>-14.53</w:t>
                  </w:r>
                </w:p>
              </w:tc>
              <w:tc>
                <w:tcPr>
                  <w:tcW w:w="994" w:type="dxa"/>
                  <w:vAlign w:val="center"/>
                </w:tcPr>
                <w:p w14:paraId="0F990177">
                  <w:pPr>
                    <w:widowControl/>
                    <w:jc w:val="center"/>
                    <w:textAlignment w:val="center"/>
                  </w:pPr>
                  <w:r>
                    <w:rPr>
                      <w:rFonts w:hint="eastAsia"/>
                    </w:rPr>
                    <w:t>-155.14</w:t>
                  </w:r>
                </w:p>
              </w:tc>
              <w:tc>
                <w:tcPr>
                  <w:tcW w:w="763" w:type="dxa"/>
                  <w:vAlign w:val="center"/>
                </w:tcPr>
                <w:p w14:paraId="0EFC58F3">
                  <w:pPr>
                    <w:widowControl/>
                    <w:jc w:val="center"/>
                    <w:textAlignment w:val="center"/>
                  </w:pPr>
                  <w:r>
                    <w:rPr>
                      <w:rFonts w:hint="eastAsia"/>
                    </w:rPr>
                    <w:t>1.2</w:t>
                  </w:r>
                </w:p>
              </w:tc>
              <w:tc>
                <w:tcPr>
                  <w:tcW w:w="757" w:type="dxa"/>
                  <w:vAlign w:val="center"/>
                </w:tcPr>
                <w:p w14:paraId="5F4E5332">
                  <w:pPr>
                    <w:jc w:val="center"/>
                  </w:pPr>
                  <w:r>
                    <w:rPr>
                      <w:rFonts w:hint="eastAsia"/>
                    </w:rPr>
                    <w:t>昼间</w:t>
                  </w:r>
                </w:p>
              </w:tc>
              <w:tc>
                <w:tcPr>
                  <w:tcW w:w="849" w:type="dxa"/>
                  <w:vAlign w:val="center"/>
                </w:tcPr>
                <w:p w14:paraId="04F48CFC">
                  <w:pPr>
                    <w:jc w:val="center"/>
                  </w:pPr>
                  <w:r>
                    <w:rPr>
                      <w:rFonts w:hint="eastAsia"/>
                    </w:rPr>
                    <w:t>56.01</w:t>
                  </w:r>
                </w:p>
              </w:tc>
              <w:tc>
                <w:tcPr>
                  <w:tcW w:w="1208" w:type="dxa"/>
                  <w:vAlign w:val="center"/>
                </w:tcPr>
                <w:p w14:paraId="2E4622E0">
                  <w:pPr>
                    <w:jc w:val="center"/>
                  </w:pPr>
                  <w:r>
                    <w:rPr>
                      <w:rFonts w:hint="eastAsia"/>
                    </w:rPr>
                    <w:t>65</w:t>
                  </w:r>
                </w:p>
              </w:tc>
              <w:tc>
                <w:tcPr>
                  <w:tcW w:w="793" w:type="dxa"/>
                  <w:vAlign w:val="center"/>
                </w:tcPr>
                <w:p w14:paraId="40FA5DDD">
                  <w:pPr>
                    <w:jc w:val="center"/>
                  </w:pPr>
                  <w:r>
                    <w:rPr>
                      <w:rFonts w:hint="eastAsia"/>
                    </w:rPr>
                    <w:t>达标</w:t>
                  </w:r>
                </w:p>
              </w:tc>
            </w:tr>
            <w:tr w14:paraId="352F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73DE5339">
                  <w:pPr>
                    <w:jc w:val="center"/>
                  </w:pPr>
                </w:p>
              </w:tc>
              <w:tc>
                <w:tcPr>
                  <w:tcW w:w="994" w:type="dxa"/>
                  <w:vAlign w:val="center"/>
                </w:tcPr>
                <w:p w14:paraId="6342C68E">
                  <w:pPr>
                    <w:jc w:val="center"/>
                  </w:pPr>
                  <w:r>
                    <w:rPr>
                      <w:rFonts w:hint="eastAsia"/>
                    </w:rPr>
                    <w:t>北侧1</w:t>
                  </w:r>
                </w:p>
              </w:tc>
              <w:tc>
                <w:tcPr>
                  <w:tcW w:w="994" w:type="dxa"/>
                  <w:vAlign w:val="center"/>
                </w:tcPr>
                <w:p w14:paraId="459E4152">
                  <w:pPr>
                    <w:widowControl/>
                    <w:jc w:val="center"/>
                    <w:textAlignment w:val="center"/>
                  </w:pPr>
                  <w:r>
                    <w:rPr>
                      <w:rFonts w:hint="eastAsia"/>
                    </w:rPr>
                    <w:t>-4.23</w:t>
                  </w:r>
                </w:p>
              </w:tc>
              <w:tc>
                <w:tcPr>
                  <w:tcW w:w="994" w:type="dxa"/>
                  <w:vAlign w:val="center"/>
                </w:tcPr>
                <w:p w14:paraId="22BE1530">
                  <w:pPr>
                    <w:widowControl/>
                    <w:jc w:val="center"/>
                    <w:textAlignment w:val="center"/>
                  </w:pPr>
                  <w:r>
                    <w:rPr>
                      <w:rFonts w:hint="eastAsia"/>
                    </w:rPr>
                    <w:t>-132.47</w:t>
                  </w:r>
                </w:p>
              </w:tc>
              <w:tc>
                <w:tcPr>
                  <w:tcW w:w="763" w:type="dxa"/>
                  <w:vAlign w:val="center"/>
                </w:tcPr>
                <w:p w14:paraId="18BBE9C3">
                  <w:pPr>
                    <w:widowControl/>
                    <w:jc w:val="center"/>
                    <w:textAlignment w:val="center"/>
                  </w:pPr>
                  <w:r>
                    <w:rPr>
                      <w:rFonts w:hint="eastAsia"/>
                    </w:rPr>
                    <w:t>1.2</w:t>
                  </w:r>
                </w:p>
              </w:tc>
              <w:tc>
                <w:tcPr>
                  <w:tcW w:w="757" w:type="dxa"/>
                  <w:vAlign w:val="center"/>
                </w:tcPr>
                <w:p w14:paraId="7BD6028E">
                  <w:pPr>
                    <w:jc w:val="center"/>
                  </w:pPr>
                  <w:r>
                    <w:rPr>
                      <w:rFonts w:hint="eastAsia"/>
                    </w:rPr>
                    <w:t>昼间</w:t>
                  </w:r>
                </w:p>
              </w:tc>
              <w:tc>
                <w:tcPr>
                  <w:tcW w:w="849" w:type="dxa"/>
                  <w:vAlign w:val="center"/>
                </w:tcPr>
                <w:p w14:paraId="7965C785">
                  <w:pPr>
                    <w:jc w:val="center"/>
                  </w:pPr>
                  <w:r>
                    <w:rPr>
                      <w:rFonts w:hint="eastAsia"/>
                    </w:rPr>
                    <w:t>50.12</w:t>
                  </w:r>
                </w:p>
              </w:tc>
              <w:tc>
                <w:tcPr>
                  <w:tcW w:w="1208" w:type="dxa"/>
                  <w:vAlign w:val="center"/>
                </w:tcPr>
                <w:p w14:paraId="7AA199A8">
                  <w:pPr>
                    <w:jc w:val="center"/>
                  </w:pPr>
                  <w:r>
                    <w:rPr>
                      <w:rFonts w:hint="eastAsia"/>
                    </w:rPr>
                    <w:t>65</w:t>
                  </w:r>
                </w:p>
              </w:tc>
              <w:tc>
                <w:tcPr>
                  <w:tcW w:w="793" w:type="dxa"/>
                  <w:vAlign w:val="center"/>
                </w:tcPr>
                <w:p w14:paraId="3DC7ED70">
                  <w:pPr>
                    <w:jc w:val="center"/>
                  </w:pPr>
                  <w:r>
                    <w:rPr>
                      <w:rFonts w:hint="eastAsia"/>
                    </w:rPr>
                    <w:t>达标</w:t>
                  </w:r>
                </w:p>
              </w:tc>
            </w:tr>
            <w:tr w14:paraId="6725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5FC6058B">
                  <w:pPr>
                    <w:jc w:val="center"/>
                  </w:pPr>
                </w:p>
              </w:tc>
              <w:tc>
                <w:tcPr>
                  <w:tcW w:w="994" w:type="dxa"/>
                  <w:vAlign w:val="center"/>
                </w:tcPr>
                <w:p w14:paraId="5FFC464F">
                  <w:pPr>
                    <w:jc w:val="center"/>
                  </w:pPr>
                  <w:r>
                    <w:rPr>
                      <w:rFonts w:hint="eastAsia"/>
                    </w:rPr>
                    <w:t>北测2</w:t>
                  </w:r>
                </w:p>
              </w:tc>
              <w:tc>
                <w:tcPr>
                  <w:tcW w:w="994" w:type="dxa"/>
                  <w:vAlign w:val="center"/>
                </w:tcPr>
                <w:p w14:paraId="4BABAE21">
                  <w:pPr>
                    <w:widowControl/>
                    <w:jc w:val="center"/>
                    <w:textAlignment w:val="center"/>
                  </w:pPr>
                  <w:r>
                    <w:rPr>
                      <w:rFonts w:hint="eastAsia"/>
                    </w:rPr>
                    <w:t>23.25</w:t>
                  </w:r>
                </w:p>
              </w:tc>
              <w:tc>
                <w:tcPr>
                  <w:tcW w:w="994" w:type="dxa"/>
                  <w:vAlign w:val="center"/>
                </w:tcPr>
                <w:p w14:paraId="4574508D">
                  <w:pPr>
                    <w:widowControl/>
                    <w:jc w:val="center"/>
                    <w:textAlignment w:val="center"/>
                  </w:pPr>
                  <w:r>
                    <w:rPr>
                      <w:rFonts w:hint="eastAsia"/>
                    </w:rPr>
                    <w:t>-142.77</w:t>
                  </w:r>
                </w:p>
              </w:tc>
              <w:tc>
                <w:tcPr>
                  <w:tcW w:w="763" w:type="dxa"/>
                  <w:vAlign w:val="center"/>
                </w:tcPr>
                <w:p w14:paraId="7E25AF03">
                  <w:pPr>
                    <w:widowControl/>
                    <w:jc w:val="center"/>
                    <w:textAlignment w:val="center"/>
                  </w:pPr>
                  <w:r>
                    <w:rPr>
                      <w:rFonts w:hint="eastAsia"/>
                    </w:rPr>
                    <w:t>1.2</w:t>
                  </w:r>
                </w:p>
              </w:tc>
              <w:tc>
                <w:tcPr>
                  <w:tcW w:w="757" w:type="dxa"/>
                  <w:vAlign w:val="center"/>
                </w:tcPr>
                <w:p w14:paraId="2CC9E7B5">
                  <w:pPr>
                    <w:jc w:val="center"/>
                  </w:pPr>
                  <w:r>
                    <w:rPr>
                      <w:rFonts w:hint="eastAsia"/>
                    </w:rPr>
                    <w:t>昼间</w:t>
                  </w:r>
                </w:p>
              </w:tc>
              <w:tc>
                <w:tcPr>
                  <w:tcW w:w="849" w:type="dxa"/>
                  <w:vAlign w:val="center"/>
                </w:tcPr>
                <w:p w14:paraId="02B458A2">
                  <w:pPr>
                    <w:jc w:val="center"/>
                  </w:pPr>
                  <w:r>
                    <w:rPr>
                      <w:rFonts w:hint="eastAsia"/>
                    </w:rPr>
                    <w:t>52.83</w:t>
                  </w:r>
                </w:p>
              </w:tc>
              <w:tc>
                <w:tcPr>
                  <w:tcW w:w="1208" w:type="dxa"/>
                  <w:vAlign w:val="center"/>
                </w:tcPr>
                <w:p w14:paraId="02A3D3C0">
                  <w:pPr>
                    <w:jc w:val="center"/>
                  </w:pPr>
                  <w:r>
                    <w:rPr>
                      <w:rFonts w:hint="eastAsia"/>
                    </w:rPr>
                    <w:t>65</w:t>
                  </w:r>
                </w:p>
              </w:tc>
              <w:tc>
                <w:tcPr>
                  <w:tcW w:w="793" w:type="dxa"/>
                  <w:vAlign w:val="center"/>
                </w:tcPr>
                <w:p w14:paraId="6753A988">
                  <w:pPr>
                    <w:jc w:val="center"/>
                  </w:pPr>
                  <w:r>
                    <w:rPr>
                      <w:rFonts w:hint="eastAsia"/>
                    </w:rPr>
                    <w:t>达标</w:t>
                  </w:r>
                </w:p>
              </w:tc>
            </w:tr>
            <w:tr w14:paraId="05DB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17D9162B">
                  <w:pPr>
                    <w:jc w:val="center"/>
                  </w:pPr>
                </w:p>
              </w:tc>
              <w:tc>
                <w:tcPr>
                  <w:tcW w:w="994" w:type="dxa"/>
                  <w:vAlign w:val="center"/>
                </w:tcPr>
                <w:p w14:paraId="5ED78570">
                  <w:pPr>
                    <w:jc w:val="center"/>
                  </w:pPr>
                  <w:r>
                    <w:rPr>
                      <w:rFonts w:hint="eastAsia"/>
                    </w:rPr>
                    <w:t>北侧3</w:t>
                  </w:r>
                </w:p>
              </w:tc>
              <w:tc>
                <w:tcPr>
                  <w:tcW w:w="994" w:type="dxa"/>
                  <w:vAlign w:val="center"/>
                </w:tcPr>
                <w:p w14:paraId="62B2A048">
                  <w:pPr>
                    <w:widowControl/>
                    <w:jc w:val="center"/>
                    <w:textAlignment w:val="center"/>
                  </w:pPr>
                  <w:r>
                    <w:rPr>
                      <w:rFonts w:hint="eastAsia"/>
                    </w:rPr>
                    <w:t>49.36</w:t>
                  </w:r>
                </w:p>
              </w:tc>
              <w:tc>
                <w:tcPr>
                  <w:tcW w:w="994" w:type="dxa"/>
                  <w:vAlign w:val="center"/>
                </w:tcPr>
                <w:p w14:paraId="7BBE9329">
                  <w:pPr>
                    <w:widowControl/>
                    <w:jc w:val="center"/>
                    <w:textAlignment w:val="center"/>
                  </w:pPr>
                  <w:r>
                    <w:rPr>
                      <w:rFonts w:hint="eastAsia"/>
                    </w:rPr>
                    <w:t>-151.70</w:t>
                  </w:r>
                </w:p>
              </w:tc>
              <w:tc>
                <w:tcPr>
                  <w:tcW w:w="763" w:type="dxa"/>
                  <w:vAlign w:val="center"/>
                </w:tcPr>
                <w:p w14:paraId="27C8B04A">
                  <w:pPr>
                    <w:widowControl/>
                    <w:jc w:val="center"/>
                    <w:textAlignment w:val="center"/>
                  </w:pPr>
                  <w:r>
                    <w:rPr>
                      <w:rFonts w:hint="eastAsia"/>
                    </w:rPr>
                    <w:t>1.2</w:t>
                  </w:r>
                </w:p>
              </w:tc>
              <w:tc>
                <w:tcPr>
                  <w:tcW w:w="757" w:type="dxa"/>
                  <w:vAlign w:val="center"/>
                </w:tcPr>
                <w:p w14:paraId="5969D286">
                  <w:pPr>
                    <w:jc w:val="center"/>
                  </w:pPr>
                  <w:r>
                    <w:rPr>
                      <w:rFonts w:hint="eastAsia"/>
                    </w:rPr>
                    <w:t>昼间</w:t>
                  </w:r>
                </w:p>
              </w:tc>
              <w:tc>
                <w:tcPr>
                  <w:tcW w:w="849" w:type="dxa"/>
                  <w:vAlign w:val="center"/>
                </w:tcPr>
                <w:p w14:paraId="2D189570">
                  <w:pPr>
                    <w:jc w:val="center"/>
                  </w:pPr>
                  <w:r>
                    <w:rPr>
                      <w:rFonts w:hint="eastAsia"/>
                    </w:rPr>
                    <w:t>55.10</w:t>
                  </w:r>
                </w:p>
              </w:tc>
              <w:tc>
                <w:tcPr>
                  <w:tcW w:w="1208" w:type="dxa"/>
                  <w:vAlign w:val="center"/>
                </w:tcPr>
                <w:p w14:paraId="155C00E0">
                  <w:pPr>
                    <w:jc w:val="center"/>
                  </w:pPr>
                  <w:r>
                    <w:rPr>
                      <w:rFonts w:hint="eastAsia"/>
                    </w:rPr>
                    <w:t>65</w:t>
                  </w:r>
                </w:p>
              </w:tc>
              <w:tc>
                <w:tcPr>
                  <w:tcW w:w="793" w:type="dxa"/>
                  <w:vAlign w:val="center"/>
                </w:tcPr>
                <w:p w14:paraId="1CBD3D02">
                  <w:pPr>
                    <w:jc w:val="center"/>
                  </w:pPr>
                  <w:r>
                    <w:rPr>
                      <w:rFonts w:hint="eastAsia"/>
                    </w:rPr>
                    <w:t>达标</w:t>
                  </w:r>
                </w:p>
              </w:tc>
            </w:tr>
            <w:tr w14:paraId="0D10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restart"/>
                  <w:vAlign w:val="center"/>
                </w:tcPr>
                <w:p w14:paraId="10B7C44A">
                  <w:pPr>
                    <w:jc w:val="center"/>
                  </w:pPr>
                  <w:r>
                    <w:rPr>
                      <w:rFonts w:hint="eastAsia"/>
                    </w:rPr>
                    <w:t>东厂房</w:t>
                  </w:r>
                </w:p>
              </w:tc>
              <w:tc>
                <w:tcPr>
                  <w:tcW w:w="994" w:type="dxa"/>
                  <w:vAlign w:val="center"/>
                </w:tcPr>
                <w:p w14:paraId="78C55678">
                  <w:pPr>
                    <w:jc w:val="center"/>
                  </w:pPr>
                  <w:r>
                    <w:rPr>
                      <w:rFonts w:hint="eastAsia"/>
                    </w:rPr>
                    <w:t>东侧1</w:t>
                  </w:r>
                </w:p>
              </w:tc>
              <w:tc>
                <w:tcPr>
                  <w:tcW w:w="994" w:type="dxa"/>
                  <w:vAlign w:val="center"/>
                </w:tcPr>
                <w:p w14:paraId="2B3BF3A5">
                  <w:pPr>
                    <w:widowControl/>
                    <w:jc w:val="center"/>
                    <w:textAlignment w:val="center"/>
                  </w:pPr>
                  <w:r>
                    <w:rPr>
                      <w:rFonts w:hint="eastAsia"/>
                    </w:rPr>
                    <w:t>164.08</w:t>
                  </w:r>
                </w:p>
              </w:tc>
              <w:tc>
                <w:tcPr>
                  <w:tcW w:w="994" w:type="dxa"/>
                  <w:vAlign w:val="center"/>
                </w:tcPr>
                <w:p w14:paraId="69897C14">
                  <w:pPr>
                    <w:widowControl/>
                    <w:jc w:val="center"/>
                    <w:textAlignment w:val="center"/>
                  </w:pPr>
                  <w:r>
                    <w:rPr>
                      <w:rFonts w:hint="eastAsia"/>
                    </w:rPr>
                    <w:t>-201.16</w:t>
                  </w:r>
                </w:p>
              </w:tc>
              <w:tc>
                <w:tcPr>
                  <w:tcW w:w="763" w:type="dxa"/>
                  <w:vAlign w:val="center"/>
                </w:tcPr>
                <w:p w14:paraId="4D7C59CC">
                  <w:pPr>
                    <w:widowControl/>
                    <w:jc w:val="center"/>
                    <w:textAlignment w:val="center"/>
                  </w:pPr>
                  <w:r>
                    <w:rPr>
                      <w:rFonts w:hint="eastAsia"/>
                    </w:rPr>
                    <w:t>1.2</w:t>
                  </w:r>
                </w:p>
              </w:tc>
              <w:tc>
                <w:tcPr>
                  <w:tcW w:w="757" w:type="dxa"/>
                  <w:vAlign w:val="center"/>
                </w:tcPr>
                <w:p w14:paraId="21D5F30D">
                  <w:pPr>
                    <w:jc w:val="center"/>
                  </w:pPr>
                  <w:r>
                    <w:rPr>
                      <w:rFonts w:hint="eastAsia"/>
                    </w:rPr>
                    <w:t>昼间</w:t>
                  </w:r>
                </w:p>
              </w:tc>
              <w:tc>
                <w:tcPr>
                  <w:tcW w:w="849" w:type="dxa"/>
                  <w:vAlign w:val="center"/>
                </w:tcPr>
                <w:p w14:paraId="0129E1D8">
                  <w:pPr>
                    <w:jc w:val="center"/>
                  </w:pPr>
                  <w:r>
                    <w:rPr>
                      <w:rFonts w:hint="eastAsia"/>
                    </w:rPr>
                    <w:t>54.30</w:t>
                  </w:r>
                </w:p>
              </w:tc>
              <w:tc>
                <w:tcPr>
                  <w:tcW w:w="1208" w:type="dxa"/>
                  <w:vAlign w:val="center"/>
                </w:tcPr>
                <w:p w14:paraId="5F1E39DD">
                  <w:pPr>
                    <w:jc w:val="center"/>
                  </w:pPr>
                  <w:r>
                    <w:rPr>
                      <w:rFonts w:hint="eastAsia"/>
                    </w:rPr>
                    <w:t>65</w:t>
                  </w:r>
                </w:p>
              </w:tc>
              <w:tc>
                <w:tcPr>
                  <w:tcW w:w="793" w:type="dxa"/>
                  <w:vAlign w:val="center"/>
                </w:tcPr>
                <w:p w14:paraId="63528541">
                  <w:pPr>
                    <w:jc w:val="center"/>
                  </w:pPr>
                  <w:r>
                    <w:rPr>
                      <w:rFonts w:hint="eastAsia"/>
                    </w:rPr>
                    <w:t>达标</w:t>
                  </w:r>
                </w:p>
              </w:tc>
            </w:tr>
            <w:tr w14:paraId="45A4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532AEF0">
                  <w:pPr>
                    <w:jc w:val="center"/>
                  </w:pPr>
                </w:p>
              </w:tc>
              <w:tc>
                <w:tcPr>
                  <w:tcW w:w="994" w:type="dxa"/>
                  <w:vAlign w:val="center"/>
                </w:tcPr>
                <w:p w14:paraId="4680E841">
                  <w:pPr>
                    <w:jc w:val="center"/>
                  </w:pPr>
                  <w:r>
                    <w:rPr>
                      <w:rFonts w:hint="eastAsia"/>
                    </w:rPr>
                    <w:t>东侧2</w:t>
                  </w:r>
                </w:p>
              </w:tc>
              <w:tc>
                <w:tcPr>
                  <w:tcW w:w="994" w:type="dxa"/>
                  <w:vAlign w:val="center"/>
                </w:tcPr>
                <w:p w14:paraId="21E09FA2">
                  <w:pPr>
                    <w:widowControl/>
                    <w:jc w:val="center"/>
                    <w:textAlignment w:val="center"/>
                  </w:pPr>
                  <w:r>
                    <w:rPr>
                      <w:rFonts w:hint="eastAsia"/>
                    </w:rPr>
                    <w:t>174.39</w:t>
                  </w:r>
                </w:p>
              </w:tc>
              <w:tc>
                <w:tcPr>
                  <w:tcW w:w="994" w:type="dxa"/>
                  <w:vAlign w:val="center"/>
                </w:tcPr>
                <w:p w14:paraId="73F7DD39">
                  <w:pPr>
                    <w:widowControl/>
                    <w:jc w:val="center"/>
                    <w:textAlignment w:val="center"/>
                  </w:pPr>
                  <w:r>
                    <w:rPr>
                      <w:rFonts w:hint="eastAsia"/>
                    </w:rPr>
                    <w:t>-181.24</w:t>
                  </w:r>
                </w:p>
              </w:tc>
              <w:tc>
                <w:tcPr>
                  <w:tcW w:w="763" w:type="dxa"/>
                  <w:vAlign w:val="center"/>
                </w:tcPr>
                <w:p w14:paraId="525B9C6C">
                  <w:pPr>
                    <w:widowControl/>
                    <w:jc w:val="center"/>
                    <w:textAlignment w:val="center"/>
                  </w:pPr>
                  <w:r>
                    <w:rPr>
                      <w:rFonts w:hint="eastAsia"/>
                    </w:rPr>
                    <w:t>1.2</w:t>
                  </w:r>
                </w:p>
              </w:tc>
              <w:tc>
                <w:tcPr>
                  <w:tcW w:w="757" w:type="dxa"/>
                  <w:vAlign w:val="center"/>
                </w:tcPr>
                <w:p w14:paraId="76F77526">
                  <w:pPr>
                    <w:jc w:val="center"/>
                  </w:pPr>
                  <w:r>
                    <w:rPr>
                      <w:rFonts w:hint="eastAsia"/>
                    </w:rPr>
                    <w:t>昼间</w:t>
                  </w:r>
                </w:p>
              </w:tc>
              <w:tc>
                <w:tcPr>
                  <w:tcW w:w="849" w:type="dxa"/>
                  <w:vAlign w:val="center"/>
                </w:tcPr>
                <w:p w14:paraId="12D61F39">
                  <w:pPr>
                    <w:jc w:val="center"/>
                  </w:pPr>
                  <w:r>
                    <w:rPr>
                      <w:rFonts w:hint="eastAsia"/>
                    </w:rPr>
                    <w:t>53.61</w:t>
                  </w:r>
                </w:p>
              </w:tc>
              <w:tc>
                <w:tcPr>
                  <w:tcW w:w="1208" w:type="dxa"/>
                  <w:vAlign w:val="center"/>
                </w:tcPr>
                <w:p w14:paraId="153C91C1">
                  <w:pPr>
                    <w:jc w:val="center"/>
                  </w:pPr>
                  <w:r>
                    <w:rPr>
                      <w:rFonts w:hint="eastAsia"/>
                    </w:rPr>
                    <w:t>65</w:t>
                  </w:r>
                </w:p>
              </w:tc>
              <w:tc>
                <w:tcPr>
                  <w:tcW w:w="793" w:type="dxa"/>
                  <w:vAlign w:val="center"/>
                </w:tcPr>
                <w:p w14:paraId="0F85826A">
                  <w:pPr>
                    <w:jc w:val="center"/>
                  </w:pPr>
                  <w:r>
                    <w:rPr>
                      <w:rFonts w:hint="eastAsia"/>
                    </w:rPr>
                    <w:t>达标</w:t>
                  </w:r>
                </w:p>
              </w:tc>
            </w:tr>
            <w:tr w14:paraId="3B6B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2CB7AF18">
                  <w:pPr>
                    <w:jc w:val="center"/>
                  </w:pPr>
                </w:p>
              </w:tc>
              <w:tc>
                <w:tcPr>
                  <w:tcW w:w="994" w:type="dxa"/>
                  <w:vAlign w:val="center"/>
                </w:tcPr>
                <w:p w14:paraId="6FE74BC6">
                  <w:pPr>
                    <w:jc w:val="center"/>
                  </w:pPr>
                  <w:r>
                    <w:rPr>
                      <w:rFonts w:hint="eastAsia"/>
                    </w:rPr>
                    <w:t>南侧1</w:t>
                  </w:r>
                </w:p>
              </w:tc>
              <w:tc>
                <w:tcPr>
                  <w:tcW w:w="994" w:type="dxa"/>
                  <w:vAlign w:val="center"/>
                </w:tcPr>
                <w:p w14:paraId="41D31286">
                  <w:pPr>
                    <w:widowControl/>
                    <w:jc w:val="center"/>
                    <w:textAlignment w:val="center"/>
                  </w:pPr>
                  <w:r>
                    <w:rPr>
                      <w:rFonts w:hint="eastAsia"/>
                    </w:rPr>
                    <w:t>135.92</w:t>
                  </w:r>
                </w:p>
              </w:tc>
              <w:tc>
                <w:tcPr>
                  <w:tcW w:w="994" w:type="dxa"/>
                  <w:vAlign w:val="center"/>
                </w:tcPr>
                <w:p w14:paraId="545527A0">
                  <w:pPr>
                    <w:widowControl/>
                    <w:jc w:val="center"/>
                    <w:textAlignment w:val="center"/>
                  </w:pPr>
                  <w:r>
                    <w:rPr>
                      <w:rFonts w:hint="eastAsia"/>
                    </w:rPr>
                    <w:t>-212.84</w:t>
                  </w:r>
                </w:p>
              </w:tc>
              <w:tc>
                <w:tcPr>
                  <w:tcW w:w="763" w:type="dxa"/>
                  <w:vAlign w:val="center"/>
                </w:tcPr>
                <w:p w14:paraId="70745105">
                  <w:pPr>
                    <w:widowControl/>
                    <w:jc w:val="center"/>
                    <w:textAlignment w:val="center"/>
                  </w:pPr>
                  <w:r>
                    <w:rPr>
                      <w:rFonts w:hint="eastAsia"/>
                    </w:rPr>
                    <w:t>1.2</w:t>
                  </w:r>
                </w:p>
              </w:tc>
              <w:tc>
                <w:tcPr>
                  <w:tcW w:w="757" w:type="dxa"/>
                  <w:vAlign w:val="center"/>
                </w:tcPr>
                <w:p w14:paraId="4470F007">
                  <w:pPr>
                    <w:jc w:val="center"/>
                  </w:pPr>
                  <w:r>
                    <w:rPr>
                      <w:rFonts w:hint="eastAsia"/>
                    </w:rPr>
                    <w:t>昼间</w:t>
                  </w:r>
                </w:p>
              </w:tc>
              <w:tc>
                <w:tcPr>
                  <w:tcW w:w="849" w:type="dxa"/>
                  <w:vAlign w:val="center"/>
                </w:tcPr>
                <w:p w14:paraId="4FB394D4">
                  <w:pPr>
                    <w:jc w:val="center"/>
                  </w:pPr>
                  <w:r>
                    <w:rPr>
                      <w:rFonts w:hint="eastAsia"/>
                    </w:rPr>
                    <w:t>50.71</w:t>
                  </w:r>
                </w:p>
              </w:tc>
              <w:tc>
                <w:tcPr>
                  <w:tcW w:w="1208" w:type="dxa"/>
                  <w:vAlign w:val="center"/>
                </w:tcPr>
                <w:p w14:paraId="1A3FE50F">
                  <w:pPr>
                    <w:jc w:val="center"/>
                  </w:pPr>
                  <w:r>
                    <w:rPr>
                      <w:rFonts w:hint="eastAsia"/>
                    </w:rPr>
                    <w:t>65</w:t>
                  </w:r>
                </w:p>
              </w:tc>
              <w:tc>
                <w:tcPr>
                  <w:tcW w:w="793" w:type="dxa"/>
                  <w:vAlign w:val="center"/>
                </w:tcPr>
                <w:p w14:paraId="34F43AC3">
                  <w:pPr>
                    <w:jc w:val="center"/>
                  </w:pPr>
                  <w:r>
                    <w:rPr>
                      <w:rFonts w:hint="eastAsia"/>
                    </w:rPr>
                    <w:t>达标</w:t>
                  </w:r>
                </w:p>
              </w:tc>
            </w:tr>
            <w:tr w14:paraId="5FA9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5962772">
                  <w:pPr>
                    <w:jc w:val="center"/>
                  </w:pPr>
                </w:p>
              </w:tc>
              <w:tc>
                <w:tcPr>
                  <w:tcW w:w="994" w:type="dxa"/>
                  <w:vAlign w:val="center"/>
                </w:tcPr>
                <w:p w14:paraId="4ED39774">
                  <w:pPr>
                    <w:jc w:val="center"/>
                  </w:pPr>
                  <w:r>
                    <w:rPr>
                      <w:rFonts w:hint="eastAsia"/>
                    </w:rPr>
                    <w:t>南侧2</w:t>
                  </w:r>
                </w:p>
              </w:tc>
              <w:tc>
                <w:tcPr>
                  <w:tcW w:w="994" w:type="dxa"/>
                  <w:vAlign w:val="center"/>
                </w:tcPr>
                <w:p w14:paraId="7921F22E">
                  <w:pPr>
                    <w:widowControl/>
                    <w:jc w:val="center"/>
                    <w:textAlignment w:val="center"/>
                  </w:pPr>
                  <w:r>
                    <w:rPr>
                      <w:rFonts w:hint="eastAsia"/>
                    </w:rPr>
                    <w:t>153.78</w:t>
                  </w:r>
                </w:p>
              </w:tc>
              <w:tc>
                <w:tcPr>
                  <w:tcW w:w="994" w:type="dxa"/>
                  <w:vAlign w:val="center"/>
                </w:tcPr>
                <w:p w14:paraId="2004D1E0">
                  <w:pPr>
                    <w:widowControl/>
                    <w:jc w:val="center"/>
                    <w:textAlignment w:val="center"/>
                  </w:pPr>
                  <w:r>
                    <w:rPr>
                      <w:rFonts w:hint="eastAsia"/>
                    </w:rPr>
                    <w:t>-225.21</w:t>
                  </w:r>
                </w:p>
              </w:tc>
              <w:tc>
                <w:tcPr>
                  <w:tcW w:w="763" w:type="dxa"/>
                  <w:vAlign w:val="center"/>
                </w:tcPr>
                <w:p w14:paraId="1FE2F372">
                  <w:pPr>
                    <w:widowControl/>
                    <w:jc w:val="center"/>
                    <w:textAlignment w:val="center"/>
                  </w:pPr>
                  <w:r>
                    <w:rPr>
                      <w:rFonts w:hint="eastAsia"/>
                    </w:rPr>
                    <w:t>1.2</w:t>
                  </w:r>
                </w:p>
              </w:tc>
              <w:tc>
                <w:tcPr>
                  <w:tcW w:w="757" w:type="dxa"/>
                  <w:vAlign w:val="center"/>
                </w:tcPr>
                <w:p w14:paraId="303AA83B">
                  <w:pPr>
                    <w:jc w:val="center"/>
                  </w:pPr>
                  <w:r>
                    <w:rPr>
                      <w:rFonts w:hint="eastAsia"/>
                    </w:rPr>
                    <w:t>昼间</w:t>
                  </w:r>
                </w:p>
              </w:tc>
              <w:tc>
                <w:tcPr>
                  <w:tcW w:w="849" w:type="dxa"/>
                  <w:vAlign w:val="center"/>
                </w:tcPr>
                <w:p w14:paraId="7EA78BF1">
                  <w:pPr>
                    <w:jc w:val="center"/>
                  </w:pPr>
                  <w:r>
                    <w:rPr>
                      <w:rFonts w:hint="eastAsia"/>
                    </w:rPr>
                    <w:t>52.58</w:t>
                  </w:r>
                </w:p>
              </w:tc>
              <w:tc>
                <w:tcPr>
                  <w:tcW w:w="1208" w:type="dxa"/>
                  <w:vAlign w:val="center"/>
                </w:tcPr>
                <w:p w14:paraId="6313A016">
                  <w:pPr>
                    <w:jc w:val="center"/>
                  </w:pPr>
                  <w:r>
                    <w:rPr>
                      <w:rFonts w:hint="eastAsia"/>
                    </w:rPr>
                    <w:t>65</w:t>
                  </w:r>
                </w:p>
              </w:tc>
              <w:tc>
                <w:tcPr>
                  <w:tcW w:w="793" w:type="dxa"/>
                  <w:vAlign w:val="center"/>
                </w:tcPr>
                <w:p w14:paraId="2E83AD45">
                  <w:pPr>
                    <w:jc w:val="center"/>
                  </w:pPr>
                  <w:r>
                    <w:rPr>
                      <w:rFonts w:hint="eastAsia"/>
                    </w:rPr>
                    <w:t>达标</w:t>
                  </w:r>
                </w:p>
              </w:tc>
            </w:tr>
            <w:tr w14:paraId="22E4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658143A">
                  <w:pPr>
                    <w:jc w:val="center"/>
                  </w:pPr>
                </w:p>
              </w:tc>
              <w:tc>
                <w:tcPr>
                  <w:tcW w:w="994" w:type="dxa"/>
                  <w:vAlign w:val="center"/>
                </w:tcPr>
                <w:p w14:paraId="26FF814F">
                  <w:pPr>
                    <w:jc w:val="center"/>
                  </w:pPr>
                  <w:r>
                    <w:rPr>
                      <w:rFonts w:hint="eastAsia"/>
                    </w:rPr>
                    <w:t>西侧1</w:t>
                  </w:r>
                </w:p>
              </w:tc>
              <w:tc>
                <w:tcPr>
                  <w:tcW w:w="994" w:type="dxa"/>
                  <w:vAlign w:val="center"/>
                </w:tcPr>
                <w:p w14:paraId="0423A3D8">
                  <w:pPr>
                    <w:widowControl/>
                    <w:jc w:val="center"/>
                    <w:textAlignment w:val="center"/>
                  </w:pPr>
                  <w:r>
                    <w:rPr>
                      <w:rFonts w:hint="eastAsia"/>
                    </w:rPr>
                    <w:t>159.27</w:t>
                  </w:r>
                </w:p>
              </w:tc>
              <w:tc>
                <w:tcPr>
                  <w:tcW w:w="994" w:type="dxa"/>
                  <w:vAlign w:val="center"/>
                </w:tcPr>
                <w:p w14:paraId="7DDFA26C">
                  <w:pPr>
                    <w:widowControl/>
                    <w:jc w:val="center"/>
                    <w:textAlignment w:val="center"/>
                  </w:pPr>
                  <w:r>
                    <w:rPr>
                      <w:rFonts w:hint="eastAsia"/>
                    </w:rPr>
                    <w:t>-168.19</w:t>
                  </w:r>
                </w:p>
              </w:tc>
              <w:tc>
                <w:tcPr>
                  <w:tcW w:w="763" w:type="dxa"/>
                  <w:vAlign w:val="center"/>
                </w:tcPr>
                <w:p w14:paraId="5AD6EEAF">
                  <w:pPr>
                    <w:widowControl/>
                    <w:jc w:val="center"/>
                    <w:textAlignment w:val="center"/>
                  </w:pPr>
                  <w:r>
                    <w:rPr>
                      <w:rFonts w:hint="eastAsia"/>
                    </w:rPr>
                    <w:t>1.2</w:t>
                  </w:r>
                </w:p>
              </w:tc>
              <w:tc>
                <w:tcPr>
                  <w:tcW w:w="757" w:type="dxa"/>
                  <w:vAlign w:val="center"/>
                </w:tcPr>
                <w:p w14:paraId="3CAD2843">
                  <w:pPr>
                    <w:jc w:val="center"/>
                  </w:pPr>
                  <w:r>
                    <w:rPr>
                      <w:rFonts w:hint="eastAsia"/>
                    </w:rPr>
                    <w:t>昼间</w:t>
                  </w:r>
                </w:p>
              </w:tc>
              <w:tc>
                <w:tcPr>
                  <w:tcW w:w="849" w:type="dxa"/>
                  <w:vAlign w:val="center"/>
                </w:tcPr>
                <w:p w14:paraId="7CD6BE2D">
                  <w:pPr>
                    <w:jc w:val="center"/>
                  </w:pPr>
                  <w:r>
                    <w:rPr>
                      <w:rFonts w:hint="eastAsia"/>
                    </w:rPr>
                    <w:t>53.26</w:t>
                  </w:r>
                </w:p>
              </w:tc>
              <w:tc>
                <w:tcPr>
                  <w:tcW w:w="1208" w:type="dxa"/>
                  <w:vAlign w:val="center"/>
                </w:tcPr>
                <w:p w14:paraId="70943E24">
                  <w:pPr>
                    <w:jc w:val="center"/>
                  </w:pPr>
                  <w:r>
                    <w:rPr>
                      <w:rFonts w:hint="eastAsia"/>
                    </w:rPr>
                    <w:t>65</w:t>
                  </w:r>
                </w:p>
              </w:tc>
              <w:tc>
                <w:tcPr>
                  <w:tcW w:w="793" w:type="dxa"/>
                  <w:vAlign w:val="center"/>
                </w:tcPr>
                <w:p w14:paraId="0C50AA1A">
                  <w:pPr>
                    <w:jc w:val="center"/>
                  </w:pPr>
                  <w:r>
                    <w:rPr>
                      <w:rFonts w:hint="eastAsia"/>
                    </w:rPr>
                    <w:t>达标</w:t>
                  </w:r>
                </w:p>
              </w:tc>
            </w:tr>
            <w:tr w14:paraId="4AEC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7FE24E94">
                  <w:pPr>
                    <w:jc w:val="center"/>
                  </w:pPr>
                </w:p>
              </w:tc>
              <w:tc>
                <w:tcPr>
                  <w:tcW w:w="994" w:type="dxa"/>
                  <w:vAlign w:val="center"/>
                </w:tcPr>
                <w:p w14:paraId="37B4B7E4">
                  <w:pPr>
                    <w:jc w:val="center"/>
                  </w:pPr>
                  <w:r>
                    <w:rPr>
                      <w:rFonts w:hint="eastAsia"/>
                    </w:rPr>
                    <w:t>西侧2</w:t>
                  </w:r>
                </w:p>
              </w:tc>
              <w:tc>
                <w:tcPr>
                  <w:tcW w:w="994" w:type="dxa"/>
                  <w:vAlign w:val="center"/>
                </w:tcPr>
                <w:p w14:paraId="1F82A7A6">
                  <w:pPr>
                    <w:widowControl/>
                    <w:jc w:val="center"/>
                    <w:textAlignment w:val="center"/>
                  </w:pPr>
                  <w:r>
                    <w:rPr>
                      <w:rFonts w:hint="eastAsia"/>
                    </w:rPr>
                    <w:t>148.28</w:t>
                  </w:r>
                </w:p>
              </w:tc>
              <w:tc>
                <w:tcPr>
                  <w:tcW w:w="994" w:type="dxa"/>
                  <w:vAlign w:val="center"/>
                </w:tcPr>
                <w:p w14:paraId="1466CD69">
                  <w:pPr>
                    <w:widowControl/>
                    <w:jc w:val="center"/>
                    <w:textAlignment w:val="center"/>
                  </w:pPr>
                  <w:r>
                    <w:rPr>
                      <w:rFonts w:hint="eastAsia"/>
                    </w:rPr>
                    <w:t>-191.55</w:t>
                  </w:r>
                </w:p>
              </w:tc>
              <w:tc>
                <w:tcPr>
                  <w:tcW w:w="763" w:type="dxa"/>
                  <w:vAlign w:val="center"/>
                </w:tcPr>
                <w:p w14:paraId="06A0338B">
                  <w:pPr>
                    <w:widowControl/>
                    <w:jc w:val="center"/>
                    <w:textAlignment w:val="center"/>
                  </w:pPr>
                  <w:r>
                    <w:rPr>
                      <w:rFonts w:hint="eastAsia"/>
                    </w:rPr>
                    <w:t>1.2</w:t>
                  </w:r>
                </w:p>
              </w:tc>
              <w:tc>
                <w:tcPr>
                  <w:tcW w:w="757" w:type="dxa"/>
                  <w:vAlign w:val="center"/>
                </w:tcPr>
                <w:p w14:paraId="2787EF94">
                  <w:pPr>
                    <w:jc w:val="center"/>
                  </w:pPr>
                  <w:r>
                    <w:rPr>
                      <w:rFonts w:hint="eastAsia"/>
                    </w:rPr>
                    <w:t>昼间</w:t>
                  </w:r>
                </w:p>
              </w:tc>
              <w:tc>
                <w:tcPr>
                  <w:tcW w:w="849" w:type="dxa"/>
                  <w:vAlign w:val="center"/>
                </w:tcPr>
                <w:p w14:paraId="645F4CEB">
                  <w:pPr>
                    <w:jc w:val="center"/>
                  </w:pPr>
                  <w:r>
                    <w:rPr>
                      <w:rFonts w:hint="eastAsia"/>
                    </w:rPr>
                    <w:t>52.56</w:t>
                  </w:r>
                </w:p>
              </w:tc>
              <w:tc>
                <w:tcPr>
                  <w:tcW w:w="1208" w:type="dxa"/>
                  <w:vAlign w:val="center"/>
                </w:tcPr>
                <w:p w14:paraId="28011721">
                  <w:pPr>
                    <w:jc w:val="center"/>
                  </w:pPr>
                  <w:r>
                    <w:rPr>
                      <w:rFonts w:hint="eastAsia"/>
                    </w:rPr>
                    <w:t>65</w:t>
                  </w:r>
                </w:p>
              </w:tc>
              <w:tc>
                <w:tcPr>
                  <w:tcW w:w="793" w:type="dxa"/>
                  <w:vAlign w:val="center"/>
                </w:tcPr>
                <w:p w14:paraId="7C0BEAAD">
                  <w:pPr>
                    <w:jc w:val="center"/>
                  </w:pPr>
                  <w:r>
                    <w:rPr>
                      <w:rFonts w:hint="eastAsia"/>
                    </w:rPr>
                    <w:t>达标</w:t>
                  </w:r>
                </w:p>
              </w:tc>
            </w:tr>
            <w:tr w14:paraId="4332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4CD03E11">
                  <w:pPr>
                    <w:jc w:val="center"/>
                  </w:pPr>
                </w:p>
              </w:tc>
              <w:tc>
                <w:tcPr>
                  <w:tcW w:w="994" w:type="dxa"/>
                  <w:vAlign w:val="center"/>
                </w:tcPr>
                <w:p w14:paraId="44DE62CC">
                  <w:pPr>
                    <w:jc w:val="center"/>
                  </w:pPr>
                  <w:r>
                    <w:rPr>
                      <w:rFonts w:hint="eastAsia"/>
                    </w:rPr>
                    <w:t>北侧1</w:t>
                  </w:r>
                </w:p>
              </w:tc>
              <w:tc>
                <w:tcPr>
                  <w:tcW w:w="994" w:type="dxa"/>
                  <w:vAlign w:val="center"/>
                </w:tcPr>
                <w:p w14:paraId="49EBAB5E">
                  <w:pPr>
                    <w:widowControl/>
                    <w:jc w:val="center"/>
                    <w:textAlignment w:val="center"/>
                  </w:pPr>
                  <w:r>
                    <w:rPr>
                      <w:rFonts w:hint="eastAsia"/>
                    </w:rPr>
                    <w:t>186.07</w:t>
                  </w:r>
                </w:p>
              </w:tc>
              <w:tc>
                <w:tcPr>
                  <w:tcW w:w="994" w:type="dxa"/>
                  <w:vAlign w:val="center"/>
                </w:tcPr>
                <w:p w14:paraId="570782F8">
                  <w:pPr>
                    <w:widowControl/>
                    <w:jc w:val="center"/>
                    <w:textAlignment w:val="center"/>
                  </w:pPr>
                  <w:r>
                    <w:rPr>
                      <w:rFonts w:hint="eastAsia"/>
                    </w:rPr>
                    <w:t>-155.14</w:t>
                  </w:r>
                </w:p>
              </w:tc>
              <w:tc>
                <w:tcPr>
                  <w:tcW w:w="763" w:type="dxa"/>
                  <w:vAlign w:val="center"/>
                </w:tcPr>
                <w:p w14:paraId="3A0B2BDA">
                  <w:pPr>
                    <w:widowControl/>
                    <w:jc w:val="center"/>
                    <w:textAlignment w:val="center"/>
                  </w:pPr>
                  <w:r>
                    <w:rPr>
                      <w:rFonts w:hint="eastAsia"/>
                    </w:rPr>
                    <w:t>1.2</w:t>
                  </w:r>
                </w:p>
              </w:tc>
              <w:tc>
                <w:tcPr>
                  <w:tcW w:w="757" w:type="dxa"/>
                  <w:vAlign w:val="center"/>
                </w:tcPr>
                <w:p w14:paraId="2B4A844B">
                  <w:pPr>
                    <w:jc w:val="center"/>
                  </w:pPr>
                  <w:r>
                    <w:rPr>
                      <w:rFonts w:hint="eastAsia"/>
                    </w:rPr>
                    <w:t>昼间</w:t>
                  </w:r>
                </w:p>
              </w:tc>
              <w:tc>
                <w:tcPr>
                  <w:tcW w:w="849" w:type="dxa"/>
                  <w:vAlign w:val="center"/>
                </w:tcPr>
                <w:p w14:paraId="4C6D0F68">
                  <w:pPr>
                    <w:jc w:val="center"/>
                  </w:pPr>
                  <w:r>
                    <w:rPr>
                      <w:rFonts w:hint="eastAsia"/>
                    </w:rPr>
                    <w:t>55.52</w:t>
                  </w:r>
                </w:p>
              </w:tc>
              <w:tc>
                <w:tcPr>
                  <w:tcW w:w="1208" w:type="dxa"/>
                  <w:vAlign w:val="center"/>
                </w:tcPr>
                <w:p w14:paraId="6F299B31">
                  <w:pPr>
                    <w:jc w:val="center"/>
                  </w:pPr>
                  <w:r>
                    <w:rPr>
                      <w:rFonts w:hint="eastAsia"/>
                    </w:rPr>
                    <w:t>65</w:t>
                  </w:r>
                </w:p>
              </w:tc>
              <w:tc>
                <w:tcPr>
                  <w:tcW w:w="793" w:type="dxa"/>
                  <w:vAlign w:val="center"/>
                </w:tcPr>
                <w:p w14:paraId="7FFE486B">
                  <w:pPr>
                    <w:jc w:val="center"/>
                  </w:pPr>
                  <w:r>
                    <w:rPr>
                      <w:rFonts w:hint="eastAsia"/>
                    </w:rPr>
                    <w:t>达标</w:t>
                  </w:r>
                </w:p>
              </w:tc>
            </w:tr>
            <w:tr w14:paraId="1EEF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B9914D6">
                  <w:pPr>
                    <w:jc w:val="center"/>
                  </w:pPr>
                </w:p>
              </w:tc>
              <w:tc>
                <w:tcPr>
                  <w:tcW w:w="994" w:type="dxa"/>
                  <w:vAlign w:val="center"/>
                </w:tcPr>
                <w:p w14:paraId="49FD6052">
                  <w:pPr>
                    <w:jc w:val="center"/>
                  </w:pPr>
                  <w:r>
                    <w:rPr>
                      <w:rFonts w:hint="eastAsia"/>
                    </w:rPr>
                    <w:t>北侧2</w:t>
                  </w:r>
                </w:p>
              </w:tc>
              <w:tc>
                <w:tcPr>
                  <w:tcW w:w="994" w:type="dxa"/>
                  <w:vAlign w:val="center"/>
                </w:tcPr>
                <w:p w14:paraId="23400A9B">
                  <w:pPr>
                    <w:widowControl/>
                    <w:jc w:val="center"/>
                    <w:textAlignment w:val="center"/>
                  </w:pPr>
                  <w:r>
                    <w:rPr>
                      <w:rFonts w:hint="eastAsia"/>
                    </w:rPr>
                    <w:t>171.64</w:t>
                  </w:r>
                </w:p>
              </w:tc>
              <w:tc>
                <w:tcPr>
                  <w:tcW w:w="994" w:type="dxa"/>
                  <w:vAlign w:val="center"/>
                </w:tcPr>
                <w:p w14:paraId="012551C2">
                  <w:pPr>
                    <w:widowControl/>
                    <w:jc w:val="center"/>
                    <w:textAlignment w:val="center"/>
                  </w:pPr>
                  <w:r>
                    <w:rPr>
                      <w:rFonts w:hint="eastAsia"/>
                    </w:rPr>
                    <w:t>-146.89</w:t>
                  </w:r>
                </w:p>
              </w:tc>
              <w:tc>
                <w:tcPr>
                  <w:tcW w:w="763" w:type="dxa"/>
                  <w:vAlign w:val="center"/>
                </w:tcPr>
                <w:p w14:paraId="5915DA40">
                  <w:pPr>
                    <w:widowControl/>
                    <w:jc w:val="center"/>
                    <w:textAlignment w:val="center"/>
                  </w:pPr>
                  <w:r>
                    <w:rPr>
                      <w:rFonts w:hint="eastAsia"/>
                    </w:rPr>
                    <w:t>1.2</w:t>
                  </w:r>
                </w:p>
              </w:tc>
              <w:tc>
                <w:tcPr>
                  <w:tcW w:w="757" w:type="dxa"/>
                  <w:vAlign w:val="center"/>
                </w:tcPr>
                <w:p w14:paraId="15F74B93">
                  <w:pPr>
                    <w:jc w:val="center"/>
                  </w:pPr>
                  <w:r>
                    <w:rPr>
                      <w:rFonts w:hint="eastAsia"/>
                    </w:rPr>
                    <w:t>昼间</w:t>
                  </w:r>
                </w:p>
              </w:tc>
              <w:tc>
                <w:tcPr>
                  <w:tcW w:w="849" w:type="dxa"/>
                  <w:vAlign w:val="center"/>
                </w:tcPr>
                <w:p w14:paraId="6B024422">
                  <w:pPr>
                    <w:jc w:val="center"/>
                  </w:pPr>
                  <w:r>
                    <w:rPr>
                      <w:rFonts w:hint="eastAsia"/>
                    </w:rPr>
                    <w:t>53.26</w:t>
                  </w:r>
                </w:p>
              </w:tc>
              <w:tc>
                <w:tcPr>
                  <w:tcW w:w="1208" w:type="dxa"/>
                  <w:vAlign w:val="center"/>
                </w:tcPr>
                <w:p w14:paraId="212E872F">
                  <w:pPr>
                    <w:jc w:val="center"/>
                  </w:pPr>
                  <w:r>
                    <w:rPr>
                      <w:rFonts w:hint="eastAsia"/>
                    </w:rPr>
                    <w:t>65</w:t>
                  </w:r>
                </w:p>
              </w:tc>
              <w:tc>
                <w:tcPr>
                  <w:tcW w:w="793" w:type="dxa"/>
                  <w:vAlign w:val="center"/>
                </w:tcPr>
                <w:p w14:paraId="5973E563">
                  <w:pPr>
                    <w:jc w:val="center"/>
                  </w:pPr>
                  <w:r>
                    <w:rPr>
                      <w:rFonts w:hint="eastAsia"/>
                    </w:rPr>
                    <w:t>达标</w:t>
                  </w:r>
                </w:p>
              </w:tc>
            </w:tr>
          </w:tbl>
          <w:p w14:paraId="6892B569">
            <w:pPr>
              <w:pStyle w:val="56"/>
            </w:pPr>
          </w:p>
          <w:p w14:paraId="0E87B446">
            <w:pPr>
              <w:pStyle w:val="56"/>
            </w:pPr>
            <w:r>
              <w:rPr>
                <w:rFonts w:hint="eastAsia"/>
              </w:rPr>
              <w:t>表4-8 本项目运营期厂界最大噪声贡献值预测结果（单位：dB（A））</w:t>
            </w:r>
          </w:p>
          <w:tbl>
            <w:tblPr>
              <w:tblStyle w:val="23"/>
              <w:tblW w:w="8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94"/>
              <w:gridCol w:w="994"/>
              <w:gridCol w:w="994"/>
              <w:gridCol w:w="797"/>
              <w:gridCol w:w="733"/>
              <w:gridCol w:w="1134"/>
              <w:gridCol w:w="1072"/>
              <w:gridCol w:w="744"/>
            </w:tblGrid>
            <w:tr w14:paraId="776B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32871034">
                  <w:pPr>
                    <w:jc w:val="center"/>
                  </w:pPr>
                  <w:r>
                    <w:rPr>
                      <w:rFonts w:hint="eastAsia"/>
                    </w:rPr>
                    <w:t>厂房名称</w:t>
                  </w:r>
                </w:p>
              </w:tc>
              <w:tc>
                <w:tcPr>
                  <w:tcW w:w="994" w:type="dxa"/>
                  <w:vMerge w:val="restart"/>
                  <w:vAlign w:val="center"/>
                </w:tcPr>
                <w:p w14:paraId="04EA4412">
                  <w:pPr>
                    <w:jc w:val="center"/>
                  </w:pPr>
                  <w:r>
                    <w:rPr>
                      <w:rFonts w:hint="eastAsia"/>
                    </w:rPr>
                    <w:t>预测方位</w:t>
                  </w:r>
                </w:p>
              </w:tc>
              <w:tc>
                <w:tcPr>
                  <w:tcW w:w="2785" w:type="dxa"/>
                  <w:gridSpan w:val="3"/>
                  <w:vAlign w:val="center"/>
                </w:tcPr>
                <w:p w14:paraId="7D3766CE">
                  <w:pPr>
                    <w:jc w:val="center"/>
                  </w:pPr>
                  <w:r>
                    <w:rPr>
                      <w:rFonts w:hint="eastAsia"/>
                    </w:rPr>
                    <w:t>最大值点空间相对位置/m</w:t>
                  </w:r>
                </w:p>
              </w:tc>
              <w:tc>
                <w:tcPr>
                  <w:tcW w:w="733" w:type="dxa"/>
                  <w:vMerge w:val="restart"/>
                  <w:vAlign w:val="center"/>
                </w:tcPr>
                <w:p w14:paraId="41D3108B">
                  <w:pPr>
                    <w:jc w:val="center"/>
                  </w:pPr>
                  <w:r>
                    <w:rPr>
                      <w:rFonts w:hint="eastAsia"/>
                    </w:rPr>
                    <w:t>时段</w:t>
                  </w:r>
                </w:p>
              </w:tc>
              <w:tc>
                <w:tcPr>
                  <w:tcW w:w="1134" w:type="dxa"/>
                  <w:vMerge w:val="restart"/>
                  <w:vAlign w:val="center"/>
                </w:tcPr>
                <w:p w14:paraId="56E10692">
                  <w:pPr>
                    <w:jc w:val="center"/>
                  </w:pPr>
                  <w:r>
                    <w:rPr>
                      <w:rFonts w:hint="eastAsia"/>
                    </w:rPr>
                    <w:t>贡献值（dB(A)）</w:t>
                  </w:r>
                </w:p>
              </w:tc>
              <w:tc>
                <w:tcPr>
                  <w:tcW w:w="1072" w:type="dxa"/>
                  <w:vMerge w:val="restart"/>
                  <w:vAlign w:val="center"/>
                </w:tcPr>
                <w:p w14:paraId="26F14DF8">
                  <w:pPr>
                    <w:jc w:val="center"/>
                  </w:pPr>
                  <w:r>
                    <w:rPr>
                      <w:rFonts w:hint="eastAsia"/>
                    </w:rPr>
                    <w:t>标准限值（dB(A)）</w:t>
                  </w:r>
                </w:p>
              </w:tc>
              <w:tc>
                <w:tcPr>
                  <w:tcW w:w="744" w:type="dxa"/>
                  <w:vMerge w:val="restart"/>
                  <w:vAlign w:val="center"/>
                </w:tcPr>
                <w:p w14:paraId="33D31491">
                  <w:pPr>
                    <w:jc w:val="center"/>
                  </w:pPr>
                  <w:r>
                    <w:rPr>
                      <w:rFonts w:hint="eastAsia"/>
                    </w:rPr>
                    <w:t>达标情况</w:t>
                  </w:r>
                </w:p>
              </w:tc>
            </w:tr>
            <w:tr w14:paraId="3EC3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1D1C7BC9">
                  <w:pPr>
                    <w:jc w:val="center"/>
                  </w:pPr>
                </w:p>
              </w:tc>
              <w:tc>
                <w:tcPr>
                  <w:tcW w:w="994" w:type="dxa"/>
                  <w:vMerge w:val="continue"/>
                  <w:vAlign w:val="center"/>
                </w:tcPr>
                <w:p w14:paraId="267C1E6B">
                  <w:pPr>
                    <w:jc w:val="center"/>
                  </w:pPr>
                </w:p>
              </w:tc>
              <w:tc>
                <w:tcPr>
                  <w:tcW w:w="994" w:type="dxa"/>
                  <w:vAlign w:val="center"/>
                </w:tcPr>
                <w:p w14:paraId="33CAA660">
                  <w:pPr>
                    <w:jc w:val="center"/>
                  </w:pPr>
                  <w:r>
                    <w:rPr>
                      <w:rFonts w:hint="eastAsia"/>
                    </w:rPr>
                    <w:t>X</w:t>
                  </w:r>
                </w:p>
              </w:tc>
              <w:tc>
                <w:tcPr>
                  <w:tcW w:w="994" w:type="dxa"/>
                  <w:vAlign w:val="center"/>
                </w:tcPr>
                <w:p w14:paraId="78F56989">
                  <w:pPr>
                    <w:jc w:val="center"/>
                  </w:pPr>
                  <w:r>
                    <w:rPr>
                      <w:rFonts w:hint="eastAsia"/>
                    </w:rPr>
                    <w:t>Y</w:t>
                  </w:r>
                </w:p>
              </w:tc>
              <w:tc>
                <w:tcPr>
                  <w:tcW w:w="797" w:type="dxa"/>
                  <w:vAlign w:val="center"/>
                </w:tcPr>
                <w:p w14:paraId="5C15113B">
                  <w:pPr>
                    <w:jc w:val="center"/>
                  </w:pPr>
                  <w:r>
                    <w:rPr>
                      <w:rFonts w:hint="eastAsia"/>
                    </w:rPr>
                    <w:t>Z</w:t>
                  </w:r>
                </w:p>
              </w:tc>
              <w:tc>
                <w:tcPr>
                  <w:tcW w:w="733" w:type="dxa"/>
                  <w:vMerge w:val="continue"/>
                  <w:vAlign w:val="center"/>
                </w:tcPr>
                <w:p w14:paraId="1A40AC4A">
                  <w:pPr>
                    <w:jc w:val="center"/>
                  </w:pPr>
                </w:p>
              </w:tc>
              <w:tc>
                <w:tcPr>
                  <w:tcW w:w="1134" w:type="dxa"/>
                  <w:vMerge w:val="continue"/>
                  <w:vAlign w:val="center"/>
                </w:tcPr>
                <w:p w14:paraId="236531FC">
                  <w:pPr>
                    <w:jc w:val="center"/>
                  </w:pPr>
                </w:p>
              </w:tc>
              <w:tc>
                <w:tcPr>
                  <w:tcW w:w="1072" w:type="dxa"/>
                  <w:vMerge w:val="continue"/>
                  <w:vAlign w:val="center"/>
                </w:tcPr>
                <w:p w14:paraId="015D0F21">
                  <w:pPr>
                    <w:jc w:val="center"/>
                  </w:pPr>
                </w:p>
              </w:tc>
              <w:tc>
                <w:tcPr>
                  <w:tcW w:w="744" w:type="dxa"/>
                  <w:vMerge w:val="continue"/>
                  <w:vAlign w:val="center"/>
                </w:tcPr>
                <w:p w14:paraId="628A2907">
                  <w:pPr>
                    <w:jc w:val="center"/>
                  </w:pPr>
                </w:p>
              </w:tc>
            </w:tr>
            <w:tr w14:paraId="7C0C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19CFE77B">
                  <w:pPr>
                    <w:jc w:val="center"/>
                  </w:pPr>
                  <w:r>
                    <w:rPr>
                      <w:rFonts w:hint="eastAsia"/>
                    </w:rPr>
                    <w:t>西厂房</w:t>
                  </w:r>
                </w:p>
              </w:tc>
              <w:tc>
                <w:tcPr>
                  <w:tcW w:w="994" w:type="dxa"/>
                  <w:vAlign w:val="center"/>
                </w:tcPr>
                <w:p w14:paraId="3D054F24">
                  <w:pPr>
                    <w:jc w:val="center"/>
                  </w:pPr>
                  <w:r>
                    <w:rPr>
                      <w:rFonts w:hint="eastAsia"/>
                    </w:rPr>
                    <w:t>东侧</w:t>
                  </w:r>
                </w:p>
              </w:tc>
              <w:tc>
                <w:tcPr>
                  <w:tcW w:w="994" w:type="dxa"/>
                  <w:vAlign w:val="center"/>
                </w:tcPr>
                <w:p w14:paraId="5F45BCA8">
                  <w:pPr>
                    <w:widowControl/>
                    <w:jc w:val="center"/>
                    <w:textAlignment w:val="center"/>
                  </w:pPr>
                  <w:r>
                    <w:rPr>
                      <w:rFonts w:hint="eastAsia"/>
                    </w:rPr>
                    <w:t>109.55</w:t>
                  </w:r>
                </w:p>
              </w:tc>
              <w:tc>
                <w:tcPr>
                  <w:tcW w:w="994" w:type="dxa"/>
                  <w:vAlign w:val="center"/>
                </w:tcPr>
                <w:p w14:paraId="36B67020">
                  <w:pPr>
                    <w:widowControl/>
                    <w:jc w:val="center"/>
                    <w:textAlignment w:val="center"/>
                  </w:pPr>
                  <w:r>
                    <w:rPr>
                      <w:rFonts w:hint="eastAsia"/>
                    </w:rPr>
                    <w:t>-199.22</w:t>
                  </w:r>
                </w:p>
              </w:tc>
              <w:tc>
                <w:tcPr>
                  <w:tcW w:w="797" w:type="dxa"/>
                  <w:vAlign w:val="center"/>
                </w:tcPr>
                <w:p w14:paraId="50729403">
                  <w:pPr>
                    <w:widowControl/>
                    <w:jc w:val="center"/>
                    <w:textAlignment w:val="center"/>
                  </w:pPr>
                  <w:r>
                    <w:rPr>
                      <w:rFonts w:hint="eastAsia"/>
                    </w:rPr>
                    <w:t>1.2</w:t>
                  </w:r>
                </w:p>
              </w:tc>
              <w:tc>
                <w:tcPr>
                  <w:tcW w:w="733" w:type="dxa"/>
                  <w:vAlign w:val="center"/>
                </w:tcPr>
                <w:p w14:paraId="55F71D7A">
                  <w:pPr>
                    <w:jc w:val="center"/>
                  </w:pPr>
                  <w:r>
                    <w:rPr>
                      <w:rFonts w:hint="eastAsia"/>
                    </w:rPr>
                    <w:t>昼间</w:t>
                  </w:r>
                </w:p>
              </w:tc>
              <w:tc>
                <w:tcPr>
                  <w:tcW w:w="1134" w:type="dxa"/>
                  <w:vAlign w:val="center"/>
                </w:tcPr>
                <w:p w14:paraId="0EB24F19">
                  <w:pPr>
                    <w:jc w:val="center"/>
                  </w:pPr>
                  <w:r>
                    <w:rPr>
                      <w:rFonts w:hint="eastAsia"/>
                    </w:rPr>
                    <w:t>51.24</w:t>
                  </w:r>
                </w:p>
              </w:tc>
              <w:tc>
                <w:tcPr>
                  <w:tcW w:w="1072" w:type="dxa"/>
                  <w:vAlign w:val="center"/>
                </w:tcPr>
                <w:p w14:paraId="62739432">
                  <w:pPr>
                    <w:jc w:val="center"/>
                  </w:pPr>
                  <w:r>
                    <w:rPr>
                      <w:rFonts w:hint="eastAsia"/>
                    </w:rPr>
                    <w:t>65</w:t>
                  </w:r>
                </w:p>
              </w:tc>
              <w:tc>
                <w:tcPr>
                  <w:tcW w:w="744" w:type="dxa"/>
                  <w:vAlign w:val="center"/>
                </w:tcPr>
                <w:p w14:paraId="50A62F95">
                  <w:pPr>
                    <w:jc w:val="center"/>
                  </w:pPr>
                  <w:r>
                    <w:rPr>
                      <w:rFonts w:hint="eastAsia"/>
                    </w:rPr>
                    <w:t>达标</w:t>
                  </w:r>
                </w:p>
              </w:tc>
            </w:tr>
            <w:tr w14:paraId="1B87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7833E98B">
                  <w:pPr>
                    <w:jc w:val="center"/>
                  </w:pPr>
                </w:p>
              </w:tc>
              <w:tc>
                <w:tcPr>
                  <w:tcW w:w="994" w:type="dxa"/>
                  <w:vAlign w:val="center"/>
                </w:tcPr>
                <w:p w14:paraId="12193542">
                  <w:pPr>
                    <w:jc w:val="center"/>
                  </w:pPr>
                  <w:r>
                    <w:rPr>
                      <w:rFonts w:hint="eastAsia"/>
                    </w:rPr>
                    <w:t>南侧</w:t>
                  </w:r>
                </w:p>
              </w:tc>
              <w:tc>
                <w:tcPr>
                  <w:tcW w:w="994" w:type="dxa"/>
                  <w:vAlign w:val="center"/>
                </w:tcPr>
                <w:p w14:paraId="4F5E91D8">
                  <w:pPr>
                    <w:widowControl/>
                    <w:jc w:val="center"/>
                    <w:textAlignment w:val="center"/>
                  </w:pPr>
                  <w:r>
                    <w:rPr>
                      <w:rFonts w:hint="eastAsia"/>
                    </w:rPr>
                    <w:t>13.46</w:t>
                  </w:r>
                </w:p>
              </w:tc>
              <w:tc>
                <w:tcPr>
                  <w:tcW w:w="994" w:type="dxa"/>
                  <w:vAlign w:val="center"/>
                </w:tcPr>
                <w:p w14:paraId="431131FB">
                  <w:pPr>
                    <w:widowControl/>
                    <w:jc w:val="center"/>
                    <w:textAlignment w:val="center"/>
                  </w:pPr>
                  <w:r>
                    <w:rPr>
                      <w:rFonts w:hint="eastAsia"/>
                    </w:rPr>
                    <w:t>-166.86</w:t>
                  </w:r>
                </w:p>
              </w:tc>
              <w:tc>
                <w:tcPr>
                  <w:tcW w:w="797" w:type="dxa"/>
                  <w:vAlign w:val="center"/>
                </w:tcPr>
                <w:p w14:paraId="137A4E79">
                  <w:pPr>
                    <w:widowControl/>
                    <w:jc w:val="center"/>
                    <w:textAlignment w:val="center"/>
                  </w:pPr>
                  <w:r>
                    <w:rPr>
                      <w:rFonts w:hint="eastAsia"/>
                    </w:rPr>
                    <w:t>1.2</w:t>
                  </w:r>
                </w:p>
              </w:tc>
              <w:tc>
                <w:tcPr>
                  <w:tcW w:w="733" w:type="dxa"/>
                  <w:vAlign w:val="center"/>
                </w:tcPr>
                <w:p w14:paraId="6DDC5C70">
                  <w:pPr>
                    <w:jc w:val="center"/>
                  </w:pPr>
                  <w:r>
                    <w:rPr>
                      <w:rFonts w:hint="eastAsia"/>
                    </w:rPr>
                    <w:t>昼间</w:t>
                  </w:r>
                </w:p>
              </w:tc>
              <w:tc>
                <w:tcPr>
                  <w:tcW w:w="1134" w:type="dxa"/>
                  <w:vAlign w:val="center"/>
                </w:tcPr>
                <w:p w14:paraId="6B94008F">
                  <w:pPr>
                    <w:jc w:val="center"/>
                  </w:pPr>
                  <w:r>
                    <w:rPr>
                      <w:rFonts w:hint="eastAsia"/>
                    </w:rPr>
                    <w:t>57.41</w:t>
                  </w:r>
                </w:p>
              </w:tc>
              <w:tc>
                <w:tcPr>
                  <w:tcW w:w="1072" w:type="dxa"/>
                  <w:vAlign w:val="center"/>
                </w:tcPr>
                <w:p w14:paraId="094D4F5F">
                  <w:pPr>
                    <w:jc w:val="center"/>
                  </w:pPr>
                  <w:r>
                    <w:rPr>
                      <w:rFonts w:hint="eastAsia"/>
                    </w:rPr>
                    <w:t>65</w:t>
                  </w:r>
                </w:p>
              </w:tc>
              <w:tc>
                <w:tcPr>
                  <w:tcW w:w="744" w:type="dxa"/>
                  <w:vAlign w:val="center"/>
                </w:tcPr>
                <w:p w14:paraId="3D36B43E">
                  <w:pPr>
                    <w:jc w:val="center"/>
                  </w:pPr>
                  <w:r>
                    <w:rPr>
                      <w:rFonts w:hint="eastAsia"/>
                    </w:rPr>
                    <w:t>达标</w:t>
                  </w:r>
                </w:p>
              </w:tc>
            </w:tr>
            <w:tr w14:paraId="2987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4F9AADD">
                  <w:pPr>
                    <w:jc w:val="center"/>
                  </w:pPr>
                </w:p>
              </w:tc>
              <w:tc>
                <w:tcPr>
                  <w:tcW w:w="994" w:type="dxa"/>
                  <w:vAlign w:val="center"/>
                </w:tcPr>
                <w:p w14:paraId="5D651AA7">
                  <w:pPr>
                    <w:jc w:val="center"/>
                  </w:pPr>
                  <w:r>
                    <w:rPr>
                      <w:rFonts w:hint="eastAsia"/>
                    </w:rPr>
                    <w:t>西侧</w:t>
                  </w:r>
                </w:p>
              </w:tc>
              <w:tc>
                <w:tcPr>
                  <w:tcW w:w="994" w:type="dxa"/>
                  <w:vAlign w:val="center"/>
                </w:tcPr>
                <w:p w14:paraId="4A5ADE02">
                  <w:pPr>
                    <w:widowControl/>
                    <w:jc w:val="center"/>
                    <w:textAlignment w:val="center"/>
                  </w:pPr>
                  <w:r>
                    <w:rPr>
                      <w:rFonts w:hint="eastAsia"/>
                    </w:rPr>
                    <w:t>-15.91</w:t>
                  </w:r>
                </w:p>
              </w:tc>
              <w:tc>
                <w:tcPr>
                  <w:tcW w:w="994" w:type="dxa"/>
                  <w:vAlign w:val="center"/>
                </w:tcPr>
                <w:p w14:paraId="31BA1FF2">
                  <w:pPr>
                    <w:widowControl/>
                    <w:jc w:val="center"/>
                    <w:textAlignment w:val="center"/>
                  </w:pPr>
                  <w:r>
                    <w:rPr>
                      <w:rFonts w:hint="eastAsia"/>
                    </w:rPr>
                    <w:t>-154.45</w:t>
                  </w:r>
                </w:p>
              </w:tc>
              <w:tc>
                <w:tcPr>
                  <w:tcW w:w="797" w:type="dxa"/>
                  <w:vAlign w:val="center"/>
                </w:tcPr>
                <w:p w14:paraId="7414965A">
                  <w:pPr>
                    <w:widowControl/>
                    <w:jc w:val="center"/>
                    <w:textAlignment w:val="center"/>
                  </w:pPr>
                  <w:r>
                    <w:rPr>
                      <w:rFonts w:hint="eastAsia"/>
                    </w:rPr>
                    <w:t>1.2</w:t>
                  </w:r>
                </w:p>
              </w:tc>
              <w:tc>
                <w:tcPr>
                  <w:tcW w:w="733" w:type="dxa"/>
                  <w:vAlign w:val="center"/>
                </w:tcPr>
                <w:p w14:paraId="0D2F0EAA">
                  <w:pPr>
                    <w:jc w:val="center"/>
                  </w:pPr>
                  <w:r>
                    <w:rPr>
                      <w:rFonts w:hint="eastAsia"/>
                    </w:rPr>
                    <w:t>昼间</w:t>
                  </w:r>
                </w:p>
              </w:tc>
              <w:tc>
                <w:tcPr>
                  <w:tcW w:w="1134" w:type="dxa"/>
                  <w:vAlign w:val="center"/>
                </w:tcPr>
                <w:p w14:paraId="1FD58E47">
                  <w:pPr>
                    <w:jc w:val="center"/>
                  </w:pPr>
                  <w:r>
                    <w:rPr>
                      <w:rFonts w:hint="eastAsia"/>
                    </w:rPr>
                    <w:t>50.26</w:t>
                  </w:r>
                </w:p>
              </w:tc>
              <w:tc>
                <w:tcPr>
                  <w:tcW w:w="1072" w:type="dxa"/>
                  <w:vAlign w:val="center"/>
                </w:tcPr>
                <w:p w14:paraId="5E51B325">
                  <w:pPr>
                    <w:jc w:val="center"/>
                  </w:pPr>
                  <w:r>
                    <w:rPr>
                      <w:rFonts w:hint="eastAsia"/>
                    </w:rPr>
                    <w:t>65</w:t>
                  </w:r>
                </w:p>
              </w:tc>
              <w:tc>
                <w:tcPr>
                  <w:tcW w:w="744" w:type="dxa"/>
                  <w:vAlign w:val="center"/>
                </w:tcPr>
                <w:p w14:paraId="7ED20CAC">
                  <w:pPr>
                    <w:jc w:val="center"/>
                  </w:pPr>
                  <w:r>
                    <w:rPr>
                      <w:rFonts w:hint="eastAsia"/>
                    </w:rPr>
                    <w:t>达标</w:t>
                  </w:r>
                </w:p>
              </w:tc>
            </w:tr>
            <w:tr w14:paraId="7AAF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4146B92F">
                  <w:pPr>
                    <w:jc w:val="center"/>
                  </w:pPr>
                </w:p>
              </w:tc>
              <w:tc>
                <w:tcPr>
                  <w:tcW w:w="994" w:type="dxa"/>
                  <w:vAlign w:val="center"/>
                </w:tcPr>
                <w:p w14:paraId="2A46F92A">
                  <w:pPr>
                    <w:jc w:val="center"/>
                  </w:pPr>
                  <w:r>
                    <w:rPr>
                      <w:rFonts w:hint="eastAsia"/>
                    </w:rPr>
                    <w:t>北侧</w:t>
                  </w:r>
                </w:p>
              </w:tc>
              <w:tc>
                <w:tcPr>
                  <w:tcW w:w="994" w:type="dxa"/>
                  <w:vAlign w:val="center"/>
                </w:tcPr>
                <w:p w14:paraId="586FD614">
                  <w:pPr>
                    <w:widowControl/>
                    <w:jc w:val="center"/>
                    <w:textAlignment w:val="center"/>
                  </w:pPr>
                  <w:r>
                    <w:rPr>
                      <w:rFonts w:hint="eastAsia"/>
                    </w:rPr>
                    <w:t>62.16</w:t>
                  </w:r>
                </w:p>
              </w:tc>
              <w:tc>
                <w:tcPr>
                  <w:tcW w:w="994" w:type="dxa"/>
                  <w:vAlign w:val="center"/>
                </w:tcPr>
                <w:p w14:paraId="227054C4">
                  <w:pPr>
                    <w:widowControl/>
                    <w:jc w:val="center"/>
                    <w:textAlignment w:val="center"/>
                  </w:pPr>
                  <w:r>
                    <w:rPr>
                      <w:rFonts w:hint="eastAsia"/>
                    </w:rPr>
                    <w:t>-158.40</w:t>
                  </w:r>
                </w:p>
              </w:tc>
              <w:tc>
                <w:tcPr>
                  <w:tcW w:w="797" w:type="dxa"/>
                  <w:vAlign w:val="center"/>
                </w:tcPr>
                <w:p w14:paraId="2B5A428A">
                  <w:pPr>
                    <w:widowControl/>
                    <w:jc w:val="center"/>
                    <w:textAlignment w:val="center"/>
                  </w:pPr>
                  <w:r>
                    <w:rPr>
                      <w:rFonts w:hint="eastAsia"/>
                    </w:rPr>
                    <w:t>1.2</w:t>
                  </w:r>
                </w:p>
              </w:tc>
              <w:tc>
                <w:tcPr>
                  <w:tcW w:w="733" w:type="dxa"/>
                  <w:vAlign w:val="center"/>
                </w:tcPr>
                <w:p w14:paraId="26FBC4F7">
                  <w:pPr>
                    <w:jc w:val="center"/>
                  </w:pPr>
                  <w:r>
                    <w:rPr>
                      <w:rFonts w:hint="eastAsia"/>
                    </w:rPr>
                    <w:t>昼间</w:t>
                  </w:r>
                </w:p>
              </w:tc>
              <w:tc>
                <w:tcPr>
                  <w:tcW w:w="1134" w:type="dxa"/>
                  <w:vAlign w:val="center"/>
                </w:tcPr>
                <w:p w14:paraId="5D82AE0D">
                  <w:pPr>
                    <w:jc w:val="center"/>
                  </w:pPr>
                  <w:r>
                    <w:rPr>
                      <w:rFonts w:hint="eastAsia"/>
                    </w:rPr>
                    <w:t>56.38</w:t>
                  </w:r>
                </w:p>
              </w:tc>
              <w:tc>
                <w:tcPr>
                  <w:tcW w:w="1072" w:type="dxa"/>
                  <w:vAlign w:val="center"/>
                </w:tcPr>
                <w:p w14:paraId="1763E8DA">
                  <w:pPr>
                    <w:jc w:val="center"/>
                  </w:pPr>
                  <w:r>
                    <w:rPr>
                      <w:rFonts w:hint="eastAsia"/>
                    </w:rPr>
                    <w:t>65</w:t>
                  </w:r>
                </w:p>
              </w:tc>
              <w:tc>
                <w:tcPr>
                  <w:tcW w:w="744" w:type="dxa"/>
                  <w:vAlign w:val="center"/>
                </w:tcPr>
                <w:p w14:paraId="5E9190C7">
                  <w:pPr>
                    <w:jc w:val="center"/>
                  </w:pPr>
                  <w:r>
                    <w:rPr>
                      <w:rFonts w:hint="eastAsia"/>
                    </w:rPr>
                    <w:t>达标</w:t>
                  </w:r>
                </w:p>
              </w:tc>
            </w:tr>
            <w:tr w14:paraId="5036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restart"/>
                  <w:vAlign w:val="center"/>
                </w:tcPr>
                <w:p w14:paraId="45232AA5">
                  <w:pPr>
                    <w:jc w:val="center"/>
                  </w:pPr>
                  <w:r>
                    <w:rPr>
                      <w:rFonts w:hint="eastAsia"/>
                    </w:rPr>
                    <w:t>东厂房</w:t>
                  </w:r>
                </w:p>
              </w:tc>
              <w:tc>
                <w:tcPr>
                  <w:tcW w:w="994" w:type="dxa"/>
                  <w:vAlign w:val="center"/>
                </w:tcPr>
                <w:p w14:paraId="43B1B2D0">
                  <w:pPr>
                    <w:jc w:val="center"/>
                  </w:pPr>
                  <w:r>
                    <w:rPr>
                      <w:rFonts w:hint="eastAsia"/>
                    </w:rPr>
                    <w:t>东侧</w:t>
                  </w:r>
                </w:p>
              </w:tc>
              <w:tc>
                <w:tcPr>
                  <w:tcW w:w="994" w:type="dxa"/>
                  <w:vAlign w:val="center"/>
                </w:tcPr>
                <w:p w14:paraId="44A35199">
                  <w:pPr>
                    <w:widowControl/>
                    <w:jc w:val="center"/>
                    <w:textAlignment w:val="center"/>
                  </w:pPr>
                  <w:r>
                    <w:rPr>
                      <w:rFonts w:hint="eastAsia"/>
                    </w:rPr>
                    <w:t>160.52</w:t>
                  </w:r>
                </w:p>
              </w:tc>
              <w:tc>
                <w:tcPr>
                  <w:tcW w:w="994" w:type="dxa"/>
                  <w:vAlign w:val="center"/>
                </w:tcPr>
                <w:p w14:paraId="1E4055B5">
                  <w:pPr>
                    <w:widowControl/>
                    <w:jc w:val="center"/>
                    <w:textAlignment w:val="center"/>
                  </w:pPr>
                  <w:r>
                    <w:rPr>
                      <w:rFonts w:hint="eastAsia"/>
                    </w:rPr>
                    <w:t>-209.37</w:t>
                  </w:r>
                </w:p>
              </w:tc>
              <w:tc>
                <w:tcPr>
                  <w:tcW w:w="797" w:type="dxa"/>
                  <w:vAlign w:val="center"/>
                </w:tcPr>
                <w:p w14:paraId="4CC933B0">
                  <w:pPr>
                    <w:widowControl/>
                    <w:jc w:val="center"/>
                    <w:textAlignment w:val="center"/>
                  </w:pPr>
                  <w:r>
                    <w:rPr>
                      <w:rFonts w:hint="eastAsia"/>
                    </w:rPr>
                    <w:t>1.2</w:t>
                  </w:r>
                </w:p>
              </w:tc>
              <w:tc>
                <w:tcPr>
                  <w:tcW w:w="733" w:type="dxa"/>
                  <w:vAlign w:val="center"/>
                </w:tcPr>
                <w:p w14:paraId="6F492EE7">
                  <w:pPr>
                    <w:jc w:val="center"/>
                  </w:pPr>
                  <w:r>
                    <w:rPr>
                      <w:rFonts w:hint="eastAsia"/>
                    </w:rPr>
                    <w:t>昼间</w:t>
                  </w:r>
                </w:p>
              </w:tc>
              <w:tc>
                <w:tcPr>
                  <w:tcW w:w="1134" w:type="dxa"/>
                  <w:vAlign w:val="center"/>
                </w:tcPr>
                <w:p w14:paraId="639C1BF7">
                  <w:pPr>
                    <w:jc w:val="center"/>
                  </w:pPr>
                  <w:r>
                    <w:rPr>
                      <w:rFonts w:hint="eastAsia"/>
                    </w:rPr>
                    <w:t>54.36</w:t>
                  </w:r>
                </w:p>
              </w:tc>
              <w:tc>
                <w:tcPr>
                  <w:tcW w:w="1072" w:type="dxa"/>
                  <w:vAlign w:val="center"/>
                </w:tcPr>
                <w:p w14:paraId="1BC7D391">
                  <w:pPr>
                    <w:jc w:val="center"/>
                  </w:pPr>
                  <w:r>
                    <w:rPr>
                      <w:rFonts w:hint="eastAsia"/>
                    </w:rPr>
                    <w:t>65</w:t>
                  </w:r>
                </w:p>
              </w:tc>
              <w:tc>
                <w:tcPr>
                  <w:tcW w:w="744" w:type="dxa"/>
                  <w:vAlign w:val="center"/>
                </w:tcPr>
                <w:p w14:paraId="1DD115D4">
                  <w:pPr>
                    <w:jc w:val="center"/>
                  </w:pPr>
                  <w:r>
                    <w:rPr>
                      <w:rFonts w:hint="eastAsia"/>
                    </w:rPr>
                    <w:t>达标</w:t>
                  </w:r>
                </w:p>
              </w:tc>
            </w:tr>
            <w:tr w14:paraId="7898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C577889">
                  <w:pPr>
                    <w:jc w:val="center"/>
                  </w:pPr>
                </w:p>
              </w:tc>
              <w:tc>
                <w:tcPr>
                  <w:tcW w:w="994" w:type="dxa"/>
                  <w:vAlign w:val="center"/>
                </w:tcPr>
                <w:p w14:paraId="5D90349A">
                  <w:pPr>
                    <w:jc w:val="center"/>
                  </w:pPr>
                  <w:r>
                    <w:rPr>
                      <w:rFonts w:hint="eastAsia"/>
                    </w:rPr>
                    <w:t>南侧</w:t>
                  </w:r>
                </w:p>
              </w:tc>
              <w:tc>
                <w:tcPr>
                  <w:tcW w:w="994" w:type="dxa"/>
                  <w:vAlign w:val="center"/>
                </w:tcPr>
                <w:p w14:paraId="36692660">
                  <w:pPr>
                    <w:widowControl/>
                    <w:jc w:val="center"/>
                    <w:textAlignment w:val="center"/>
                  </w:pPr>
                  <w:r>
                    <w:rPr>
                      <w:rFonts w:hint="eastAsia"/>
                    </w:rPr>
                    <w:t>155.84</w:t>
                  </w:r>
                </w:p>
              </w:tc>
              <w:tc>
                <w:tcPr>
                  <w:tcW w:w="994" w:type="dxa"/>
                  <w:vAlign w:val="center"/>
                </w:tcPr>
                <w:p w14:paraId="3EB4ED32">
                  <w:pPr>
                    <w:widowControl/>
                    <w:jc w:val="center"/>
                    <w:textAlignment w:val="center"/>
                  </w:pPr>
                  <w:r>
                    <w:rPr>
                      <w:rFonts w:hint="eastAsia"/>
                    </w:rPr>
                    <w:t>-223.84</w:t>
                  </w:r>
                </w:p>
              </w:tc>
              <w:tc>
                <w:tcPr>
                  <w:tcW w:w="797" w:type="dxa"/>
                  <w:vAlign w:val="center"/>
                </w:tcPr>
                <w:p w14:paraId="7AD2824E">
                  <w:pPr>
                    <w:widowControl/>
                    <w:jc w:val="center"/>
                    <w:textAlignment w:val="center"/>
                  </w:pPr>
                  <w:r>
                    <w:rPr>
                      <w:rFonts w:hint="eastAsia"/>
                    </w:rPr>
                    <w:t>1.2</w:t>
                  </w:r>
                </w:p>
              </w:tc>
              <w:tc>
                <w:tcPr>
                  <w:tcW w:w="733" w:type="dxa"/>
                  <w:vAlign w:val="center"/>
                </w:tcPr>
                <w:p w14:paraId="25874F7C">
                  <w:pPr>
                    <w:jc w:val="center"/>
                  </w:pPr>
                  <w:r>
                    <w:rPr>
                      <w:rFonts w:hint="eastAsia"/>
                    </w:rPr>
                    <w:t>昼间</w:t>
                  </w:r>
                </w:p>
              </w:tc>
              <w:tc>
                <w:tcPr>
                  <w:tcW w:w="1134" w:type="dxa"/>
                  <w:vAlign w:val="center"/>
                </w:tcPr>
                <w:p w14:paraId="7EA70167">
                  <w:pPr>
                    <w:jc w:val="center"/>
                  </w:pPr>
                  <w:r>
                    <w:rPr>
                      <w:rFonts w:hint="eastAsia"/>
                    </w:rPr>
                    <w:t>52.08</w:t>
                  </w:r>
                </w:p>
              </w:tc>
              <w:tc>
                <w:tcPr>
                  <w:tcW w:w="1072" w:type="dxa"/>
                  <w:vAlign w:val="center"/>
                </w:tcPr>
                <w:p w14:paraId="6F54C518">
                  <w:pPr>
                    <w:jc w:val="center"/>
                  </w:pPr>
                  <w:r>
                    <w:rPr>
                      <w:rFonts w:hint="eastAsia"/>
                    </w:rPr>
                    <w:t>65</w:t>
                  </w:r>
                </w:p>
              </w:tc>
              <w:tc>
                <w:tcPr>
                  <w:tcW w:w="744" w:type="dxa"/>
                  <w:vAlign w:val="center"/>
                </w:tcPr>
                <w:p w14:paraId="3B88B689">
                  <w:pPr>
                    <w:jc w:val="center"/>
                  </w:pPr>
                  <w:r>
                    <w:rPr>
                      <w:rFonts w:hint="eastAsia"/>
                    </w:rPr>
                    <w:t>达标</w:t>
                  </w:r>
                </w:p>
              </w:tc>
            </w:tr>
            <w:tr w14:paraId="4DDF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597D2CD6">
                  <w:pPr>
                    <w:jc w:val="center"/>
                  </w:pPr>
                </w:p>
              </w:tc>
              <w:tc>
                <w:tcPr>
                  <w:tcW w:w="994" w:type="dxa"/>
                  <w:vAlign w:val="center"/>
                </w:tcPr>
                <w:p w14:paraId="6000401A">
                  <w:pPr>
                    <w:jc w:val="center"/>
                  </w:pPr>
                  <w:r>
                    <w:rPr>
                      <w:rFonts w:hint="eastAsia"/>
                    </w:rPr>
                    <w:t>西侧</w:t>
                  </w:r>
                </w:p>
              </w:tc>
              <w:tc>
                <w:tcPr>
                  <w:tcW w:w="994" w:type="dxa"/>
                  <w:vAlign w:val="center"/>
                </w:tcPr>
                <w:p w14:paraId="62734E4B">
                  <w:pPr>
                    <w:widowControl/>
                    <w:jc w:val="center"/>
                    <w:textAlignment w:val="center"/>
                  </w:pPr>
                  <w:r>
                    <w:rPr>
                      <w:rFonts w:hint="eastAsia"/>
                    </w:rPr>
                    <w:t>137.98</w:t>
                  </w:r>
                </w:p>
              </w:tc>
              <w:tc>
                <w:tcPr>
                  <w:tcW w:w="994" w:type="dxa"/>
                  <w:vAlign w:val="center"/>
                </w:tcPr>
                <w:p w14:paraId="58BF441C">
                  <w:pPr>
                    <w:widowControl/>
                    <w:jc w:val="center"/>
                    <w:textAlignment w:val="center"/>
                  </w:pPr>
                  <w:r>
                    <w:rPr>
                      <w:rFonts w:hint="eastAsia"/>
                    </w:rPr>
                    <w:t>-210.78</w:t>
                  </w:r>
                </w:p>
              </w:tc>
              <w:tc>
                <w:tcPr>
                  <w:tcW w:w="797" w:type="dxa"/>
                  <w:vAlign w:val="center"/>
                </w:tcPr>
                <w:p w14:paraId="0F0A8021">
                  <w:pPr>
                    <w:widowControl/>
                    <w:jc w:val="center"/>
                    <w:textAlignment w:val="center"/>
                  </w:pPr>
                  <w:r>
                    <w:rPr>
                      <w:rFonts w:hint="eastAsia"/>
                    </w:rPr>
                    <w:t>1.2</w:t>
                  </w:r>
                </w:p>
              </w:tc>
              <w:tc>
                <w:tcPr>
                  <w:tcW w:w="733" w:type="dxa"/>
                  <w:vAlign w:val="center"/>
                </w:tcPr>
                <w:p w14:paraId="04C20AEB">
                  <w:pPr>
                    <w:jc w:val="center"/>
                  </w:pPr>
                  <w:r>
                    <w:rPr>
                      <w:rFonts w:hint="eastAsia"/>
                    </w:rPr>
                    <w:t>昼间</w:t>
                  </w:r>
                </w:p>
              </w:tc>
              <w:tc>
                <w:tcPr>
                  <w:tcW w:w="1134" w:type="dxa"/>
                  <w:vAlign w:val="center"/>
                </w:tcPr>
                <w:p w14:paraId="6711F221">
                  <w:pPr>
                    <w:jc w:val="center"/>
                  </w:pPr>
                  <w:r>
                    <w:rPr>
                      <w:rFonts w:hint="eastAsia"/>
                    </w:rPr>
                    <w:t>54.62</w:t>
                  </w:r>
                </w:p>
              </w:tc>
              <w:tc>
                <w:tcPr>
                  <w:tcW w:w="1072" w:type="dxa"/>
                  <w:vAlign w:val="center"/>
                </w:tcPr>
                <w:p w14:paraId="2DE25913">
                  <w:pPr>
                    <w:jc w:val="center"/>
                  </w:pPr>
                  <w:r>
                    <w:rPr>
                      <w:rFonts w:hint="eastAsia"/>
                    </w:rPr>
                    <w:t>65</w:t>
                  </w:r>
                </w:p>
              </w:tc>
              <w:tc>
                <w:tcPr>
                  <w:tcW w:w="744" w:type="dxa"/>
                  <w:vAlign w:val="center"/>
                </w:tcPr>
                <w:p w14:paraId="4B641246">
                  <w:pPr>
                    <w:jc w:val="center"/>
                  </w:pPr>
                  <w:r>
                    <w:rPr>
                      <w:rFonts w:hint="eastAsia"/>
                    </w:rPr>
                    <w:t>达标</w:t>
                  </w:r>
                </w:p>
              </w:tc>
            </w:tr>
            <w:tr w14:paraId="42C0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063BE4D0">
                  <w:pPr>
                    <w:jc w:val="center"/>
                  </w:pPr>
                </w:p>
              </w:tc>
              <w:tc>
                <w:tcPr>
                  <w:tcW w:w="994" w:type="dxa"/>
                  <w:vAlign w:val="center"/>
                </w:tcPr>
                <w:p w14:paraId="48073452">
                  <w:pPr>
                    <w:jc w:val="center"/>
                  </w:pPr>
                  <w:r>
                    <w:rPr>
                      <w:rFonts w:hint="eastAsia"/>
                    </w:rPr>
                    <w:t>北侧</w:t>
                  </w:r>
                </w:p>
              </w:tc>
              <w:tc>
                <w:tcPr>
                  <w:tcW w:w="994" w:type="dxa"/>
                  <w:vAlign w:val="center"/>
                </w:tcPr>
                <w:p w14:paraId="21001D3C">
                  <w:pPr>
                    <w:widowControl/>
                    <w:jc w:val="center"/>
                    <w:textAlignment w:val="center"/>
                  </w:pPr>
                  <w:r>
                    <w:rPr>
                      <w:rFonts w:hint="eastAsia"/>
                    </w:rPr>
                    <w:t>170.95</w:t>
                  </w:r>
                </w:p>
              </w:tc>
              <w:tc>
                <w:tcPr>
                  <w:tcW w:w="994" w:type="dxa"/>
                  <w:vAlign w:val="center"/>
                </w:tcPr>
                <w:p w14:paraId="30C69FF6">
                  <w:pPr>
                    <w:widowControl/>
                    <w:jc w:val="center"/>
                    <w:textAlignment w:val="center"/>
                  </w:pPr>
                  <w:r>
                    <w:rPr>
                      <w:rFonts w:hint="eastAsia"/>
                    </w:rPr>
                    <w:t>-142.77</w:t>
                  </w:r>
                </w:p>
              </w:tc>
              <w:tc>
                <w:tcPr>
                  <w:tcW w:w="797" w:type="dxa"/>
                  <w:vAlign w:val="center"/>
                </w:tcPr>
                <w:p w14:paraId="6F90B5BE">
                  <w:pPr>
                    <w:widowControl/>
                    <w:jc w:val="center"/>
                    <w:textAlignment w:val="center"/>
                  </w:pPr>
                  <w:r>
                    <w:rPr>
                      <w:rFonts w:hint="eastAsia"/>
                    </w:rPr>
                    <w:t>1.2</w:t>
                  </w:r>
                </w:p>
              </w:tc>
              <w:tc>
                <w:tcPr>
                  <w:tcW w:w="733" w:type="dxa"/>
                  <w:vAlign w:val="center"/>
                </w:tcPr>
                <w:p w14:paraId="67004331">
                  <w:pPr>
                    <w:jc w:val="center"/>
                  </w:pPr>
                  <w:r>
                    <w:rPr>
                      <w:rFonts w:hint="eastAsia"/>
                    </w:rPr>
                    <w:t>昼间</w:t>
                  </w:r>
                </w:p>
              </w:tc>
              <w:tc>
                <w:tcPr>
                  <w:tcW w:w="1134" w:type="dxa"/>
                  <w:vAlign w:val="center"/>
                </w:tcPr>
                <w:p w14:paraId="0052FE39">
                  <w:pPr>
                    <w:jc w:val="center"/>
                  </w:pPr>
                  <w:r>
                    <w:rPr>
                      <w:rFonts w:hint="eastAsia"/>
                    </w:rPr>
                    <w:t>52.97</w:t>
                  </w:r>
                </w:p>
              </w:tc>
              <w:tc>
                <w:tcPr>
                  <w:tcW w:w="1072" w:type="dxa"/>
                  <w:vAlign w:val="center"/>
                </w:tcPr>
                <w:p w14:paraId="623FD8B7">
                  <w:pPr>
                    <w:jc w:val="center"/>
                  </w:pPr>
                  <w:r>
                    <w:rPr>
                      <w:rFonts w:hint="eastAsia"/>
                    </w:rPr>
                    <w:t>65</w:t>
                  </w:r>
                </w:p>
              </w:tc>
              <w:tc>
                <w:tcPr>
                  <w:tcW w:w="744" w:type="dxa"/>
                  <w:vAlign w:val="center"/>
                </w:tcPr>
                <w:p w14:paraId="0215029D">
                  <w:pPr>
                    <w:jc w:val="center"/>
                  </w:pPr>
                  <w:r>
                    <w:rPr>
                      <w:rFonts w:hint="eastAsia"/>
                    </w:rPr>
                    <w:t>达标</w:t>
                  </w:r>
                </w:p>
              </w:tc>
            </w:tr>
          </w:tbl>
          <w:p w14:paraId="0459F572">
            <w:pPr>
              <w:pStyle w:val="15"/>
              <w:adjustRightInd w:val="0"/>
              <w:spacing w:line="360" w:lineRule="auto"/>
              <w:ind w:firstLine="440" w:firstLineChars="200"/>
              <w:rPr>
                <w:bCs/>
                <w:spacing w:val="-10"/>
                <w:sz w:val="24"/>
                <w:szCs w:val="24"/>
              </w:rPr>
            </w:pPr>
            <w:r>
              <w:rPr>
                <w:rFonts w:hint="eastAsia"/>
                <w:bCs/>
                <w:spacing w:val="-10"/>
                <w:sz w:val="24"/>
                <w:szCs w:val="24"/>
              </w:rPr>
              <w:t>根据由上表可知，上述设备运行产生的噪声在经过阻隔、减振降噪及距离衰减后，项目西厂房和东厂房的东、南、西、北面厂界昼间噪声（夜间不运行）贡献值符合《工业企业厂界环境噪声排放标准》(GB12348-2008)3类标准[昼间≤65 dB(A)]的要求，项目运营期噪声对周边环境影响不大。</w:t>
            </w:r>
          </w:p>
          <w:p w14:paraId="57A6C395">
            <w:pPr>
              <w:pStyle w:val="15"/>
              <w:adjustRightInd w:val="0"/>
              <w:spacing w:line="360" w:lineRule="auto"/>
              <w:ind w:firstLine="440" w:firstLineChars="200"/>
              <w:rPr>
                <w:bCs/>
                <w:spacing w:val="-10"/>
                <w:sz w:val="24"/>
                <w:szCs w:val="24"/>
              </w:rPr>
            </w:pPr>
            <w:r>
              <w:rPr>
                <w:bCs/>
                <w:spacing w:val="-10"/>
                <w:sz w:val="24"/>
                <w:szCs w:val="24"/>
              </w:rPr>
              <w:t>厂区噪声贡献等值线分布情况见下图：</w:t>
            </w:r>
          </w:p>
          <w:p w14:paraId="720623B1">
            <w:pPr>
              <w:pStyle w:val="29"/>
              <w:spacing w:before="24" w:after="24"/>
              <w:ind w:firstLine="0"/>
              <w:rPr>
                <w:rFonts w:ascii="Times New Roman"/>
                <w:sz w:val="24"/>
                <w:szCs w:val="24"/>
              </w:rPr>
            </w:pPr>
            <w:r>
              <w:rPr>
                <w:rFonts w:hint="eastAsia" w:ascii="Times New Roman"/>
                <w:sz w:val="24"/>
                <w:szCs w:val="24"/>
              </w:rPr>
              <w:drawing>
                <wp:inline distT="0" distB="0" distL="114300" distR="114300">
                  <wp:extent cx="5006340" cy="4710430"/>
                  <wp:effectExtent l="0" t="0" r="3810" b="0"/>
                  <wp:docPr id="2" name="图片 2" descr="177331428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73314289029"/>
                          <pic:cNvPicPr>
                            <a:picLocks noChangeAspect="1"/>
                          </pic:cNvPicPr>
                        </pic:nvPicPr>
                        <pic:blipFill>
                          <a:blip r:embed="rId25"/>
                          <a:stretch>
                            <a:fillRect/>
                          </a:stretch>
                        </pic:blipFill>
                        <pic:spPr>
                          <a:xfrm>
                            <a:off x="0" y="0"/>
                            <a:ext cx="5006673" cy="4710599"/>
                          </a:xfrm>
                          <a:prstGeom prst="rect">
                            <a:avLst/>
                          </a:prstGeom>
                        </pic:spPr>
                      </pic:pic>
                    </a:graphicData>
                  </a:graphic>
                </wp:inline>
              </w:drawing>
            </w:r>
          </w:p>
          <w:p w14:paraId="6EBF84FC">
            <w:pPr>
              <w:pStyle w:val="15"/>
              <w:adjustRightInd w:val="0"/>
              <w:spacing w:line="360" w:lineRule="auto"/>
              <w:ind w:firstLine="442" w:firstLineChars="200"/>
              <w:rPr>
                <w:b/>
                <w:spacing w:val="-10"/>
                <w:sz w:val="24"/>
                <w:szCs w:val="24"/>
              </w:rPr>
            </w:pPr>
            <w:r>
              <w:rPr>
                <w:rFonts w:hint="eastAsia"/>
                <w:b/>
                <w:spacing w:val="-10"/>
                <w:sz w:val="24"/>
                <w:szCs w:val="24"/>
              </w:rPr>
              <w:t xml:space="preserve">                    图4-1  本项目噪声贡献等值线图</w:t>
            </w:r>
          </w:p>
          <w:p w14:paraId="1BFDE673">
            <w:pPr>
              <w:pStyle w:val="15"/>
              <w:adjustRightInd w:val="0"/>
              <w:spacing w:line="360" w:lineRule="auto"/>
              <w:ind w:firstLine="442" w:firstLineChars="200"/>
              <w:rPr>
                <w:b/>
                <w:spacing w:val="-10"/>
                <w:sz w:val="24"/>
                <w:szCs w:val="24"/>
              </w:rPr>
            </w:pPr>
            <w:r>
              <w:rPr>
                <w:rFonts w:hint="eastAsia"/>
                <w:b/>
                <w:spacing w:val="-10"/>
                <w:sz w:val="24"/>
                <w:szCs w:val="24"/>
              </w:rPr>
              <w:t>5、控制措施</w:t>
            </w:r>
          </w:p>
          <w:p w14:paraId="36B8049B">
            <w:pPr>
              <w:adjustRightInd w:val="0"/>
              <w:snapToGrid w:val="0"/>
              <w:spacing w:line="360" w:lineRule="auto"/>
              <w:ind w:firstLine="480" w:firstLineChars="200"/>
              <w:textAlignment w:val="baseline"/>
              <w:rPr>
                <w:kern w:val="0"/>
                <w:sz w:val="24"/>
              </w:rPr>
            </w:pPr>
            <w:r>
              <w:rPr>
                <w:sz w:val="24"/>
                <w:lang w:val="zh-CN"/>
              </w:rPr>
              <w:t>为减小运营期噪声对周边环境的影响，本环评提出如下措施：</w:t>
            </w:r>
          </w:p>
          <w:p w14:paraId="4FFFA9B2">
            <w:pPr>
              <w:adjustRightInd w:val="0"/>
              <w:snapToGrid w:val="0"/>
              <w:spacing w:line="360" w:lineRule="auto"/>
              <w:ind w:firstLine="480" w:firstLineChars="200"/>
              <w:textAlignment w:val="baseline"/>
              <w:rPr>
                <w:kern w:val="0"/>
                <w:sz w:val="24"/>
              </w:rPr>
            </w:pPr>
            <w:r>
              <w:rPr>
                <w:kern w:val="0"/>
                <w:sz w:val="24"/>
              </w:rPr>
              <w:t>①选用低噪声生产设备；</w:t>
            </w:r>
          </w:p>
          <w:p w14:paraId="5A028BF9">
            <w:pPr>
              <w:adjustRightInd w:val="0"/>
              <w:snapToGrid w:val="0"/>
              <w:spacing w:line="360" w:lineRule="auto"/>
              <w:ind w:firstLine="480" w:firstLineChars="200"/>
              <w:textAlignment w:val="baseline"/>
              <w:rPr>
                <w:kern w:val="0"/>
                <w:sz w:val="24"/>
              </w:rPr>
            </w:pPr>
            <w:r>
              <w:rPr>
                <w:kern w:val="0"/>
                <w:sz w:val="24"/>
              </w:rPr>
              <w:t>②运营过程中应加强主要产噪设备的保养、检修，保证设备处于良好的运转状态，减少机械振动和摩擦产生的噪声，防止共振。</w:t>
            </w:r>
          </w:p>
          <w:p w14:paraId="109629D0">
            <w:pPr>
              <w:adjustRightInd w:val="0"/>
              <w:snapToGrid w:val="0"/>
              <w:spacing w:line="360" w:lineRule="auto"/>
              <w:ind w:firstLine="480" w:firstLineChars="200"/>
              <w:textAlignment w:val="baseline"/>
              <w:rPr>
                <w:kern w:val="0"/>
                <w:sz w:val="24"/>
              </w:rPr>
            </w:pPr>
            <w:r>
              <w:rPr>
                <w:kern w:val="0"/>
                <w:sz w:val="24"/>
              </w:rPr>
              <w:t>③高噪声设备安装减震垫进行基础减振，风管设软连接，对设备进行有效地减震、隔声处理。</w:t>
            </w:r>
          </w:p>
          <w:p w14:paraId="0116FCF5">
            <w:pPr>
              <w:adjustRightInd w:val="0"/>
              <w:snapToGrid w:val="0"/>
              <w:spacing w:line="360" w:lineRule="auto"/>
              <w:ind w:firstLine="480" w:firstLineChars="200"/>
              <w:textAlignment w:val="baseline"/>
              <w:rPr>
                <w:kern w:val="0"/>
                <w:sz w:val="24"/>
              </w:rPr>
            </w:pPr>
            <w:r>
              <w:rPr>
                <w:kern w:val="0"/>
                <w:sz w:val="24"/>
              </w:rPr>
              <w:t>④对操作员工影响加强个人防护意识，工作人员应佩戴防噪用品，如防声耳塞或耳罩等。</w:t>
            </w:r>
          </w:p>
          <w:p w14:paraId="70414215">
            <w:pPr>
              <w:spacing w:line="360" w:lineRule="auto"/>
              <w:ind w:firstLine="480" w:firstLineChars="200"/>
              <w:rPr>
                <w:sz w:val="24"/>
              </w:rPr>
            </w:pPr>
            <w:r>
              <w:rPr>
                <w:kern w:val="0"/>
                <w:sz w:val="24"/>
              </w:rPr>
              <w:t>⑤加强管理培训，确保工人文明操作，装卸货物时轻拿轻放，避免因野蛮操作产生的突发性</w:t>
            </w:r>
            <w:r>
              <w:rPr>
                <w:sz w:val="24"/>
              </w:rPr>
              <w:t>噪声；</w:t>
            </w:r>
            <w:r>
              <w:rPr>
                <w:sz w:val="24"/>
                <w:lang w:val="zh-CN"/>
              </w:rPr>
              <w:t>以上处理措施在各行业噪声防治中广泛应用，处理效果好。</w:t>
            </w:r>
          </w:p>
          <w:p w14:paraId="03B4CBBE">
            <w:pPr>
              <w:pStyle w:val="15"/>
              <w:adjustRightInd w:val="0"/>
              <w:spacing w:line="360" w:lineRule="auto"/>
              <w:ind w:firstLine="442" w:firstLineChars="200"/>
              <w:rPr>
                <w:b/>
                <w:spacing w:val="-10"/>
                <w:sz w:val="24"/>
                <w:szCs w:val="24"/>
              </w:rPr>
            </w:pPr>
            <w:r>
              <w:rPr>
                <w:rFonts w:hint="eastAsia"/>
                <w:b/>
                <w:spacing w:val="-10"/>
                <w:sz w:val="24"/>
                <w:szCs w:val="24"/>
              </w:rPr>
              <w:t>6、</w:t>
            </w:r>
            <w:r>
              <w:rPr>
                <w:b/>
                <w:spacing w:val="-10"/>
                <w:sz w:val="24"/>
                <w:szCs w:val="24"/>
              </w:rPr>
              <w:t>监测要求</w:t>
            </w:r>
          </w:p>
          <w:p w14:paraId="61B8130F">
            <w:pPr>
              <w:tabs>
                <w:tab w:val="left" w:pos="6153"/>
              </w:tabs>
              <w:adjustRightInd w:val="0"/>
              <w:snapToGrid w:val="0"/>
              <w:spacing w:line="360" w:lineRule="auto"/>
              <w:ind w:firstLine="480" w:firstLineChars="200"/>
              <w:rPr>
                <w:bCs/>
                <w:sz w:val="24"/>
              </w:rPr>
            </w:pPr>
            <w:r>
              <w:rPr>
                <w:bCs/>
                <w:sz w:val="24"/>
              </w:rPr>
              <w:t>根据《排污单位自行监测技术指南 磷肥、钾肥、复混肥料、有机肥料和微生物肥料》（HJ 1088-2020）等</w:t>
            </w:r>
            <w:r>
              <w:rPr>
                <w:kern w:val="0"/>
                <w:sz w:val="24"/>
              </w:rPr>
              <w:t>相关</w:t>
            </w:r>
            <w:r>
              <w:rPr>
                <w:bCs/>
                <w:sz w:val="24"/>
              </w:rPr>
              <w:t>要求，项目运营期噪声监测计划见下表：</w:t>
            </w:r>
          </w:p>
          <w:p w14:paraId="44756335">
            <w:pPr>
              <w:pStyle w:val="15"/>
              <w:adjustRightInd w:val="0"/>
              <w:ind w:firstLine="382" w:firstLineChars="200"/>
              <w:jc w:val="center"/>
              <w:rPr>
                <w:b/>
                <w:spacing w:val="-10"/>
                <w:sz w:val="21"/>
                <w:szCs w:val="21"/>
              </w:rPr>
            </w:pPr>
            <w:r>
              <w:rPr>
                <w:b/>
                <w:spacing w:val="-10"/>
                <w:sz w:val="21"/>
                <w:szCs w:val="21"/>
              </w:rPr>
              <w:t>表4-</w:t>
            </w:r>
            <w:r>
              <w:rPr>
                <w:rFonts w:hint="eastAsia"/>
                <w:b/>
                <w:spacing w:val="-10"/>
                <w:sz w:val="21"/>
                <w:szCs w:val="21"/>
              </w:rPr>
              <w:t>9</w:t>
            </w:r>
            <w:r>
              <w:rPr>
                <w:b/>
                <w:spacing w:val="-10"/>
                <w:sz w:val="21"/>
                <w:szCs w:val="21"/>
              </w:rPr>
              <w:t xml:space="preserve"> 噪声监测计划一览表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2822"/>
              <w:gridCol w:w="2823"/>
            </w:tblGrid>
            <w:tr w14:paraId="7841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vAlign w:val="center"/>
                </w:tcPr>
                <w:p w14:paraId="170BF4EB">
                  <w:pPr>
                    <w:pStyle w:val="15"/>
                    <w:adjustRightInd w:val="0"/>
                    <w:jc w:val="center"/>
                    <w:rPr>
                      <w:bCs/>
                      <w:spacing w:val="-10"/>
                      <w:sz w:val="21"/>
                      <w:szCs w:val="21"/>
                    </w:rPr>
                  </w:pPr>
                  <w:r>
                    <w:rPr>
                      <w:bCs/>
                      <w:spacing w:val="-10"/>
                      <w:sz w:val="21"/>
                      <w:szCs w:val="21"/>
                    </w:rPr>
                    <w:t>监测点位</w:t>
                  </w:r>
                </w:p>
              </w:tc>
              <w:tc>
                <w:tcPr>
                  <w:tcW w:w="2645" w:type="dxa"/>
                  <w:vAlign w:val="center"/>
                </w:tcPr>
                <w:p w14:paraId="792BB128">
                  <w:pPr>
                    <w:pStyle w:val="15"/>
                    <w:adjustRightInd w:val="0"/>
                    <w:jc w:val="center"/>
                    <w:rPr>
                      <w:bCs/>
                      <w:spacing w:val="-10"/>
                      <w:sz w:val="21"/>
                      <w:szCs w:val="21"/>
                    </w:rPr>
                  </w:pPr>
                  <w:r>
                    <w:rPr>
                      <w:bCs/>
                      <w:spacing w:val="-10"/>
                      <w:sz w:val="21"/>
                      <w:szCs w:val="21"/>
                    </w:rPr>
                    <w:t>监测项目</w:t>
                  </w:r>
                </w:p>
              </w:tc>
              <w:tc>
                <w:tcPr>
                  <w:tcW w:w="2646" w:type="dxa"/>
                  <w:vAlign w:val="center"/>
                </w:tcPr>
                <w:p w14:paraId="6E789E30">
                  <w:pPr>
                    <w:pStyle w:val="15"/>
                    <w:adjustRightInd w:val="0"/>
                    <w:jc w:val="center"/>
                    <w:rPr>
                      <w:bCs/>
                      <w:spacing w:val="-10"/>
                      <w:sz w:val="21"/>
                      <w:szCs w:val="21"/>
                    </w:rPr>
                  </w:pPr>
                  <w:r>
                    <w:rPr>
                      <w:bCs/>
                      <w:spacing w:val="-10"/>
                      <w:sz w:val="21"/>
                      <w:szCs w:val="21"/>
                    </w:rPr>
                    <w:t>时间、频次</w:t>
                  </w:r>
                </w:p>
              </w:tc>
            </w:tr>
            <w:tr w14:paraId="68DA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vAlign w:val="center"/>
                </w:tcPr>
                <w:p w14:paraId="78E1E3ED">
                  <w:pPr>
                    <w:pStyle w:val="15"/>
                    <w:adjustRightInd w:val="0"/>
                    <w:jc w:val="center"/>
                    <w:rPr>
                      <w:bCs/>
                      <w:spacing w:val="-10"/>
                      <w:sz w:val="21"/>
                      <w:szCs w:val="21"/>
                    </w:rPr>
                  </w:pPr>
                  <w:r>
                    <w:rPr>
                      <w:rFonts w:hint="eastAsia"/>
                      <w:sz w:val="21"/>
                      <w:szCs w:val="21"/>
                    </w:rPr>
                    <w:t>西厂房</w:t>
                  </w:r>
                  <w:r>
                    <w:rPr>
                      <w:sz w:val="21"/>
                      <w:szCs w:val="21"/>
                    </w:rPr>
                    <w:t>沿项目区场界东、南、西、北界外1m处布点监测</w:t>
                  </w:r>
                </w:p>
              </w:tc>
              <w:tc>
                <w:tcPr>
                  <w:tcW w:w="2645" w:type="dxa"/>
                  <w:vAlign w:val="center"/>
                </w:tcPr>
                <w:p w14:paraId="577F9C12">
                  <w:pPr>
                    <w:pStyle w:val="15"/>
                    <w:adjustRightInd w:val="0"/>
                    <w:jc w:val="center"/>
                    <w:rPr>
                      <w:bCs/>
                      <w:spacing w:val="-10"/>
                      <w:sz w:val="21"/>
                      <w:szCs w:val="21"/>
                    </w:rPr>
                  </w:pPr>
                  <w:r>
                    <w:rPr>
                      <w:sz w:val="21"/>
                      <w:szCs w:val="21"/>
                    </w:rPr>
                    <w:t>等效声级Leq(dB (A))</w:t>
                  </w:r>
                </w:p>
              </w:tc>
              <w:tc>
                <w:tcPr>
                  <w:tcW w:w="2646" w:type="dxa"/>
                  <w:vAlign w:val="center"/>
                </w:tcPr>
                <w:p w14:paraId="6B68A01F">
                  <w:pPr>
                    <w:pStyle w:val="15"/>
                    <w:adjustRightInd w:val="0"/>
                    <w:jc w:val="center"/>
                    <w:rPr>
                      <w:bCs/>
                      <w:spacing w:val="-10"/>
                      <w:sz w:val="21"/>
                      <w:szCs w:val="21"/>
                    </w:rPr>
                  </w:pPr>
                  <w:r>
                    <w:rPr>
                      <w:sz w:val="21"/>
                      <w:szCs w:val="21"/>
                    </w:rPr>
                    <w:t>每</w:t>
                  </w:r>
                  <w:r>
                    <w:rPr>
                      <w:rFonts w:hint="eastAsia"/>
                      <w:sz w:val="21"/>
                      <w:szCs w:val="21"/>
                    </w:rPr>
                    <w:t>季度</w:t>
                  </w:r>
                  <w:r>
                    <w:rPr>
                      <w:sz w:val="21"/>
                      <w:szCs w:val="21"/>
                    </w:rPr>
                    <w:t>至少开展一次监测</w:t>
                  </w:r>
                </w:p>
              </w:tc>
            </w:tr>
            <w:tr w14:paraId="1EF1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vAlign w:val="center"/>
                </w:tcPr>
                <w:p w14:paraId="6E728E72">
                  <w:pPr>
                    <w:pStyle w:val="15"/>
                    <w:adjustRightInd w:val="0"/>
                    <w:jc w:val="center"/>
                    <w:rPr>
                      <w:sz w:val="21"/>
                      <w:szCs w:val="21"/>
                    </w:rPr>
                  </w:pPr>
                  <w:r>
                    <w:rPr>
                      <w:rFonts w:hint="eastAsia"/>
                      <w:sz w:val="21"/>
                      <w:szCs w:val="21"/>
                    </w:rPr>
                    <w:t>东厂房</w:t>
                  </w:r>
                  <w:r>
                    <w:rPr>
                      <w:sz w:val="21"/>
                      <w:szCs w:val="21"/>
                    </w:rPr>
                    <w:t>沿项目区场界东、南、西、北界外1m处布点监测</w:t>
                  </w:r>
                </w:p>
              </w:tc>
              <w:tc>
                <w:tcPr>
                  <w:tcW w:w="2645" w:type="dxa"/>
                  <w:vAlign w:val="center"/>
                </w:tcPr>
                <w:p w14:paraId="16E0188B">
                  <w:pPr>
                    <w:pStyle w:val="15"/>
                    <w:adjustRightInd w:val="0"/>
                    <w:jc w:val="center"/>
                    <w:rPr>
                      <w:sz w:val="21"/>
                      <w:szCs w:val="21"/>
                    </w:rPr>
                  </w:pPr>
                  <w:r>
                    <w:rPr>
                      <w:sz w:val="21"/>
                      <w:szCs w:val="21"/>
                    </w:rPr>
                    <w:t>等效声级Leq(dB (A))</w:t>
                  </w:r>
                </w:p>
              </w:tc>
              <w:tc>
                <w:tcPr>
                  <w:tcW w:w="2646" w:type="dxa"/>
                  <w:vAlign w:val="center"/>
                </w:tcPr>
                <w:p w14:paraId="7C6F5BAA">
                  <w:pPr>
                    <w:pStyle w:val="15"/>
                    <w:adjustRightInd w:val="0"/>
                    <w:jc w:val="center"/>
                    <w:rPr>
                      <w:sz w:val="21"/>
                      <w:szCs w:val="21"/>
                    </w:rPr>
                  </w:pPr>
                  <w:r>
                    <w:rPr>
                      <w:sz w:val="21"/>
                      <w:szCs w:val="21"/>
                    </w:rPr>
                    <w:t>每</w:t>
                  </w:r>
                  <w:r>
                    <w:rPr>
                      <w:rFonts w:hint="eastAsia"/>
                      <w:sz w:val="21"/>
                      <w:szCs w:val="21"/>
                    </w:rPr>
                    <w:t>季度</w:t>
                  </w:r>
                  <w:r>
                    <w:rPr>
                      <w:sz w:val="21"/>
                      <w:szCs w:val="21"/>
                    </w:rPr>
                    <w:t>至少开展一次监测</w:t>
                  </w:r>
                </w:p>
              </w:tc>
            </w:tr>
          </w:tbl>
          <w:p w14:paraId="26B9F8D2">
            <w:pPr>
              <w:pStyle w:val="15"/>
              <w:adjustRightInd w:val="0"/>
              <w:spacing w:before="120" w:beforeLines="50" w:line="360" w:lineRule="auto"/>
              <w:ind w:firstLine="442" w:firstLineChars="200"/>
              <w:rPr>
                <w:b/>
                <w:spacing w:val="-10"/>
                <w:sz w:val="24"/>
                <w:szCs w:val="24"/>
              </w:rPr>
            </w:pPr>
            <w:r>
              <w:rPr>
                <w:b/>
                <w:spacing w:val="-10"/>
                <w:sz w:val="24"/>
                <w:szCs w:val="24"/>
              </w:rPr>
              <w:t>四、固体废物</w:t>
            </w:r>
          </w:p>
          <w:p w14:paraId="3D74F6D5">
            <w:pPr>
              <w:pStyle w:val="15"/>
              <w:adjustRightInd w:val="0"/>
              <w:spacing w:line="360" w:lineRule="auto"/>
              <w:ind w:firstLine="440" w:firstLineChars="200"/>
              <w:rPr>
                <w:bCs/>
                <w:spacing w:val="-10"/>
                <w:sz w:val="24"/>
                <w:szCs w:val="24"/>
              </w:rPr>
            </w:pPr>
            <w:r>
              <w:rPr>
                <w:bCs/>
                <w:spacing w:val="-10"/>
                <w:sz w:val="24"/>
                <w:szCs w:val="24"/>
              </w:rPr>
              <w:t>本项目产生的固体废物有一般固废和危险废物，一般固废包含废包装材料、</w:t>
            </w:r>
            <w:r>
              <w:rPr>
                <w:rFonts w:hint="eastAsia"/>
                <w:bCs/>
                <w:spacing w:val="-10"/>
                <w:sz w:val="24"/>
                <w:szCs w:val="24"/>
              </w:rPr>
              <w:t>车间</w:t>
            </w:r>
            <w:r>
              <w:rPr>
                <w:bCs/>
                <w:spacing w:val="-10"/>
                <w:sz w:val="24"/>
                <w:szCs w:val="24"/>
              </w:rPr>
              <w:t>收尘</w:t>
            </w:r>
            <w:r>
              <w:rPr>
                <w:rFonts w:hint="eastAsia"/>
                <w:bCs/>
                <w:spacing w:val="-10"/>
                <w:sz w:val="24"/>
                <w:szCs w:val="24"/>
              </w:rPr>
              <w:t>灰</w:t>
            </w:r>
            <w:r>
              <w:rPr>
                <w:bCs/>
                <w:spacing w:val="-10"/>
                <w:sz w:val="24"/>
                <w:szCs w:val="24"/>
              </w:rPr>
              <w:t>、生活垃圾，危险废物为废机油。</w:t>
            </w:r>
          </w:p>
          <w:p w14:paraId="4D5A8D8C">
            <w:pPr>
              <w:pStyle w:val="15"/>
              <w:adjustRightInd w:val="0"/>
              <w:spacing w:line="360" w:lineRule="auto"/>
              <w:ind w:firstLine="442" w:firstLineChars="200"/>
              <w:rPr>
                <w:b/>
                <w:spacing w:val="-10"/>
                <w:sz w:val="24"/>
                <w:szCs w:val="24"/>
              </w:rPr>
            </w:pPr>
            <w:r>
              <w:rPr>
                <w:rFonts w:hint="eastAsia"/>
                <w:b/>
                <w:spacing w:val="-10"/>
                <w:sz w:val="24"/>
                <w:szCs w:val="24"/>
              </w:rPr>
              <w:t>1、固废产生量及措施</w:t>
            </w:r>
          </w:p>
          <w:p w14:paraId="46C3DAE1">
            <w:pPr>
              <w:pStyle w:val="15"/>
              <w:adjustRightInd w:val="0"/>
              <w:spacing w:line="360" w:lineRule="auto"/>
              <w:ind w:firstLine="440" w:firstLineChars="200"/>
              <w:rPr>
                <w:bCs/>
                <w:spacing w:val="-10"/>
                <w:sz w:val="24"/>
                <w:szCs w:val="24"/>
              </w:rPr>
            </w:pPr>
            <w:r>
              <w:rPr>
                <w:bCs/>
                <w:spacing w:val="-10"/>
                <w:sz w:val="24"/>
                <w:szCs w:val="24"/>
              </w:rPr>
              <w:t>（1）废包装材料</w:t>
            </w:r>
          </w:p>
          <w:p w14:paraId="2725983D">
            <w:pPr>
              <w:spacing w:line="360" w:lineRule="auto"/>
              <w:ind w:firstLine="480" w:firstLineChars="200"/>
              <w:rPr>
                <w:sz w:val="24"/>
              </w:rPr>
            </w:pPr>
            <w:r>
              <w:rPr>
                <w:rFonts w:hint="eastAsia"/>
                <w:sz w:val="24"/>
              </w:rPr>
              <w:t>项目在生产工序中会产生原料和产品的废包装材料，根据建设单位提供资料，废包装材料产生量约为0.2t/a，属于一般固废，集中收集后暂存于一般固废收集桶内，定期外售资源回收公司。</w:t>
            </w:r>
          </w:p>
          <w:p w14:paraId="2A81A401">
            <w:pPr>
              <w:adjustRightInd w:val="0"/>
              <w:snapToGrid w:val="0"/>
              <w:spacing w:line="360" w:lineRule="auto"/>
              <w:ind w:firstLine="480" w:firstLineChars="200"/>
              <w:rPr>
                <w:sz w:val="24"/>
              </w:rPr>
            </w:pPr>
            <w:r>
              <w:rPr>
                <w:sz w:val="24"/>
              </w:rPr>
              <w:t>根据生态环境部办公厅2024年1月22日印发的《固体废物分类与代码目录》，</w:t>
            </w:r>
            <w:r>
              <w:rPr>
                <w:rFonts w:hint="eastAsia"/>
                <w:sz w:val="24"/>
              </w:rPr>
              <w:t>废包装材料</w:t>
            </w:r>
            <w:r>
              <w:rPr>
                <w:sz w:val="24"/>
              </w:rPr>
              <w:t>废物代码为900-099-S</w:t>
            </w:r>
            <w:r>
              <w:rPr>
                <w:rFonts w:hint="eastAsia"/>
                <w:sz w:val="24"/>
              </w:rPr>
              <w:t>59</w:t>
            </w:r>
            <w:r>
              <w:rPr>
                <w:sz w:val="24"/>
              </w:rPr>
              <w:t xml:space="preserve">。 </w:t>
            </w:r>
          </w:p>
          <w:p w14:paraId="27582942">
            <w:pPr>
              <w:pStyle w:val="15"/>
              <w:adjustRightInd w:val="0"/>
              <w:spacing w:line="360" w:lineRule="auto"/>
              <w:ind w:firstLine="440" w:firstLineChars="200"/>
              <w:rPr>
                <w:bCs/>
                <w:spacing w:val="-10"/>
                <w:sz w:val="24"/>
                <w:szCs w:val="24"/>
              </w:rPr>
            </w:pPr>
            <w:r>
              <w:rPr>
                <w:bCs/>
                <w:spacing w:val="-10"/>
                <w:sz w:val="24"/>
                <w:szCs w:val="24"/>
              </w:rPr>
              <w:t>（2）</w:t>
            </w:r>
            <w:r>
              <w:rPr>
                <w:rFonts w:hint="eastAsia"/>
                <w:bCs/>
                <w:spacing w:val="-10"/>
                <w:sz w:val="24"/>
                <w:szCs w:val="24"/>
              </w:rPr>
              <w:t>车间降尘</w:t>
            </w:r>
          </w:p>
          <w:p w14:paraId="76162F07">
            <w:pPr>
              <w:spacing w:line="360" w:lineRule="auto"/>
              <w:ind w:firstLine="440" w:firstLineChars="200"/>
              <w:rPr>
                <w:sz w:val="24"/>
              </w:rPr>
            </w:pPr>
            <w:r>
              <w:rPr>
                <w:bCs/>
                <w:spacing w:val="-10"/>
                <w:sz w:val="24"/>
              </w:rPr>
              <w:t>根据</w:t>
            </w:r>
            <w:r>
              <w:rPr>
                <w:rFonts w:hint="eastAsia"/>
                <w:bCs/>
                <w:spacing w:val="-10"/>
                <w:sz w:val="24"/>
              </w:rPr>
              <w:t>废气章节分析</w:t>
            </w:r>
            <w:r>
              <w:rPr>
                <w:bCs/>
                <w:spacing w:val="-10"/>
                <w:sz w:val="24"/>
              </w:rPr>
              <w:t>，</w:t>
            </w:r>
            <w:r>
              <w:rPr>
                <w:rFonts w:hint="eastAsia"/>
                <w:bCs/>
                <w:spacing w:val="-10"/>
                <w:sz w:val="24"/>
              </w:rPr>
              <w:t>车间</w:t>
            </w:r>
            <w:r>
              <w:rPr>
                <w:bCs/>
                <w:spacing w:val="-10"/>
                <w:sz w:val="24"/>
              </w:rPr>
              <w:t>收尘产生量为</w:t>
            </w:r>
            <w:r>
              <w:rPr>
                <w:rFonts w:hint="eastAsia"/>
                <w:bCs/>
                <w:spacing w:val="-10"/>
                <w:sz w:val="24"/>
              </w:rPr>
              <w:t>1.289</w:t>
            </w:r>
            <w:r>
              <w:rPr>
                <w:bCs/>
                <w:spacing w:val="-10"/>
                <w:sz w:val="24"/>
              </w:rPr>
              <w:t>t/a，</w:t>
            </w:r>
            <w:r>
              <w:rPr>
                <w:sz w:val="24"/>
              </w:rPr>
              <w:t>经收集后回用于生产。</w:t>
            </w:r>
          </w:p>
          <w:p w14:paraId="6AAF45CA">
            <w:pPr>
              <w:adjustRightInd w:val="0"/>
              <w:snapToGrid w:val="0"/>
              <w:spacing w:line="360" w:lineRule="auto"/>
              <w:ind w:firstLine="480" w:firstLineChars="200"/>
              <w:rPr>
                <w:sz w:val="24"/>
              </w:rPr>
            </w:pPr>
            <w:r>
              <w:rPr>
                <w:sz w:val="24"/>
              </w:rPr>
              <w:t>根据生态环境部办公厅2024年1月22日印发的《固体废物分类与代码目录》，收尘废物代码为900-099-S59。</w:t>
            </w:r>
          </w:p>
          <w:p w14:paraId="04C920E8">
            <w:pPr>
              <w:pStyle w:val="15"/>
              <w:adjustRightInd w:val="0"/>
              <w:spacing w:line="360" w:lineRule="auto"/>
              <w:ind w:firstLine="440" w:firstLineChars="200"/>
              <w:rPr>
                <w:bCs/>
                <w:spacing w:val="-10"/>
                <w:sz w:val="24"/>
                <w:szCs w:val="24"/>
              </w:rPr>
            </w:pPr>
            <w:r>
              <w:rPr>
                <w:bCs/>
                <w:spacing w:val="-10"/>
                <w:sz w:val="24"/>
                <w:szCs w:val="24"/>
              </w:rPr>
              <w:t>（</w:t>
            </w:r>
            <w:r>
              <w:rPr>
                <w:rFonts w:hint="eastAsia"/>
                <w:bCs/>
                <w:spacing w:val="-10"/>
                <w:sz w:val="24"/>
                <w:szCs w:val="24"/>
              </w:rPr>
              <w:t>3</w:t>
            </w:r>
            <w:r>
              <w:rPr>
                <w:bCs/>
                <w:spacing w:val="-10"/>
                <w:sz w:val="24"/>
                <w:szCs w:val="24"/>
              </w:rPr>
              <w:t>）生活垃圾</w:t>
            </w:r>
          </w:p>
          <w:p w14:paraId="6412E2C6">
            <w:pPr>
              <w:adjustRightInd w:val="0"/>
              <w:snapToGrid w:val="0"/>
              <w:spacing w:line="360" w:lineRule="auto"/>
              <w:ind w:firstLine="440" w:firstLineChars="200"/>
              <w:rPr>
                <w:sz w:val="24"/>
              </w:rPr>
            </w:pPr>
            <w:r>
              <w:rPr>
                <w:bCs/>
                <w:spacing w:val="-10"/>
                <w:sz w:val="24"/>
              </w:rPr>
              <w:t>本项目</w:t>
            </w:r>
            <w:r>
              <w:rPr>
                <w:bCs/>
                <w:sz w:val="24"/>
              </w:rPr>
              <w:t>劳动定员</w:t>
            </w:r>
            <w:r>
              <w:rPr>
                <w:rFonts w:hint="eastAsia"/>
                <w:bCs/>
                <w:sz w:val="24"/>
              </w:rPr>
              <w:t>10</w:t>
            </w:r>
            <w:r>
              <w:rPr>
                <w:bCs/>
                <w:sz w:val="24"/>
              </w:rPr>
              <w:t>人</w:t>
            </w:r>
            <w:r>
              <w:rPr>
                <w:rFonts w:hint="eastAsia"/>
                <w:bCs/>
                <w:sz w:val="24"/>
              </w:rPr>
              <w:t>，</w:t>
            </w:r>
            <w:r>
              <w:rPr>
                <w:sz w:val="24"/>
              </w:rPr>
              <w:t>生活垃圾产生量按0.5kg/（d·人）考虑，则生活垃圾产生量约为</w:t>
            </w:r>
            <w:r>
              <w:rPr>
                <w:rFonts w:hint="eastAsia"/>
                <w:sz w:val="24"/>
              </w:rPr>
              <w:t>5</w:t>
            </w:r>
            <w:r>
              <w:rPr>
                <w:sz w:val="24"/>
              </w:rPr>
              <w:t>kg/d，</w:t>
            </w:r>
            <w:r>
              <w:rPr>
                <w:rFonts w:hint="eastAsia"/>
                <w:sz w:val="24"/>
              </w:rPr>
              <w:t>1.5</w:t>
            </w:r>
            <w:r>
              <w:rPr>
                <w:sz w:val="24"/>
              </w:rPr>
              <w:t>t/a，设置有若干生活垃圾收集桶，分类收集后，定期清运至环卫部门指定垃圾收集点处置。</w:t>
            </w:r>
          </w:p>
          <w:p w14:paraId="4262A087">
            <w:pPr>
              <w:adjustRightInd w:val="0"/>
              <w:snapToGrid w:val="0"/>
              <w:spacing w:line="360" w:lineRule="auto"/>
              <w:ind w:firstLine="480" w:firstLineChars="200"/>
              <w:rPr>
                <w:sz w:val="24"/>
              </w:rPr>
            </w:pPr>
            <w:r>
              <w:rPr>
                <w:sz w:val="24"/>
              </w:rPr>
              <w:t xml:space="preserve">根据生态环境部办公厅2024年1月22日印发的《固体废物分类与代码目录》，生活垃圾废物代码为900-002-S64。 </w:t>
            </w:r>
          </w:p>
          <w:p w14:paraId="6B8C9BB0">
            <w:pPr>
              <w:pStyle w:val="15"/>
              <w:adjustRightInd w:val="0"/>
              <w:spacing w:line="360" w:lineRule="auto"/>
              <w:ind w:firstLine="440" w:firstLineChars="200"/>
              <w:rPr>
                <w:bCs/>
                <w:spacing w:val="-10"/>
                <w:sz w:val="24"/>
                <w:szCs w:val="24"/>
              </w:rPr>
            </w:pPr>
            <w:r>
              <w:rPr>
                <w:bCs/>
                <w:spacing w:val="-10"/>
                <w:sz w:val="24"/>
                <w:szCs w:val="24"/>
              </w:rPr>
              <w:t>（</w:t>
            </w:r>
            <w:r>
              <w:rPr>
                <w:rFonts w:hint="eastAsia"/>
                <w:bCs/>
                <w:spacing w:val="-10"/>
                <w:sz w:val="24"/>
                <w:szCs w:val="24"/>
              </w:rPr>
              <w:t>4</w:t>
            </w:r>
            <w:r>
              <w:rPr>
                <w:bCs/>
                <w:spacing w:val="-10"/>
                <w:sz w:val="24"/>
                <w:szCs w:val="24"/>
              </w:rPr>
              <w:t>）废机油</w:t>
            </w:r>
          </w:p>
          <w:p w14:paraId="3DBEEE7A">
            <w:pPr>
              <w:pStyle w:val="15"/>
              <w:adjustRightInd w:val="0"/>
              <w:spacing w:line="360" w:lineRule="auto"/>
              <w:ind w:firstLine="440" w:firstLineChars="200"/>
              <w:rPr>
                <w:bCs/>
                <w:spacing w:val="-10"/>
                <w:sz w:val="24"/>
                <w:szCs w:val="24"/>
              </w:rPr>
            </w:pPr>
            <w:r>
              <w:rPr>
                <w:bCs/>
                <w:spacing w:val="-10"/>
                <w:sz w:val="24"/>
                <w:szCs w:val="24"/>
              </w:rPr>
              <w:t>设备维护会产生废机油，产生量约0.5t/a，根据《国家危险废物名录》（202</w:t>
            </w:r>
            <w:r>
              <w:rPr>
                <w:rFonts w:hint="eastAsia"/>
                <w:bCs/>
                <w:spacing w:val="-10"/>
                <w:sz w:val="24"/>
                <w:szCs w:val="24"/>
              </w:rPr>
              <w:t>5</w:t>
            </w:r>
            <w:r>
              <w:rPr>
                <w:bCs/>
                <w:spacing w:val="-10"/>
                <w:sz w:val="24"/>
                <w:szCs w:val="24"/>
              </w:rPr>
              <w:t>年版），废机油属于危险废物，废物代码：HW08 900-214-08 车辆、轮船及其它机械维修过程中产生的废发动机油、制动器油、自动变速器油、齿轮油等废润滑油，统一收集暂存于危险废物暂存</w:t>
            </w:r>
            <w:r>
              <w:rPr>
                <w:rFonts w:hint="eastAsia"/>
                <w:bCs/>
                <w:spacing w:val="-10"/>
                <w:sz w:val="24"/>
                <w:szCs w:val="24"/>
              </w:rPr>
              <w:t>库</w:t>
            </w:r>
            <w:r>
              <w:rPr>
                <w:bCs/>
                <w:spacing w:val="-10"/>
                <w:sz w:val="24"/>
                <w:szCs w:val="24"/>
              </w:rPr>
              <w:t>，</w:t>
            </w:r>
            <w:r>
              <w:rPr>
                <w:rFonts w:hint="eastAsia"/>
                <w:bCs/>
                <w:spacing w:val="-10"/>
                <w:sz w:val="24"/>
                <w:szCs w:val="24"/>
              </w:rPr>
              <w:t>定期委托有资质单位进行</w:t>
            </w:r>
            <w:r>
              <w:rPr>
                <w:bCs/>
                <w:spacing w:val="-10"/>
                <w:sz w:val="24"/>
                <w:szCs w:val="24"/>
              </w:rPr>
              <w:t>处置。</w:t>
            </w:r>
          </w:p>
          <w:p w14:paraId="56138E50">
            <w:pPr>
              <w:pStyle w:val="15"/>
              <w:adjustRightInd w:val="0"/>
              <w:spacing w:line="360" w:lineRule="auto"/>
              <w:ind w:firstLine="440" w:firstLineChars="200"/>
              <w:rPr>
                <w:bCs/>
                <w:spacing w:val="-10"/>
                <w:sz w:val="24"/>
                <w:szCs w:val="24"/>
              </w:rPr>
            </w:pPr>
            <w:r>
              <w:rPr>
                <w:bCs/>
                <w:spacing w:val="-10"/>
                <w:sz w:val="24"/>
                <w:szCs w:val="24"/>
              </w:rPr>
              <w:t>固废产排情况统计详见下表。</w:t>
            </w:r>
          </w:p>
          <w:p w14:paraId="270F0EA5">
            <w:pPr>
              <w:pStyle w:val="15"/>
              <w:adjustRightInd w:val="0"/>
              <w:ind w:firstLine="382" w:firstLineChars="200"/>
              <w:jc w:val="center"/>
              <w:rPr>
                <w:b/>
                <w:spacing w:val="-10"/>
                <w:sz w:val="21"/>
                <w:szCs w:val="21"/>
              </w:rPr>
            </w:pPr>
            <w:r>
              <w:rPr>
                <w:b/>
                <w:spacing w:val="-10"/>
                <w:sz w:val="21"/>
                <w:szCs w:val="21"/>
              </w:rPr>
              <w:t>表4-</w:t>
            </w:r>
            <w:r>
              <w:rPr>
                <w:rFonts w:hint="eastAsia"/>
                <w:b/>
                <w:spacing w:val="-10"/>
                <w:sz w:val="21"/>
                <w:szCs w:val="21"/>
              </w:rPr>
              <w:t>9</w:t>
            </w:r>
            <w:r>
              <w:rPr>
                <w:b/>
                <w:spacing w:val="-10"/>
                <w:sz w:val="21"/>
                <w:szCs w:val="21"/>
              </w:rPr>
              <w:t xml:space="preserve">  固废产排情况统计表</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562"/>
              <w:gridCol w:w="1838"/>
              <w:gridCol w:w="1583"/>
              <w:gridCol w:w="1907"/>
            </w:tblGrid>
            <w:tr w14:paraId="2EF5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68" w:type="dxa"/>
                  <w:vAlign w:val="center"/>
                </w:tcPr>
                <w:p w14:paraId="12599740">
                  <w:pPr>
                    <w:pStyle w:val="15"/>
                    <w:adjustRightInd w:val="0"/>
                    <w:jc w:val="both"/>
                    <w:rPr>
                      <w:bCs/>
                      <w:spacing w:val="-10"/>
                      <w:sz w:val="21"/>
                      <w:szCs w:val="21"/>
                    </w:rPr>
                  </w:pPr>
                </w:p>
                <w:p w14:paraId="6EE07290">
                  <w:pPr>
                    <w:pStyle w:val="15"/>
                    <w:adjustRightInd w:val="0"/>
                    <w:jc w:val="both"/>
                    <w:rPr>
                      <w:bCs/>
                      <w:spacing w:val="-10"/>
                      <w:sz w:val="21"/>
                      <w:szCs w:val="21"/>
                    </w:rPr>
                  </w:pPr>
                  <w:r>
                    <w:rPr>
                      <w:rFonts w:hint="eastAsia"/>
                      <w:bCs/>
                      <w:spacing w:val="-10"/>
                      <w:sz w:val="21"/>
                      <w:szCs w:val="21"/>
                    </w:rPr>
                    <w:t>项目</w:t>
                  </w:r>
                </w:p>
                <w:p w14:paraId="41D2F0DF">
                  <w:pPr>
                    <w:pStyle w:val="15"/>
                    <w:adjustRightInd w:val="0"/>
                    <w:jc w:val="both"/>
                    <w:rPr>
                      <w:bCs/>
                      <w:spacing w:val="-10"/>
                      <w:sz w:val="21"/>
                      <w:szCs w:val="21"/>
                    </w:rPr>
                  </w:pPr>
                </w:p>
                <w:p w14:paraId="3345CB62">
                  <w:pPr>
                    <w:pStyle w:val="15"/>
                    <w:adjustRightInd w:val="0"/>
                    <w:jc w:val="both"/>
                    <w:rPr>
                      <w:bCs/>
                      <w:spacing w:val="-10"/>
                      <w:sz w:val="21"/>
                      <w:szCs w:val="21"/>
                    </w:rPr>
                  </w:pPr>
                  <w:r>
                    <w:rPr>
                      <w:bCs/>
                      <w:spacing w:val="-10"/>
                      <w:sz w:val="21"/>
                      <w:szCs w:val="21"/>
                    </w:rPr>
                    <w:t>项目</w:t>
                  </w:r>
                </w:p>
                <w:p w14:paraId="402F95A1">
                  <w:pPr>
                    <w:pStyle w:val="15"/>
                    <w:adjustRightInd w:val="0"/>
                    <w:jc w:val="both"/>
                    <w:rPr>
                      <w:bCs/>
                      <w:spacing w:val="-10"/>
                      <w:sz w:val="21"/>
                      <w:szCs w:val="21"/>
                    </w:rPr>
                  </w:pPr>
                  <w:r>
                    <w:rPr>
                      <w:rFonts w:hint="eastAsia"/>
                      <w:bCs/>
                      <w:spacing w:val="-10"/>
                      <w:sz w:val="21"/>
                      <w:szCs w:val="21"/>
                    </w:rPr>
                    <w:t xml:space="preserve">     固废</w:t>
                  </w:r>
                </w:p>
                <w:p w14:paraId="461D18DE">
                  <w:pPr>
                    <w:pStyle w:val="15"/>
                    <w:adjustRightInd w:val="0"/>
                    <w:jc w:val="both"/>
                    <w:rPr>
                      <w:bCs/>
                      <w:spacing w:val="-10"/>
                      <w:sz w:val="21"/>
                      <w:szCs w:val="21"/>
                    </w:rPr>
                  </w:pPr>
                </w:p>
              </w:tc>
              <w:tc>
                <w:tcPr>
                  <w:tcW w:w="1562" w:type="dxa"/>
                  <w:vAlign w:val="center"/>
                </w:tcPr>
                <w:p w14:paraId="6890ED74">
                  <w:pPr>
                    <w:pStyle w:val="15"/>
                    <w:adjustRightInd w:val="0"/>
                    <w:jc w:val="center"/>
                    <w:rPr>
                      <w:bCs/>
                      <w:spacing w:val="-10"/>
                      <w:sz w:val="21"/>
                      <w:szCs w:val="21"/>
                    </w:rPr>
                  </w:pPr>
                  <w:r>
                    <w:rPr>
                      <w:bCs/>
                      <w:spacing w:val="-10"/>
                      <w:sz w:val="21"/>
                      <w:szCs w:val="21"/>
                    </w:rPr>
                    <w:t>废包装材料</w:t>
                  </w:r>
                </w:p>
              </w:tc>
              <w:tc>
                <w:tcPr>
                  <w:tcW w:w="1838" w:type="dxa"/>
                  <w:vAlign w:val="center"/>
                </w:tcPr>
                <w:p w14:paraId="4866A6C8">
                  <w:pPr>
                    <w:pStyle w:val="15"/>
                    <w:adjustRightInd w:val="0"/>
                    <w:jc w:val="center"/>
                    <w:rPr>
                      <w:bCs/>
                      <w:spacing w:val="-10"/>
                      <w:sz w:val="21"/>
                      <w:szCs w:val="21"/>
                    </w:rPr>
                  </w:pPr>
                  <w:r>
                    <w:rPr>
                      <w:bCs/>
                      <w:spacing w:val="-10"/>
                      <w:sz w:val="21"/>
                      <w:szCs w:val="21"/>
                    </w:rPr>
                    <w:t>收尘</w:t>
                  </w:r>
                  <w:r>
                    <w:rPr>
                      <w:rFonts w:hint="eastAsia"/>
                      <w:bCs/>
                      <w:spacing w:val="-10"/>
                      <w:sz w:val="21"/>
                      <w:szCs w:val="21"/>
                    </w:rPr>
                    <w:t>灰</w:t>
                  </w:r>
                </w:p>
              </w:tc>
              <w:tc>
                <w:tcPr>
                  <w:tcW w:w="1583" w:type="dxa"/>
                  <w:vAlign w:val="center"/>
                </w:tcPr>
                <w:p w14:paraId="2F588598">
                  <w:pPr>
                    <w:pStyle w:val="15"/>
                    <w:adjustRightInd w:val="0"/>
                    <w:jc w:val="center"/>
                    <w:rPr>
                      <w:bCs/>
                      <w:spacing w:val="-10"/>
                      <w:sz w:val="21"/>
                      <w:szCs w:val="21"/>
                    </w:rPr>
                  </w:pPr>
                  <w:r>
                    <w:rPr>
                      <w:bCs/>
                      <w:spacing w:val="-10"/>
                      <w:sz w:val="21"/>
                      <w:szCs w:val="21"/>
                    </w:rPr>
                    <w:t>生活垃圾</w:t>
                  </w:r>
                </w:p>
              </w:tc>
              <w:tc>
                <w:tcPr>
                  <w:tcW w:w="1907" w:type="dxa"/>
                  <w:vAlign w:val="center"/>
                </w:tcPr>
                <w:p w14:paraId="0EA72BFB">
                  <w:pPr>
                    <w:pStyle w:val="15"/>
                    <w:adjustRightInd w:val="0"/>
                    <w:jc w:val="center"/>
                    <w:rPr>
                      <w:bCs/>
                      <w:spacing w:val="-10"/>
                      <w:sz w:val="21"/>
                      <w:szCs w:val="21"/>
                    </w:rPr>
                  </w:pPr>
                  <w:r>
                    <w:rPr>
                      <w:bCs/>
                      <w:spacing w:val="-10"/>
                      <w:sz w:val="21"/>
                      <w:szCs w:val="21"/>
                    </w:rPr>
                    <w:t>废机油</w:t>
                  </w:r>
                </w:p>
              </w:tc>
            </w:tr>
            <w:tr w14:paraId="2D1B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3976AFC3">
                  <w:pPr>
                    <w:pStyle w:val="15"/>
                    <w:adjustRightInd w:val="0"/>
                    <w:jc w:val="center"/>
                    <w:rPr>
                      <w:bCs/>
                      <w:spacing w:val="-10"/>
                      <w:sz w:val="21"/>
                      <w:szCs w:val="21"/>
                    </w:rPr>
                  </w:pPr>
                  <w:r>
                    <w:rPr>
                      <w:bCs/>
                      <w:spacing w:val="-10"/>
                      <w:sz w:val="21"/>
                      <w:szCs w:val="21"/>
                    </w:rPr>
                    <w:t>固体废物属性</w:t>
                  </w:r>
                </w:p>
              </w:tc>
              <w:tc>
                <w:tcPr>
                  <w:tcW w:w="4983" w:type="dxa"/>
                  <w:gridSpan w:val="3"/>
                  <w:vAlign w:val="center"/>
                </w:tcPr>
                <w:p w14:paraId="13F8E397">
                  <w:pPr>
                    <w:pStyle w:val="15"/>
                    <w:adjustRightInd w:val="0"/>
                    <w:jc w:val="center"/>
                    <w:rPr>
                      <w:bCs/>
                      <w:spacing w:val="-10"/>
                      <w:sz w:val="21"/>
                      <w:szCs w:val="21"/>
                    </w:rPr>
                  </w:pPr>
                  <w:r>
                    <w:rPr>
                      <w:bCs/>
                      <w:spacing w:val="-10"/>
                      <w:sz w:val="21"/>
                      <w:szCs w:val="21"/>
                    </w:rPr>
                    <w:t>一般固废</w:t>
                  </w:r>
                </w:p>
              </w:tc>
              <w:tc>
                <w:tcPr>
                  <w:tcW w:w="1907" w:type="dxa"/>
                  <w:vAlign w:val="center"/>
                </w:tcPr>
                <w:p w14:paraId="33598108">
                  <w:pPr>
                    <w:pStyle w:val="15"/>
                    <w:adjustRightInd w:val="0"/>
                    <w:jc w:val="center"/>
                    <w:rPr>
                      <w:bCs/>
                      <w:spacing w:val="-10"/>
                      <w:sz w:val="21"/>
                      <w:szCs w:val="21"/>
                    </w:rPr>
                  </w:pPr>
                  <w:r>
                    <w:rPr>
                      <w:rFonts w:hint="eastAsia"/>
                      <w:bCs/>
                      <w:spacing w:val="-10"/>
                      <w:sz w:val="21"/>
                      <w:szCs w:val="21"/>
                    </w:rPr>
                    <w:t>危险固废</w:t>
                  </w:r>
                </w:p>
              </w:tc>
            </w:tr>
            <w:tr w14:paraId="6B2C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7A3E1F7F">
                  <w:pPr>
                    <w:pStyle w:val="15"/>
                    <w:adjustRightInd w:val="0"/>
                    <w:jc w:val="center"/>
                    <w:rPr>
                      <w:bCs/>
                      <w:spacing w:val="-10"/>
                      <w:sz w:val="21"/>
                      <w:szCs w:val="21"/>
                    </w:rPr>
                  </w:pPr>
                  <w:r>
                    <w:rPr>
                      <w:bCs/>
                      <w:spacing w:val="-10"/>
                      <w:sz w:val="21"/>
                      <w:szCs w:val="21"/>
                    </w:rPr>
                    <w:t>产生环节</w:t>
                  </w:r>
                </w:p>
              </w:tc>
              <w:tc>
                <w:tcPr>
                  <w:tcW w:w="1562" w:type="dxa"/>
                  <w:vAlign w:val="center"/>
                </w:tcPr>
                <w:p w14:paraId="04870C56">
                  <w:pPr>
                    <w:pStyle w:val="15"/>
                    <w:adjustRightInd w:val="0"/>
                    <w:jc w:val="center"/>
                    <w:rPr>
                      <w:bCs/>
                      <w:spacing w:val="-10"/>
                      <w:sz w:val="21"/>
                      <w:szCs w:val="21"/>
                    </w:rPr>
                  </w:pPr>
                  <w:r>
                    <w:rPr>
                      <w:bCs/>
                      <w:spacing w:val="-10"/>
                      <w:sz w:val="21"/>
                      <w:szCs w:val="21"/>
                    </w:rPr>
                    <w:t>原料及产品包装</w:t>
                  </w:r>
                </w:p>
              </w:tc>
              <w:tc>
                <w:tcPr>
                  <w:tcW w:w="1838" w:type="dxa"/>
                  <w:vAlign w:val="center"/>
                </w:tcPr>
                <w:p w14:paraId="6CA244F4">
                  <w:pPr>
                    <w:pStyle w:val="15"/>
                    <w:adjustRightInd w:val="0"/>
                    <w:jc w:val="center"/>
                    <w:rPr>
                      <w:bCs/>
                      <w:spacing w:val="-10"/>
                      <w:sz w:val="21"/>
                      <w:szCs w:val="21"/>
                    </w:rPr>
                  </w:pPr>
                  <w:r>
                    <w:rPr>
                      <w:rFonts w:hint="eastAsia"/>
                      <w:bCs/>
                      <w:spacing w:val="-10"/>
                      <w:sz w:val="21"/>
                      <w:szCs w:val="21"/>
                    </w:rPr>
                    <w:t>生产过程</w:t>
                  </w:r>
                </w:p>
              </w:tc>
              <w:tc>
                <w:tcPr>
                  <w:tcW w:w="1583" w:type="dxa"/>
                  <w:vAlign w:val="center"/>
                </w:tcPr>
                <w:p w14:paraId="159488C0">
                  <w:pPr>
                    <w:pStyle w:val="15"/>
                    <w:adjustRightInd w:val="0"/>
                    <w:jc w:val="center"/>
                    <w:rPr>
                      <w:bCs/>
                      <w:spacing w:val="-10"/>
                      <w:sz w:val="21"/>
                      <w:szCs w:val="21"/>
                    </w:rPr>
                  </w:pPr>
                  <w:r>
                    <w:rPr>
                      <w:bCs/>
                      <w:spacing w:val="-10"/>
                      <w:sz w:val="21"/>
                      <w:szCs w:val="21"/>
                    </w:rPr>
                    <w:t>员工生活</w:t>
                  </w:r>
                </w:p>
              </w:tc>
              <w:tc>
                <w:tcPr>
                  <w:tcW w:w="1907" w:type="dxa"/>
                  <w:vAlign w:val="center"/>
                </w:tcPr>
                <w:p w14:paraId="1E6F7C1A">
                  <w:pPr>
                    <w:pStyle w:val="15"/>
                    <w:adjustRightInd w:val="0"/>
                    <w:jc w:val="center"/>
                    <w:rPr>
                      <w:bCs/>
                      <w:spacing w:val="-10"/>
                      <w:sz w:val="21"/>
                      <w:szCs w:val="21"/>
                    </w:rPr>
                  </w:pPr>
                  <w:r>
                    <w:rPr>
                      <w:bCs/>
                      <w:spacing w:val="-10"/>
                      <w:sz w:val="21"/>
                      <w:szCs w:val="21"/>
                    </w:rPr>
                    <w:t>设备维护、维修</w:t>
                  </w:r>
                </w:p>
              </w:tc>
            </w:tr>
            <w:tr w14:paraId="630D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4ABE6405">
                  <w:pPr>
                    <w:pStyle w:val="15"/>
                    <w:adjustRightInd w:val="0"/>
                    <w:jc w:val="center"/>
                    <w:rPr>
                      <w:bCs/>
                      <w:spacing w:val="-10"/>
                      <w:sz w:val="21"/>
                      <w:szCs w:val="21"/>
                    </w:rPr>
                  </w:pPr>
                  <w:r>
                    <w:rPr>
                      <w:rFonts w:hint="eastAsia"/>
                      <w:bCs/>
                      <w:spacing w:val="-10"/>
                      <w:sz w:val="21"/>
                      <w:szCs w:val="21"/>
                    </w:rPr>
                    <w:t>废物类别及代码</w:t>
                  </w:r>
                </w:p>
              </w:tc>
              <w:tc>
                <w:tcPr>
                  <w:tcW w:w="1562" w:type="dxa"/>
                  <w:vAlign w:val="center"/>
                </w:tcPr>
                <w:p w14:paraId="6DFF331B">
                  <w:pPr>
                    <w:pStyle w:val="15"/>
                    <w:adjustRightInd w:val="0"/>
                    <w:jc w:val="center"/>
                    <w:rPr>
                      <w:bCs/>
                      <w:spacing w:val="-10"/>
                      <w:sz w:val="21"/>
                      <w:szCs w:val="21"/>
                    </w:rPr>
                  </w:pPr>
                  <w:r>
                    <w:rPr>
                      <w:bCs/>
                      <w:spacing w:val="-10"/>
                      <w:sz w:val="21"/>
                      <w:szCs w:val="21"/>
                    </w:rPr>
                    <w:t>900-099-S59</w:t>
                  </w:r>
                </w:p>
              </w:tc>
              <w:tc>
                <w:tcPr>
                  <w:tcW w:w="1838" w:type="dxa"/>
                  <w:vAlign w:val="center"/>
                </w:tcPr>
                <w:p w14:paraId="33091A4F">
                  <w:pPr>
                    <w:pStyle w:val="15"/>
                    <w:adjustRightInd w:val="0"/>
                    <w:jc w:val="center"/>
                    <w:rPr>
                      <w:bCs/>
                      <w:spacing w:val="-10"/>
                      <w:sz w:val="21"/>
                      <w:szCs w:val="21"/>
                    </w:rPr>
                  </w:pPr>
                  <w:r>
                    <w:rPr>
                      <w:bCs/>
                      <w:spacing w:val="-10"/>
                      <w:sz w:val="21"/>
                      <w:szCs w:val="21"/>
                    </w:rPr>
                    <w:t>900-099-S59</w:t>
                  </w:r>
                </w:p>
              </w:tc>
              <w:tc>
                <w:tcPr>
                  <w:tcW w:w="1583" w:type="dxa"/>
                  <w:vAlign w:val="center"/>
                </w:tcPr>
                <w:p w14:paraId="54AB78CA">
                  <w:pPr>
                    <w:pStyle w:val="15"/>
                    <w:adjustRightInd w:val="0"/>
                    <w:jc w:val="center"/>
                    <w:rPr>
                      <w:bCs/>
                      <w:spacing w:val="-10"/>
                      <w:sz w:val="21"/>
                      <w:szCs w:val="21"/>
                    </w:rPr>
                  </w:pPr>
                  <w:r>
                    <w:rPr>
                      <w:bCs/>
                      <w:spacing w:val="-10"/>
                      <w:sz w:val="21"/>
                      <w:szCs w:val="21"/>
                    </w:rPr>
                    <w:t>900-002-S64</w:t>
                  </w:r>
                </w:p>
              </w:tc>
              <w:tc>
                <w:tcPr>
                  <w:tcW w:w="1907" w:type="dxa"/>
                  <w:vAlign w:val="center"/>
                </w:tcPr>
                <w:p w14:paraId="467F3AF9">
                  <w:pPr>
                    <w:pStyle w:val="15"/>
                    <w:adjustRightInd w:val="0"/>
                    <w:jc w:val="center"/>
                    <w:rPr>
                      <w:bCs/>
                      <w:spacing w:val="-10"/>
                      <w:sz w:val="21"/>
                      <w:szCs w:val="21"/>
                    </w:rPr>
                  </w:pPr>
                  <w:r>
                    <w:rPr>
                      <w:bCs/>
                      <w:spacing w:val="-10"/>
                      <w:sz w:val="21"/>
                      <w:szCs w:val="21"/>
                    </w:rPr>
                    <w:t>900-214-08</w:t>
                  </w:r>
                </w:p>
              </w:tc>
            </w:tr>
            <w:tr w14:paraId="5CF5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0A7CE551">
                  <w:pPr>
                    <w:pStyle w:val="15"/>
                    <w:adjustRightInd w:val="0"/>
                    <w:jc w:val="center"/>
                    <w:rPr>
                      <w:bCs/>
                      <w:spacing w:val="-10"/>
                      <w:sz w:val="21"/>
                      <w:szCs w:val="21"/>
                    </w:rPr>
                  </w:pPr>
                  <w:r>
                    <w:rPr>
                      <w:bCs/>
                      <w:spacing w:val="-10"/>
                      <w:sz w:val="21"/>
                      <w:szCs w:val="21"/>
                    </w:rPr>
                    <w:t>主要有毒有害物质</w:t>
                  </w:r>
                </w:p>
              </w:tc>
              <w:tc>
                <w:tcPr>
                  <w:tcW w:w="1562" w:type="dxa"/>
                  <w:vAlign w:val="center"/>
                </w:tcPr>
                <w:p w14:paraId="6F53243E">
                  <w:pPr>
                    <w:pStyle w:val="15"/>
                    <w:adjustRightInd w:val="0"/>
                    <w:jc w:val="center"/>
                    <w:rPr>
                      <w:bCs/>
                      <w:spacing w:val="-10"/>
                      <w:sz w:val="21"/>
                      <w:szCs w:val="21"/>
                    </w:rPr>
                  </w:pPr>
                  <w:r>
                    <w:rPr>
                      <w:bCs/>
                      <w:spacing w:val="-10"/>
                      <w:sz w:val="21"/>
                      <w:szCs w:val="21"/>
                    </w:rPr>
                    <w:t>/</w:t>
                  </w:r>
                </w:p>
              </w:tc>
              <w:tc>
                <w:tcPr>
                  <w:tcW w:w="1838" w:type="dxa"/>
                  <w:vAlign w:val="center"/>
                </w:tcPr>
                <w:p w14:paraId="7FF73AFC">
                  <w:pPr>
                    <w:pStyle w:val="15"/>
                    <w:adjustRightInd w:val="0"/>
                    <w:jc w:val="center"/>
                    <w:rPr>
                      <w:bCs/>
                      <w:spacing w:val="-10"/>
                      <w:sz w:val="21"/>
                      <w:szCs w:val="21"/>
                    </w:rPr>
                  </w:pPr>
                  <w:r>
                    <w:rPr>
                      <w:bCs/>
                      <w:spacing w:val="-10"/>
                      <w:sz w:val="21"/>
                      <w:szCs w:val="21"/>
                    </w:rPr>
                    <w:t>/</w:t>
                  </w:r>
                </w:p>
                <w:p w14:paraId="256D39FC">
                  <w:pPr>
                    <w:pStyle w:val="15"/>
                    <w:adjustRightInd w:val="0"/>
                    <w:jc w:val="center"/>
                    <w:rPr>
                      <w:bCs/>
                      <w:spacing w:val="-10"/>
                      <w:sz w:val="21"/>
                      <w:szCs w:val="21"/>
                    </w:rPr>
                  </w:pPr>
                </w:p>
              </w:tc>
              <w:tc>
                <w:tcPr>
                  <w:tcW w:w="1583" w:type="dxa"/>
                  <w:vAlign w:val="center"/>
                </w:tcPr>
                <w:p w14:paraId="72A35F63">
                  <w:pPr>
                    <w:pStyle w:val="15"/>
                    <w:adjustRightInd w:val="0"/>
                    <w:jc w:val="center"/>
                    <w:rPr>
                      <w:bCs/>
                      <w:spacing w:val="-10"/>
                      <w:sz w:val="21"/>
                      <w:szCs w:val="21"/>
                    </w:rPr>
                  </w:pPr>
                  <w:r>
                    <w:rPr>
                      <w:bCs/>
                      <w:spacing w:val="-10"/>
                      <w:sz w:val="21"/>
                      <w:szCs w:val="21"/>
                    </w:rPr>
                    <w:t>/</w:t>
                  </w:r>
                </w:p>
              </w:tc>
              <w:tc>
                <w:tcPr>
                  <w:tcW w:w="1907" w:type="dxa"/>
                  <w:vAlign w:val="center"/>
                </w:tcPr>
                <w:p w14:paraId="29BE9E33">
                  <w:pPr>
                    <w:pStyle w:val="15"/>
                    <w:adjustRightInd w:val="0"/>
                    <w:jc w:val="center"/>
                    <w:rPr>
                      <w:bCs/>
                      <w:spacing w:val="-10"/>
                      <w:sz w:val="21"/>
                      <w:szCs w:val="21"/>
                    </w:rPr>
                  </w:pPr>
                  <w:r>
                    <w:rPr>
                      <w:bCs/>
                      <w:spacing w:val="-10"/>
                      <w:sz w:val="21"/>
                      <w:szCs w:val="21"/>
                    </w:rPr>
                    <w:t>矿物油</w:t>
                  </w:r>
                </w:p>
              </w:tc>
            </w:tr>
            <w:tr w14:paraId="0C96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18390E9A">
                  <w:pPr>
                    <w:pStyle w:val="15"/>
                    <w:adjustRightInd w:val="0"/>
                    <w:jc w:val="center"/>
                    <w:rPr>
                      <w:bCs/>
                      <w:spacing w:val="-10"/>
                      <w:sz w:val="21"/>
                      <w:szCs w:val="21"/>
                    </w:rPr>
                  </w:pPr>
                  <w:r>
                    <w:rPr>
                      <w:bCs/>
                      <w:spacing w:val="-10"/>
                      <w:sz w:val="21"/>
                      <w:szCs w:val="21"/>
                    </w:rPr>
                    <w:t>物理性状</w:t>
                  </w:r>
                </w:p>
              </w:tc>
              <w:tc>
                <w:tcPr>
                  <w:tcW w:w="1562" w:type="dxa"/>
                  <w:vAlign w:val="center"/>
                </w:tcPr>
                <w:p w14:paraId="7CD59EDB">
                  <w:pPr>
                    <w:pStyle w:val="15"/>
                    <w:adjustRightInd w:val="0"/>
                    <w:jc w:val="center"/>
                    <w:rPr>
                      <w:bCs/>
                      <w:spacing w:val="-10"/>
                      <w:sz w:val="21"/>
                      <w:szCs w:val="21"/>
                    </w:rPr>
                  </w:pPr>
                  <w:r>
                    <w:rPr>
                      <w:bCs/>
                      <w:spacing w:val="-10"/>
                      <w:sz w:val="21"/>
                      <w:szCs w:val="21"/>
                    </w:rPr>
                    <w:t>固态编织袋</w:t>
                  </w:r>
                </w:p>
              </w:tc>
              <w:tc>
                <w:tcPr>
                  <w:tcW w:w="1838" w:type="dxa"/>
                  <w:vAlign w:val="center"/>
                </w:tcPr>
                <w:p w14:paraId="1A07F6AD">
                  <w:pPr>
                    <w:pStyle w:val="15"/>
                    <w:adjustRightInd w:val="0"/>
                    <w:jc w:val="center"/>
                    <w:rPr>
                      <w:bCs/>
                      <w:spacing w:val="-10"/>
                      <w:sz w:val="21"/>
                      <w:szCs w:val="21"/>
                    </w:rPr>
                  </w:pPr>
                  <w:r>
                    <w:rPr>
                      <w:bCs/>
                      <w:spacing w:val="-10"/>
                      <w:sz w:val="21"/>
                      <w:szCs w:val="21"/>
                    </w:rPr>
                    <w:t>粉末</w:t>
                  </w:r>
                </w:p>
              </w:tc>
              <w:tc>
                <w:tcPr>
                  <w:tcW w:w="1583" w:type="dxa"/>
                  <w:vAlign w:val="center"/>
                </w:tcPr>
                <w:p w14:paraId="1D8443D5">
                  <w:pPr>
                    <w:pStyle w:val="15"/>
                    <w:adjustRightInd w:val="0"/>
                    <w:jc w:val="center"/>
                    <w:rPr>
                      <w:bCs/>
                      <w:spacing w:val="-10"/>
                      <w:sz w:val="21"/>
                      <w:szCs w:val="21"/>
                    </w:rPr>
                  </w:pPr>
                  <w:r>
                    <w:rPr>
                      <w:bCs/>
                      <w:spacing w:val="-10"/>
                      <w:sz w:val="21"/>
                      <w:szCs w:val="21"/>
                    </w:rPr>
                    <w:t>生活垃圾</w:t>
                  </w:r>
                </w:p>
              </w:tc>
              <w:tc>
                <w:tcPr>
                  <w:tcW w:w="1907" w:type="dxa"/>
                  <w:vAlign w:val="center"/>
                </w:tcPr>
                <w:p w14:paraId="4C5554BD">
                  <w:pPr>
                    <w:pStyle w:val="15"/>
                    <w:adjustRightInd w:val="0"/>
                    <w:jc w:val="center"/>
                    <w:rPr>
                      <w:bCs/>
                      <w:spacing w:val="-10"/>
                      <w:sz w:val="21"/>
                      <w:szCs w:val="21"/>
                    </w:rPr>
                  </w:pPr>
                  <w:r>
                    <w:rPr>
                      <w:bCs/>
                      <w:spacing w:val="-10"/>
                      <w:sz w:val="21"/>
                      <w:szCs w:val="21"/>
                    </w:rPr>
                    <w:t>液态</w:t>
                  </w:r>
                </w:p>
              </w:tc>
            </w:tr>
            <w:tr w14:paraId="482E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2A1E129C">
                  <w:pPr>
                    <w:pStyle w:val="15"/>
                    <w:adjustRightInd w:val="0"/>
                    <w:jc w:val="center"/>
                    <w:rPr>
                      <w:bCs/>
                      <w:spacing w:val="-10"/>
                      <w:sz w:val="21"/>
                      <w:szCs w:val="21"/>
                    </w:rPr>
                  </w:pPr>
                  <w:r>
                    <w:rPr>
                      <w:bCs/>
                      <w:spacing w:val="-10"/>
                      <w:sz w:val="21"/>
                      <w:szCs w:val="21"/>
                    </w:rPr>
                    <w:t>环境危险特性</w:t>
                  </w:r>
                </w:p>
              </w:tc>
              <w:tc>
                <w:tcPr>
                  <w:tcW w:w="1562" w:type="dxa"/>
                  <w:vAlign w:val="center"/>
                </w:tcPr>
                <w:p w14:paraId="271DA5EA">
                  <w:pPr>
                    <w:pStyle w:val="15"/>
                    <w:adjustRightInd w:val="0"/>
                    <w:jc w:val="center"/>
                    <w:rPr>
                      <w:bCs/>
                      <w:spacing w:val="-10"/>
                      <w:sz w:val="21"/>
                      <w:szCs w:val="21"/>
                    </w:rPr>
                  </w:pPr>
                  <w:r>
                    <w:rPr>
                      <w:bCs/>
                      <w:spacing w:val="-10"/>
                      <w:sz w:val="21"/>
                      <w:szCs w:val="21"/>
                    </w:rPr>
                    <w:t>/</w:t>
                  </w:r>
                </w:p>
              </w:tc>
              <w:tc>
                <w:tcPr>
                  <w:tcW w:w="1838" w:type="dxa"/>
                  <w:vAlign w:val="center"/>
                </w:tcPr>
                <w:p w14:paraId="0DECACE5">
                  <w:pPr>
                    <w:pStyle w:val="15"/>
                    <w:adjustRightInd w:val="0"/>
                    <w:jc w:val="center"/>
                    <w:rPr>
                      <w:bCs/>
                      <w:spacing w:val="-10"/>
                      <w:sz w:val="21"/>
                      <w:szCs w:val="21"/>
                    </w:rPr>
                  </w:pPr>
                  <w:r>
                    <w:rPr>
                      <w:bCs/>
                      <w:spacing w:val="-10"/>
                      <w:sz w:val="21"/>
                      <w:szCs w:val="21"/>
                    </w:rPr>
                    <w:t>/</w:t>
                  </w:r>
                </w:p>
              </w:tc>
              <w:tc>
                <w:tcPr>
                  <w:tcW w:w="1583" w:type="dxa"/>
                  <w:vAlign w:val="center"/>
                </w:tcPr>
                <w:p w14:paraId="12FECF33">
                  <w:pPr>
                    <w:pStyle w:val="15"/>
                    <w:adjustRightInd w:val="0"/>
                    <w:jc w:val="center"/>
                    <w:rPr>
                      <w:bCs/>
                      <w:spacing w:val="-10"/>
                      <w:sz w:val="21"/>
                      <w:szCs w:val="21"/>
                    </w:rPr>
                  </w:pPr>
                  <w:r>
                    <w:rPr>
                      <w:bCs/>
                      <w:spacing w:val="-10"/>
                      <w:sz w:val="21"/>
                      <w:szCs w:val="21"/>
                    </w:rPr>
                    <w:t>/</w:t>
                  </w:r>
                </w:p>
              </w:tc>
              <w:tc>
                <w:tcPr>
                  <w:tcW w:w="1907" w:type="dxa"/>
                  <w:vAlign w:val="center"/>
                </w:tcPr>
                <w:p w14:paraId="6AB679FC">
                  <w:pPr>
                    <w:pStyle w:val="15"/>
                    <w:adjustRightInd w:val="0"/>
                    <w:jc w:val="center"/>
                    <w:rPr>
                      <w:bCs/>
                      <w:spacing w:val="-10"/>
                      <w:sz w:val="21"/>
                      <w:szCs w:val="21"/>
                    </w:rPr>
                  </w:pPr>
                  <w:r>
                    <w:rPr>
                      <w:bCs/>
                      <w:spacing w:val="-10"/>
                      <w:sz w:val="21"/>
                      <w:szCs w:val="21"/>
                    </w:rPr>
                    <w:t>易燃</w:t>
                  </w:r>
                </w:p>
              </w:tc>
            </w:tr>
            <w:tr w14:paraId="7DA5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17BAE1CF">
                  <w:pPr>
                    <w:pStyle w:val="15"/>
                    <w:adjustRightInd w:val="0"/>
                    <w:jc w:val="center"/>
                    <w:rPr>
                      <w:bCs/>
                      <w:spacing w:val="-10"/>
                      <w:sz w:val="21"/>
                      <w:szCs w:val="21"/>
                    </w:rPr>
                  </w:pPr>
                  <w:r>
                    <w:rPr>
                      <w:bCs/>
                      <w:spacing w:val="-10"/>
                      <w:sz w:val="21"/>
                      <w:szCs w:val="21"/>
                    </w:rPr>
                    <w:t>年度产生量/t</w:t>
                  </w:r>
                </w:p>
              </w:tc>
              <w:tc>
                <w:tcPr>
                  <w:tcW w:w="1562" w:type="dxa"/>
                  <w:vAlign w:val="center"/>
                </w:tcPr>
                <w:p w14:paraId="1660CEA5">
                  <w:pPr>
                    <w:pStyle w:val="15"/>
                    <w:adjustRightInd w:val="0"/>
                    <w:jc w:val="center"/>
                    <w:rPr>
                      <w:bCs/>
                      <w:spacing w:val="-10"/>
                      <w:sz w:val="21"/>
                      <w:szCs w:val="21"/>
                    </w:rPr>
                  </w:pPr>
                  <w:r>
                    <w:rPr>
                      <w:bCs/>
                      <w:spacing w:val="-10"/>
                      <w:sz w:val="21"/>
                      <w:szCs w:val="21"/>
                    </w:rPr>
                    <w:t>0.</w:t>
                  </w:r>
                  <w:r>
                    <w:rPr>
                      <w:rFonts w:hint="eastAsia"/>
                      <w:bCs/>
                      <w:spacing w:val="-10"/>
                      <w:sz w:val="21"/>
                      <w:szCs w:val="21"/>
                    </w:rPr>
                    <w:t>2</w:t>
                  </w:r>
                </w:p>
              </w:tc>
              <w:tc>
                <w:tcPr>
                  <w:tcW w:w="1838" w:type="dxa"/>
                  <w:vAlign w:val="center"/>
                </w:tcPr>
                <w:p w14:paraId="3EC096A1">
                  <w:pPr>
                    <w:pStyle w:val="15"/>
                    <w:adjustRightInd w:val="0"/>
                    <w:jc w:val="center"/>
                    <w:rPr>
                      <w:bCs/>
                      <w:spacing w:val="-10"/>
                      <w:sz w:val="21"/>
                      <w:szCs w:val="21"/>
                    </w:rPr>
                  </w:pPr>
                  <w:r>
                    <w:rPr>
                      <w:rFonts w:hint="eastAsia"/>
                      <w:bCs/>
                      <w:spacing w:val="-10"/>
                      <w:sz w:val="21"/>
                      <w:szCs w:val="21"/>
                    </w:rPr>
                    <w:t>1.289</w:t>
                  </w:r>
                </w:p>
              </w:tc>
              <w:tc>
                <w:tcPr>
                  <w:tcW w:w="1583" w:type="dxa"/>
                  <w:vAlign w:val="center"/>
                </w:tcPr>
                <w:p w14:paraId="5A9C9C94">
                  <w:pPr>
                    <w:pStyle w:val="15"/>
                    <w:adjustRightInd w:val="0"/>
                    <w:jc w:val="center"/>
                    <w:rPr>
                      <w:bCs/>
                      <w:spacing w:val="-10"/>
                      <w:sz w:val="21"/>
                      <w:szCs w:val="21"/>
                    </w:rPr>
                  </w:pPr>
                  <w:r>
                    <w:rPr>
                      <w:rFonts w:hint="eastAsia"/>
                      <w:bCs/>
                      <w:spacing w:val="-10"/>
                      <w:sz w:val="21"/>
                      <w:szCs w:val="21"/>
                    </w:rPr>
                    <w:t>1.5</w:t>
                  </w:r>
                </w:p>
              </w:tc>
              <w:tc>
                <w:tcPr>
                  <w:tcW w:w="1907" w:type="dxa"/>
                  <w:vAlign w:val="center"/>
                </w:tcPr>
                <w:p w14:paraId="4F5F1CCA">
                  <w:pPr>
                    <w:pStyle w:val="15"/>
                    <w:adjustRightInd w:val="0"/>
                    <w:jc w:val="center"/>
                    <w:rPr>
                      <w:bCs/>
                      <w:spacing w:val="-10"/>
                      <w:sz w:val="21"/>
                      <w:szCs w:val="21"/>
                    </w:rPr>
                  </w:pPr>
                  <w:r>
                    <w:rPr>
                      <w:bCs/>
                      <w:spacing w:val="-10"/>
                      <w:sz w:val="21"/>
                      <w:szCs w:val="21"/>
                    </w:rPr>
                    <w:t>0.5</w:t>
                  </w:r>
                </w:p>
              </w:tc>
            </w:tr>
            <w:tr w14:paraId="1A6C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2A26130A">
                  <w:pPr>
                    <w:pStyle w:val="15"/>
                    <w:adjustRightInd w:val="0"/>
                    <w:jc w:val="center"/>
                    <w:rPr>
                      <w:bCs/>
                      <w:spacing w:val="-10"/>
                      <w:sz w:val="21"/>
                      <w:szCs w:val="21"/>
                    </w:rPr>
                  </w:pPr>
                  <w:r>
                    <w:rPr>
                      <w:bCs/>
                      <w:spacing w:val="-10"/>
                      <w:sz w:val="21"/>
                      <w:szCs w:val="21"/>
                    </w:rPr>
                    <w:t>贮存方式</w:t>
                  </w:r>
                </w:p>
              </w:tc>
              <w:tc>
                <w:tcPr>
                  <w:tcW w:w="1562" w:type="dxa"/>
                  <w:vAlign w:val="center"/>
                </w:tcPr>
                <w:p w14:paraId="1F0C2785">
                  <w:pPr>
                    <w:pStyle w:val="15"/>
                    <w:adjustRightInd w:val="0"/>
                    <w:jc w:val="center"/>
                    <w:rPr>
                      <w:bCs/>
                      <w:spacing w:val="-10"/>
                      <w:sz w:val="21"/>
                      <w:szCs w:val="21"/>
                    </w:rPr>
                  </w:pPr>
                  <w:r>
                    <w:rPr>
                      <w:bCs/>
                      <w:spacing w:val="-10"/>
                      <w:sz w:val="21"/>
                      <w:szCs w:val="21"/>
                    </w:rPr>
                    <w:t>一般固废收集桶收集暂存</w:t>
                  </w:r>
                </w:p>
              </w:tc>
              <w:tc>
                <w:tcPr>
                  <w:tcW w:w="1838" w:type="dxa"/>
                  <w:vMerge w:val="restart"/>
                  <w:vAlign w:val="center"/>
                </w:tcPr>
                <w:p w14:paraId="65A5CFBA">
                  <w:pPr>
                    <w:pStyle w:val="15"/>
                    <w:adjustRightInd w:val="0"/>
                    <w:jc w:val="center"/>
                    <w:rPr>
                      <w:bCs/>
                      <w:spacing w:val="-10"/>
                      <w:sz w:val="21"/>
                      <w:szCs w:val="21"/>
                    </w:rPr>
                  </w:pPr>
                  <w:r>
                    <w:rPr>
                      <w:bCs/>
                      <w:spacing w:val="-10"/>
                      <w:sz w:val="21"/>
                      <w:szCs w:val="21"/>
                    </w:rPr>
                    <w:t>回用于有机肥生产</w:t>
                  </w:r>
                </w:p>
              </w:tc>
              <w:tc>
                <w:tcPr>
                  <w:tcW w:w="1583" w:type="dxa"/>
                  <w:vAlign w:val="center"/>
                </w:tcPr>
                <w:p w14:paraId="4FCB1B44">
                  <w:pPr>
                    <w:pStyle w:val="15"/>
                    <w:adjustRightInd w:val="0"/>
                    <w:jc w:val="center"/>
                    <w:rPr>
                      <w:bCs/>
                      <w:spacing w:val="-10"/>
                      <w:sz w:val="21"/>
                      <w:szCs w:val="21"/>
                    </w:rPr>
                  </w:pPr>
                  <w:r>
                    <w:rPr>
                      <w:bCs/>
                      <w:spacing w:val="-10"/>
                      <w:sz w:val="21"/>
                      <w:szCs w:val="21"/>
                    </w:rPr>
                    <w:t>垃圾桶收集</w:t>
                  </w:r>
                </w:p>
              </w:tc>
              <w:tc>
                <w:tcPr>
                  <w:tcW w:w="1907" w:type="dxa"/>
                  <w:vAlign w:val="center"/>
                </w:tcPr>
                <w:p w14:paraId="6D877B02">
                  <w:pPr>
                    <w:pStyle w:val="15"/>
                    <w:adjustRightInd w:val="0"/>
                    <w:jc w:val="center"/>
                    <w:rPr>
                      <w:bCs/>
                      <w:spacing w:val="-10"/>
                      <w:sz w:val="21"/>
                      <w:szCs w:val="21"/>
                    </w:rPr>
                  </w:pPr>
                  <w:r>
                    <w:rPr>
                      <w:bCs/>
                      <w:spacing w:val="-10"/>
                      <w:sz w:val="21"/>
                      <w:szCs w:val="21"/>
                    </w:rPr>
                    <w:t>统一收集后暂存于危险废物暂存</w:t>
                  </w:r>
                  <w:r>
                    <w:rPr>
                      <w:rFonts w:hint="eastAsia"/>
                      <w:bCs/>
                      <w:spacing w:val="-10"/>
                      <w:sz w:val="21"/>
                      <w:szCs w:val="21"/>
                    </w:rPr>
                    <w:t>库</w:t>
                  </w:r>
                </w:p>
              </w:tc>
            </w:tr>
            <w:tr w14:paraId="0000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388E550C">
                  <w:pPr>
                    <w:pStyle w:val="15"/>
                    <w:adjustRightInd w:val="0"/>
                    <w:jc w:val="center"/>
                    <w:rPr>
                      <w:bCs/>
                      <w:spacing w:val="-10"/>
                      <w:sz w:val="21"/>
                      <w:szCs w:val="21"/>
                    </w:rPr>
                  </w:pPr>
                  <w:r>
                    <w:rPr>
                      <w:bCs/>
                      <w:spacing w:val="-10"/>
                      <w:sz w:val="21"/>
                      <w:szCs w:val="21"/>
                    </w:rPr>
                    <w:t>利用处置方式和去向</w:t>
                  </w:r>
                </w:p>
              </w:tc>
              <w:tc>
                <w:tcPr>
                  <w:tcW w:w="1562" w:type="dxa"/>
                  <w:vAlign w:val="center"/>
                </w:tcPr>
                <w:p w14:paraId="74EB9E83">
                  <w:pPr>
                    <w:pStyle w:val="15"/>
                    <w:adjustRightInd w:val="0"/>
                    <w:jc w:val="center"/>
                    <w:rPr>
                      <w:bCs/>
                      <w:spacing w:val="-10"/>
                      <w:sz w:val="21"/>
                      <w:szCs w:val="21"/>
                    </w:rPr>
                  </w:pPr>
                  <w:r>
                    <w:rPr>
                      <w:bCs/>
                      <w:spacing w:val="-10"/>
                      <w:sz w:val="21"/>
                      <w:szCs w:val="21"/>
                    </w:rPr>
                    <w:t>定期外售资源回收公司</w:t>
                  </w:r>
                </w:p>
              </w:tc>
              <w:tc>
                <w:tcPr>
                  <w:tcW w:w="1838" w:type="dxa"/>
                  <w:vMerge w:val="continue"/>
                  <w:vAlign w:val="center"/>
                </w:tcPr>
                <w:p w14:paraId="6929B6EF">
                  <w:pPr>
                    <w:pStyle w:val="15"/>
                    <w:adjustRightInd w:val="0"/>
                    <w:jc w:val="center"/>
                    <w:rPr>
                      <w:bCs/>
                      <w:spacing w:val="-10"/>
                      <w:sz w:val="21"/>
                      <w:szCs w:val="21"/>
                    </w:rPr>
                  </w:pPr>
                </w:p>
              </w:tc>
              <w:tc>
                <w:tcPr>
                  <w:tcW w:w="1583" w:type="dxa"/>
                  <w:vAlign w:val="center"/>
                </w:tcPr>
                <w:p w14:paraId="215B5E2A">
                  <w:pPr>
                    <w:pStyle w:val="15"/>
                    <w:adjustRightInd w:val="0"/>
                    <w:jc w:val="center"/>
                    <w:rPr>
                      <w:bCs/>
                      <w:spacing w:val="-10"/>
                      <w:sz w:val="21"/>
                      <w:szCs w:val="21"/>
                    </w:rPr>
                  </w:pPr>
                  <w:r>
                    <w:rPr>
                      <w:bCs/>
                      <w:spacing w:val="-10"/>
                      <w:sz w:val="21"/>
                      <w:szCs w:val="21"/>
                    </w:rPr>
                    <w:t>统一收集后委托环卫部门清运</w:t>
                  </w:r>
                </w:p>
              </w:tc>
              <w:tc>
                <w:tcPr>
                  <w:tcW w:w="1907" w:type="dxa"/>
                  <w:vAlign w:val="center"/>
                </w:tcPr>
                <w:p w14:paraId="27DBDA0C">
                  <w:pPr>
                    <w:pStyle w:val="15"/>
                    <w:adjustRightInd w:val="0"/>
                    <w:jc w:val="center"/>
                    <w:rPr>
                      <w:bCs/>
                      <w:spacing w:val="-10"/>
                      <w:sz w:val="21"/>
                      <w:szCs w:val="21"/>
                    </w:rPr>
                  </w:pPr>
                  <w:r>
                    <w:rPr>
                      <w:bCs/>
                      <w:spacing w:val="-10"/>
                      <w:sz w:val="21"/>
                      <w:szCs w:val="21"/>
                    </w:rPr>
                    <w:t>委托资质单位处置</w:t>
                  </w:r>
                </w:p>
              </w:tc>
            </w:tr>
            <w:tr w14:paraId="3795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597DD454">
                  <w:pPr>
                    <w:pStyle w:val="15"/>
                    <w:adjustRightInd w:val="0"/>
                    <w:jc w:val="center"/>
                    <w:rPr>
                      <w:bCs/>
                      <w:spacing w:val="-10"/>
                      <w:sz w:val="21"/>
                      <w:szCs w:val="21"/>
                    </w:rPr>
                  </w:pPr>
                  <w:r>
                    <w:rPr>
                      <w:bCs/>
                      <w:spacing w:val="-10"/>
                      <w:sz w:val="21"/>
                      <w:szCs w:val="21"/>
                    </w:rPr>
                    <w:t>环境管理要求</w:t>
                  </w:r>
                </w:p>
              </w:tc>
              <w:tc>
                <w:tcPr>
                  <w:tcW w:w="4983" w:type="dxa"/>
                  <w:gridSpan w:val="3"/>
                  <w:vAlign w:val="center"/>
                </w:tcPr>
                <w:p w14:paraId="49C91350">
                  <w:pPr>
                    <w:pStyle w:val="15"/>
                    <w:adjustRightInd w:val="0"/>
                    <w:jc w:val="center"/>
                    <w:rPr>
                      <w:bCs/>
                      <w:spacing w:val="-10"/>
                      <w:sz w:val="21"/>
                      <w:szCs w:val="21"/>
                    </w:rPr>
                  </w:pPr>
                  <w:r>
                    <w:rPr>
                      <w:bCs/>
                      <w:spacing w:val="-10"/>
                      <w:sz w:val="21"/>
                      <w:szCs w:val="21"/>
                    </w:rPr>
                    <w:t>处置率100%</w:t>
                  </w:r>
                </w:p>
              </w:tc>
              <w:tc>
                <w:tcPr>
                  <w:tcW w:w="1907" w:type="dxa"/>
                  <w:vAlign w:val="center"/>
                </w:tcPr>
                <w:p w14:paraId="32D062B8">
                  <w:pPr>
                    <w:pStyle w:val="15"/>
                    <w:adjustRightInd w:val="0"/>
                    <w:jc w:val="center"/>
                    <w:rPr>
                      <w:bCs/>
                      <w:spacing w:val="-10"/>
                      <w:sz w:val="21"/>
                      <w:szCs w:val="21"/>
                    </w:rPr>
                  </w:pPr>
                  <w:r>
                    <w:rPr>
                      <w:bCs/>
                      <w:spacing w:val="-10"/>
                      <w:sz w:val="21"/>
                      <w:szCs w:val="21"/>
                    </w:rPr>
                    <w:t>暂存于危险废物暂存间，危险废物暂存间应防风、防雨、防盗，地面及裙角应防渗，安装显眼合规的标识标志，危废的出库入库应做详尽的台账记录，转运需填写转移联单</w:t>
                  </w:r>
                </w:p>
              </w:tc>
            </w:tr>
          </w:tbl>
          <w:p w14:paraId="6AF7FA76">
            <w:pPr>
              <w:adjustRightInd w:val="0"/>
              <w:snapToGrid w:val="0"/>
              <w:spacing w:line="360" w:lineRule="auto"/>
              <w:ind w:firstLine="482" w:firstLineChars="200"/>
              <w:rPr>
                <w:b/>
                <w:sz w:val="24"/>
              </w:rPr>
            </w:pPr>
            <w:r>
              <w:rPr>
                <w:rFonts w:hint="eastAsia"/>
                <w:b/>
                <w:sz w:val="24"/>
              </w:rPr>
              <w:t>2</w:t>
            </w:r>
            <w:r>
              <w:rPr>
                <w:b/>
                <w:sz w:val="24"/>
              </w:rPr>
              <w:t>、环境管理要求</w:t>
            </w:r>
          </w:p>
          <w:p w14:paraId="1FAEAE31">
            <w:pPr>
              <w:adjustRightInd w:val="0"/>
              <w:snapToGrid w:val="0"/>
              <w:spacing w:line="360" w:lineRule="auto"/>
              <w:ind w:firstLine="482" w:firstLineChars="200"/>
              <w:rPr>
                <w:b/>
                <w:sz w:val="24"/>
              </w:rPr>
            </w:pPr>
            <w:r>
              <w:rPr>
                <w:rFonts w:hint="eastAsia"/>
                <w:b/>
                <w:sz w:val="24"/>
              </w:rPr>
              <w:t>2</w:t>
            </w:r>
            <w:r>
              <w:rPr>
                <w:b/>
                <w:sz w:val="24"/>
              </w:rPr>
              <w:t>.1、一般固体废物暂存、处置环境管理要求</w:t>
            </w:r>
          </w:p>
          <w:p w14:paraId="5B5E87A0">
            <w:pPr>
              <w:adjustRightInd w:val="0"/>
              <w:snapToGrid w:val="0"/>
              <w:spacing w:line="360" w:lineRule="auto"/>
              <w:ind w:firstLine="480" w:firstLineChars="200"/>
              <w:rPr>
                <w:bCs/>
                <w:sz w:val="24"/>
              </w:rPr>
            </w:pPr>
            <w:r>
              <w:rPr>
                <w:rFonts w:hint="eastAsia"/>
                <w:bCs/>
                <w:sz w:val="24"/>
              </w:rPr>
              <w:t>①选址符合性分析</w:t>
            </w:r>
          </w:p>
          <w:p w14:paraId="6058A17C">
            <w:pPr>
              <w:adjustRightInd w:val="0"/>
              <w:snapToGrid w:val="0"/>
              <w:spacing w:line="360" w:lineRule="auto"/>
              <w:ind w:firstLine="480" w:firstLineChars="200"/>
              <w:rPr>
                <w:bCs/>
                <w:sz w:val="24"/>
              </w:rPr>
            </w:pPr>
            <w:r>
              <w:rPr>
                <w:rFonts w:hint="eastAsia"/>
                <w:bCs/>
                <w:sz w:val="24"/>
              </w:rPr>
              <w:t>本项目原料库堆存尾矿、低变质褐煤等，一般固废暂存库堆存生产产生的废包装材料，均属于一般工业固体废物。原料库、一般固废暂存库的选址依据《一般工业固体废物贮存和填埋污染控制标准》（GB18599-2020）中贮存场选址要求进行分析，项目原料库、一般固废暂存库周围的地质环境特征与《一般工业固体废物贮存和填埋污染控制标准》（GB18599-2020）贮存场和填埋场选址要求对比评价结果详见表4-10。</w:t>
            </w:r>
          </w:p>
          <w:p w14:paraId="551B8F11">
            <w:pPr>
              <w:adjustRightInd w:val="0"/>
              <w:snapToGrid w:val="0"/>
              <w:ind w:firstLine="482"/>
              <w:jc w:val="center"/>
              <w:rPr>
                <w:b/>
              </w:rPr>
            </w:pPr>
            <w:r>
              <w:rPr>
                <w:rFonts w:hint="eastAsia"/>
                <w:b/>
              </w:rPr>
              <w:t>表4-10</w:t>
            </w:r>
            <w:r>
              <w:rPr>
                <w:b/>
              </w:rPr>
              <w:t xml:space="preserve">  </w:t>
            </w:r>
            <w:r>
              <w:rPr>
                <w:rFonts w:hint="eastAsia"/>
                <w:b/>
              </w:rPr>
              <w:t>选址的环境保护要求与本项目的符合性</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63"/>
              <w:gridCol w:w="3904"/>
              <w:gridCol w:w="1097"/>
            </w:tblGrid>
            <w:tr w14:paraId="50A4E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045" w:type="pct"/>
                  <w:vAlign w:val="center"/>
                </w:tcPr>
                <w:p w14:paraId="532897D1">
                  <w:pPr>
                    <w:adjustRightInd w:val="0"/>
                    <w:snapToGrid w:val="0"/>
                    <w:jc w:val="center"/>
                    <w:rPr>
                      <w:b/>
                      <w:bCs/>
                      <w:szCs w:val="21"/>
                    </w:rPr>
                  </w:pPr>
                  <w:r>
                    <w:rPr>
                      <w:rFonts w:hint="eastAsia"/>
                      <w:b/>
                      <w:bCs/>
                      <w:szCs w:val="21"/>
                    </w:rPr>
                    <w:t>选址要求</w:t>
                  </w:r>
                </w:p>
              </w:tc>
              <w:tc>
                <w:tcPr>
                  <w:tcW w:w="2305" w:type="pct"/>
                  <w:vAlign w:val="center"/>
                </w:tcPr>
                <w:p w14:paraId="054AE4A3">
                  <w:pPr>
                    <w:adjustRightInd w:val="0"/>
                    <w:snapToGrid w:val="0"/>
                    <w:jc w:val="center"/>
                    <w:rPr>
                      <w:b/>
                      <w:bCs/>
                      <w:szCs w:val="21"/>
                    </w:rPr>
                  </w:pPr>
                  <w:r>
                    <w:rPr>
                      <w:rFonts w:hint="eastAsia"/>
                      <w:b/>
                      <w:bCs/>
                      <w:szCs w:val="21"/>
                    </w:rPr>
                    <w:t>项目尾矿库基本情况</w:t>
                  </w:r>
                </w:p>
              </w:tc>
              <w:tc>
                <w:tcPr>
                  <w:tcW w:w="648" w:type="pct"/>
                  <w:vAlign w:val="center"/>
                </w:tcPr>
                <w:p w14:paraId="649D9D2A">
                  <w:pPr>
                    <w:adjustRightInd w:val="0"/>
                    <w:snapToGrid w:val="0"/>
                    <w:jc w:val="center"/>
                    <w:rPr>
                      <w:b/>
                      <w:bCs/>
                      <w:szCs w:val="21"/>
                    </w:rPr>
                  </w:pPr>
                  <w:r>
                    <w:rPr>
                      <w:rFonts w:hint="eastAsia"/>
                      <w:b/>
                      <w:bCs/>
                      <w:szCs w:val="21"/>
                    </w:rPr>
                    <w:t>符合性</w:t>
                  </w:r>
                </w:p>
              </w:tc>
            </w:tr>
            <w:tr w14:paraId="531F6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2C75819D">
                  <w:pPr>
                    <w:adjustRightInd w:val="0"/>
                    <w:snapToGrid w:val="0"/>
                    <w:jc w:val="center"/>
                    <w:rPr>
                      <w:szCs w:val="21"/>
                    </w:rPr>
                  </w:pPr>
                  <w:r>
                    <w:rPr>
                      <w:rFonts w:hint="eastAsia"/>
                      <w:szCs w:val="21"/>
                    </w:rPr>
                    <w:t>一般工业固体废物贮存场、填埋场的选址应符合环境保护法律法规及相关法定规划要求</w:t>
                  </w:r>
                </w:p>
              </w:tc>
              <w:tc>
                <w:tcPr>
                  <w:tcW w:w="2305" w:type="pct"/>
                  <w:vAlign w:val="center"/>
                </w:tcPr>
                <w:p w14:paraId="3BA8E80C">
                  <w:pPr>
                    <w:adjustRightInd w:val="0"/>
                    <w:snapToGrid w:val="0"/>
                    <w:jc w:val="center"/>
                    <w:rPr>
                      <w:szCs w:val="21"/>
                    </w:rPr>
                  </w:pPr>
                  <w:r>
                    <w:rPr>
                      <w:rFonts w:hint="eastAsia"/>
                      <w:szCs w:val="21"/>
                    </w:rPr>
                    <w:t>本项目原料库、一般固废暂存库位于原有已建的云南建工云岭水泥有限公司厂房内，场址符合环境保护</w:t>
                  </w:r>
                  <w:bookmarkStart w:id="39" w:name="_GoBack"/>
                  <w:bookmarkEnd w:id="39"/>
                  <w:r>
                    <w:rPr>
                      <w:rFonts w:hint="eastAsia"/>
                      <w:szCs w:val="21"/>
                    </w:rPr>
                    <w:t>法律法规及相关法规要求。</w:t>
                  </w:r>
                </w:p>
              </w:tc>
              <w:tc>
                <w:tcPr>
                  <w:tcW w:w="648" w:type="pct"/>
                  <w:vAlign w:val="center"/>
                </w:tcPr>
                <w:p w14:paraId="1456D64C">
                  <w:pPr>
                    <w:adjustRightInd w:val="0"/>
                    <w:snapToGrid w:val="0"/>
                    <w:jc w:val="center"/>
                    <w:rPr>
                      <w:szCs w:val="21"/>
                    </w:rPr>
                  </w:pPr>
                  <w:r>
                    <w:rPr>
                      <w:rFonts w:hint="eastAsia"/>
                      <w:szCs w:val="21"/>
                    </w:rPr>
                    <w:t>满足要求</w:t>
                  </w:r>
                </w:p>
              </w:tc>
            </w:tr>
            <w:tr w14:paraId="3BBA7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21CA1C8C">
                  <w:pPr>
                    <w:adjustRightInd w:val="0"/>
                    <w:snapToGrid w:val="0"/>
                    <w:jc w:val="center"/>
                    <w:rPr>
                      <w:szCs w:val="21"/>
                    </w:rPr>
                  </w:pPr>
                  <w:r>
                    <w:rPr>
                      <w:rFonts w:hint="eastAsia"/>
                      <w:szCs w:val="21"/>
                    </w:rPr>
                    <w:t>贮存场、填埋场的位置与周围居民区的距离应依据环境影响评价文件及审批意见确定</w:t>
                  </w:r>
                </w:p>
              </w:tc>
              <w:tc>
                <w:tcPr>
                  <w:tcW w:w="2305" w:type="pct"/>
                  <w:vAlign w:val="center"/>
                </w:tcPr>
                <w:p w14:paraId="0D504F25">
                  <w:pPr>
                    <w:adjustRightInd w:val="0"/>
                    <w:snapToGrid w:val="0"/>
                    <w:jc w:val="center"/>
                    <w:rPr>
                      <w:szCs w:val="21"/>
                    </w:rPr>
                  </w:pPr>
                  <w:r>
                    <w:rPr>
                      <w:rFonts w:hint="eastAsia"/>
                      <w:szCs w:val="21"/>
                    </w:rPr>
                    <w:t>根据调查，项目周边250m范围内无村庄及居民区，距离项目最近保护目标为东面257m处的</w:t>
                  </w:r>
                  <w:r>
                    <w:rPr>
                      <w:rStyle w:val="27"/>
                      <w:rFonts w:hint="eastAsia"/>
                    </w:rPr>
                    <w:t>散户2</w:t>
                  </w:r>
                  <w:r>
                    <w:rPr>
                      <w:rFonts w:hint="eastAsia"/>
                      <w:szCs w:val="21"/>
                    </w:rPr>
                    <w:t>，本项目原料仅储存1个生产批次所需原料，储存量较小，无环境风险和制约因素，不需要设置防护距离，符合要求。</w:t>
                  </w:r>
                </w:p>
              </w:tc>
              <w:tc>
                <w:tcPr>
                  <w:tcW w:w="648" w:type="pct"/>
                  <w:vAlign w:val="center"/>
                </w:tcPr>
                <w:p w14:paraId="4C8E49A7">
                  <w:pPr>
                    <w:adjustRightInd w:val="0"/>
                    <w:snapToGrid w:val="0"/>
                    <w:jc w:val="center"/>
                    <w:rPr>
                      <w:szCs w:val="21"/>
                    </w:rPr>
                  </w:pPr>
                  <w:r>
                    <w:rPr>
                      <w:rFonts w:hint="eastAsia"/>
                      <w:szCs w:val="21"/>
                    </w:rPr>
                    <w:t>满足要求</w:t>
                  </w:r>
                </w:p>
              </w:tc>
            </w:tr>
            <w:tr w14:paraId="4F6CB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05A5EA26">
                  <w:pPr>
                    <w:adjustRightInd w:val="0"/>
                    <w:snapToGrid w:val="0"/>
                    <w:jc w:val="center"/>
                    <w:rPr>
                      <w:szCs w:val="21"/>
                    </w:rPr>
                  </w:pPr>
                  <w:r>
                    <w:rPr>
                      <w:rFonts w:hint="eastAsia"/>
                      <w:szCs w:val="21"/>
                    </w:rPr>
                    <w:t>贮存场、填埋场不得选在生态保护红线区域、永久基本农田集中区域和其他需要特别保护的区域内。</w:t>
                  </w:r>
                </w:p>
              </w:tc>
              <w:tc>
                <w:tcPr>
                  <w:tcW w:w="2305" w:type="pct"/>
                  <w:vAlign w:val="center"/>
                </w:tcPr>
                <w:p w14:paraId="7D21EBAC">
                  <w:pPr>
                    <w:adjustRightInd w:val="0"/>
                    <w:snapToGrid w:val="0"/>
                    <w:jc w:val="center"/>
                    <w:rPr>
                      <w:szCs w:val="21"/>
                    </w:rPr>
                  </w:pPr>
                  <w:r>
                    <w:rPr>
                      <w:rFonts w:hint="eastAsia"/>
                      <w:szCs w:val="21"/>
                    </w:rPr>
                    <w:t>根据调查，项目不在生态保护红线区域、永久基本农田集中区域和其他需要特别保护的区域内。</w:t>
                  </w:r>
                </w:p>
              </w:tc>
              <w:tc>
                <w:tcPr>
                  <w:tcW w:w="648" w:type="pct"/>
                  <w:vAlign w:val="center"/>
                </w:tcPr>
                <w:p w14:paraId="5AFCFB84">
                  <w:pPr>
                    <w:adjustRightInd w:val="0"/>
                    <w:snapToGrid w:val="0"/>
                    <w:jc w:val="center"/>
                    <w:rPr>
                      <w:szCs w:val="21"/>
                    </w:rPr>
                  </w:pPr>
                  <w:r>
                    <w:rPr>
                      <w:rFonts w:hint="eastAsia"/>
                      <w:szCs w:val="21"/>
                    </w:rPr>
                    <w:t>满足要求</w:t>
                  </w:r>
                </w:p>
              </w:tc>
            </w:tr>
            <w:tr w14:paraId="3A260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2BE08BF0">
                  <w:pPr>
                    <w:adjustRightInd w:val="0"/>
                    <w:snapToGrid w:val="0"/>
                    <w:jc w:val="center"/>
                    <w:rPr>
                      <w:szCs w:val="21"/>
                    </w:rPr>
                  </w:pPr>
                  <w:r>
                    <w:rPr>
                      <w:rFonts w:hint="eastAsia"/>
                      <w:szCs w:val="21"/>
                    </w:rPr>
                    <w:t>贮存场、填埋场应避开活动断层、溶洞区、天然滑坡或泥石流影响区以及湿地等区域。</w:t>
                  </w:r>
                </w:p>
              </w:tc>
              <w:tc>
                <w:tcPr>
                  <w:tcW w:w="2305" w:type="pct"/>
                  <w:vAlign w:val="center"/>
                </w:tcPr>
                <w:p w14:paraId="75C66A0D">
                  <w:pPr>
                    <w:adjustRightInd w:val="0"/>
                    <w:snapToGrid w:val="0"/>
                    <w:jc w:val="center"/>
                    <w:rPr>
                      <w:szCs w:val="21"/>
                    </w:rPr>
                  </w:pPr>
                  <w:r>
                    <w:rPr>
                      <w:rFonts w:hint="eastAsia"/>
                      <w:szCs w:val="21"/>
                    </w:rPr>
                    <w:t>本项目位于寻甸县金所工业园区云南建工云岭水泥有限公司，根据公司地质资料，项目区域无断裂带通过，不涉及溶洞区、天然滑坡或泥石流影响区及湿地等区域；场址选择符合该条要求。</w:t>
                  </w:r>
                </w:p>
              </w:tc>
              <w:tc>
                <w:tcPr>
                  <w:tcW w:w="648" w:type="pct"/>
                  <w:vAlign w:val="center"/>
                </w:tcPr>
                <w:p w14:paraId="2B4EBCC3">
                  <w:pPr>
                    <w:adjustRightInd w:val="0"/>
                    <w:snapToGrid w:val="0"/>
                    <w:jc w:val="center"/>
                    <w:rPr>
                      <w:szCs w:val="21"/>
                    </w:rPr>
                  </w:pPr>
                  <w:r>
                    <w:rPr>
                      <w:rFonts w:hint="eastAsia"/>
                      <w:szCs w:val="21"/>
                    </w:rPr>
                    <w:t>满足要求</w:t>
                  </w:r>
                </w:p>
              </w:tc>
            </w:tr>
            <w:tr w14:paraId="091DA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4" w:hRule="atLeast"/>
                <w:jc w:val="center"/>
              </w:trPr>
              <w:tc>
                <w:tcPr>
                  <w:tcW w:w="2045" w:type="pct"/>
                  <w:vAlign w:val="center"/>
                </w:tcPr>
                <w:p w14:paraId="396F8972">
                  <w:pPr>
                    <w:adjustRightInd w:val="0"/>
                    <w:snapToGrid w:val="0"/>
                    <w:jc w:val="center"/>
                    <w:rPr>
                      <w:szCs w:val="21"/>
                    </w:rPr>
                  </w:pPr>
                  <w:r>
                    <w:rPr>
                      <w:rFonts w:hint="eastAsia"/>
                      <w:szCs w:val="21"/>
                    </w:rPr>
                    <w:t>贮存场、填埋场不得选在江河、湖泊、运河、渠道、水库最高水位线以下的滩地和岸坡，以及国家和地方长远规划中的水库等人工蓄水设施的淹没区和保护区之内。</w:t>
                  </w:r>
                </w:p>
              </w:tc>
              <w:tc>
                <w:tcPr>
                  <w:tcW w:w="2305" w:type="pct"/>
                  <w:vAlign w:val="center"/>
                </w:tcPr>
                <w:p w14:paraId="6C47BFD5">
                  <w:pPr>
                    <w:adjustRightInd w:val="0"/>
                    <w:snapToGrid w:val="0"/>
                    <w:jc w:val="center"/>
                    <w:rPr>
                      <w:szCs w:val="21"/>
                    </w:rPr>
                  </w:pPr>
                  <w:r>
                    <w:rPr>
                      <w:rFonts w:hint="eastAsia"/>
                      <w:szCs w:val="21"/>
                    </w:rPr>
                    <w:t>项目不在江河、湖泊、运河、渠道、水库最高水位线以下的滩地和岸坡，以及国家和地方长远规划中的水库等人工蓄水设施的淹没区和保护区之内；场址选择符合该条要求；</w:t>
                  </w:r>
                </w:p>
              </w:tc>
              <w:tc>
                <w:tcPr>
                  <w:tcW w:w="648" w:type="pct"/>
                  <w:vAlign w:val="center"/>
                </w:tcPr>
                <w:p w14:paraId="65426446">
                  <w:pPr>
                    <w:adjustRightInd w:val="0"/>
                    <w:snapToGrid w:val="0"/>
                    <w:jc w:val="center"/>
                    <w:rPr>
                      <w:szCs w:val="21"/>
                    </w:rPr>
                  </w:pPr>
                  <w:r>
                    <w:rPr>
                      <w:rFonts w:hint="eastAsia"/>
                      <w:szCs w:val="21"/>
                    </w:rPr>
                    <w:t>满足要求</w:t>
                  </w:r>
                </w:p>
              </w:tc>
            </w:tr>
            <w:tr w14:paraId="1A476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1EBDA5CD">
                  <w:pPr>
                    <w:adjustRightInd w:val="0"/>
                    <w:snapToGrid w:val="0"/>
                    <w:jc w:val="center"/>
                    <w:rPr>
                      <w:szCs w:val="21"/>
                    </w:rPr>
                  </w:pPr>
                  <w:r>
                    <w:rPr>
                      <w:rFonts w:hint="eastAsia"/>
                      <w:szCs w:val="21"/>
                    </w:rPr>
                    <w:t>上述选址规定不适用于一般工业固体废物的充填和回填。</w:t>
                  </w:r>
                </w:p>
              </w:tc>
              <w:tc>
                <w:tcPr>
                  <w:tcW w:w="2305" w:type="pct"/>
                  <w:vAlign w:val="center"/>
                </w:tcPr>
                <w:p w14:paraId="6C8279B4">
                  <w:pPr>
                    <w:adjustRightInd w:val="0"/>
                    <w:snapToGrid w:val="0"/>
                    <w:jc w:val="center"/>
                    <w:rPr>
                      <w:szCs w:val="21"/>
                    </w:rPr>
                  </w:pPr>
                  <w:r>
                    <w:rPr>
                      <w:rFonts w:hint="eastAsia"/>
                      <w:szCs w:val="21"/>
                    </w:rPr>
                    <w:t>项目不属于一般工业固体废物的充填和回填。</w:t>
                  </w:r>
                </w:p>
              </w:tc>
              <w:tc>
                <w:tcPr>
                  <w:tcW w:w="648" w:type="pct"/>
                  <w:vAlign w:val="center"/>
                </w:tcPr>
                <w:p w14:paraId="184680BF">
                  <w:pPr>
                    <w:adjustRightInd w:val="0"/>
                    <w:snapToGrid w:val="0"/>
                    <w:jc w:val="center"/>
                    <w:rPr>
                      <w:szCs w:val="21"/>
                    </w:rPr>
                  </w:pPr>
                  <w:r>
                    <w:rPr>
                      <w:rFonts w:hint="eastAsia"/>
                      <w:szCs w:val="21"/>
                    </w:rPr>
                    <w:t>满足要求</w:t>
                  </w:r>
                </w:p>
              </w:tc>
            </w:tr>
          </w:tbl>
          <w:p w14:paraId="55938BCD">
            <w:pPr>
              <w:adjustRightInd w:val="0"/>
              <w:snapToGrid w:val="0"/>
              <w:spacing w:line="360" w:lineRule="auto"/>
              <w:ind w:firstLine="480" w:firstLineChars="200"/>
              <w:rPr>
                <w:bCs/>
                <w:sz w:val="24"/>
              </w:rPr>
            </w:pPr>
            <w:r>
              <w:rPr>
                <w:rFonts w:hint="eastAsia"/>
                <w:bCs/>
                <w:sz w:val="24"/>
              </w:rPr>
              <w:t>②建设要求</w:t>
            </w:r>
          </w:p>
          <w:p w14:paraId="31846CA4">
            <w:pPr>
              <w:adjustRightInd w:val="0"/>
              <w:snapToGrid w:val="0"/>
              <w:spacing w:line="360" w:lineRule="auto"/>
              <w:ind w:firstLine="480" w:firstLineChars="200"/>
              <w:rPr>
                <w:bCs/>
                <w:sz w:val="24"/>
              </w:rPr>
            </w:pPr>
            <w:r>
              <w:rPr>
                <w:bCs/>
                <w:sz w:val="24"/>
              </w:rPr>
              <w:t>本项目</w:t>
            </w:r>
            <w:r>
              <w:rPr>
                <w:rFonts w:hint="eastAsia"/>
                <w:bCs/>
                <w:sz w:val="24"/>
              </w:rPr>
              <w:t>原料库、一般固废暂存库应按照</w:t>
            </w:r>
            <w:r>
              <w:rPr>
                <w:bCs/>
                <w:sz w:val="24"/>
              </w:rPr>
              <w:t>《一般工业固体废物贮存与填埋污染控制标准》（GB18599-2020）</w:t>
            </w:r>
            <w:r>
              <w:rPr>
                <w:rFonts w:hint="eastAsia"/>
                <w:bCs/>
                <w:sz w:val="24"/>
              </w:rPr>
              <w:t>进行建设，</w:t>
            </w:r>
            <w:r>
              <w:rPr>
                <w:bCs/>
                <w:sz w:val="24"/>
              </w:rPr>
              <w:t>并专人负责固体废物的收集、贮存。</w:t>
            </w:r>
          </w:p>
          <w:p w14:paraId="4D9B53D4">
            <w:pPr>
              <w:adjustRightInd w:val="0"/>
              <w:snapToGrid w:val="0"/>
              <w:spacing w:line="360" w:lineRule="auto"/>
              <w:ind w:firstLine="480" w:firstLineChars="200"/>
              <w:rPr>
                <w:bCs/>
                <w:sz w:val="24"/>
              </w:rPr>
            </w:pPr>
            <w:r>
              <w:rPr>
                <w:rFonts w:hint="eastAsia"/>
                <w:bCs/>
                <w:sz w:val="24"/>
              </w:rPr>
              <w:t>A、目前地面已硬化，建设时</w:t>
            </w:r>
            <w:r>
              <w:rPr>
                <w:bCs/>
                <w:sz w:val="24"/>
              </w:rPr>
              <w:t>应</w:t>
            </w:r>
            <w:r>
              <w:rPr>
                <w:rFonts w:hint="eastAsia"/>
                <w:bCs/>
                <w:sz w:val="24"/>
              </w:rPr>
              <w:t>按照一般防渗区进行</w:t>
            </w:r>
            <w:r>
              <w:rPr>
                <w:bCs/>
                <w:sz w:val="24"/>
              </w:rPr>
              <w:t>防渗处理，</w:t>
            </w:r>
            <w:r>
              <w:rPr>
                <w:rFonts w:hint="eastAsia"/>
                <w:bCs/>
                <w:sz w:val="24"/>
              </w:rPr>
              <w:t>防渗要求满足渗透系数≤10</w:t>
            </w:r>
            <w:r>
              <w:rPr>
                <w:rFonts w:hint="eastAsia"/>
                <w:bCs/>
                <w:sz w:val="24"/>
                <w:vertAlign w:val="superscript"/>
              </w:rPr>
              <w:t>-7</w:t>
            </w:r>
            <w:r>
              <w:rPr>
                <w:rFonts w:hint="eastAsia"/>
                <w:bCs/>
                <w:sz w:val="24"/>
              </w:rPr>
              <w:t>cm/s，等效黏土防渗层Mb≥1.5m。施工时应采用具有同等隔水效力的其他人工防渗衬层进行防渗，</w:t>
            </w:r>
            <w:r>
              <w:rPr>
                <w:bCs/>
                <w:sz w:val="24"/>
              </w:rPr>
              <w:t>并做到防风、防雨；</w:t>
            </w:r>
          </w:p>
          <w:p w14:paraId="3259068B">
            <w:pPr>
              <w:adjustRightInd w:val="0"/>
              <w:snapToGrid w:val="0"/>
              <w:spacing w:line="360" w:lineRule="auto"/>
              <w:ind w:firstLine="480" w:firstLineChars="200"/>
              <w:rPr>
                <w:bCs/>
                <w:sz w:val="24"/>
              </w:rPr>
            </w:pPr>
            <w:r>
              <w:rPr>
                <w:rFonts w:hint="eastAsia"/>
                <w:bCs/>
                <w:sz w:val="24"/>
              </w:rPr>
              <w:t>B、</w:t>
            </w:r>
            <w:r>
              <w:rPr>
                <w:bCs/>
                <w:sz w:val="24"/>
              </w:rPr>
              <w:t>为防止雨水径流进入贮存、处置场内，贮存、处置场周边应设置导流渠；</w:t>
            </w:r>
          </w:p>
          <w:p w14:paraId="270896B0">
            <w:pPr>
              <w:adjustRightInd w:val="0"/>
              <w:snapToGrid w:val="0"/>
              <w:spacing w:line="360" w:lineRule="auto"/>
              <w:ind w:firstLine="480" w:firstLineChars="200"/>
              <w:rPr>
                <w:bCs/>
                <w:sz w:val="24"/>
              </w:rPr>
            </w:pPr>
            <w:r>
              <w:rPr>
                <w:rFonts w:hint="eastAsia"/>
                <w:bCs/>
                <w:sz w:val="24"/>
              </w:rPr>
              <w:t>C、</w:t>
            </w:r>
            <w:r>
              <w:rPr>
                <w:bCs/>
                <w:sz w:val="24"/>
              </w:rPr>
              <w:t>应按GB l5562.2设置环境保护图形标志；</w:t>
            </w:r>
          </w:p>
          <w:p w14:paraId="5248BDC6">
            <w:pPr>
              <w:adjustRightInd w:val="0"/>
              <w:snapToGrid w:val="0"/>
              <w:spacing w:line="360" w:lineRule="auto"/>
              <w:ind w:firstLine="480" w:firstLineChars="200"/>
              <w:rPr>
                <w:bCs/>
                <w:sz w:val="24"/>
              </w:rPr>
            </w:pPr>
            <w:r>
              <w:rPr>
                <w:rFonts w:hint="eastAsia"/>
                <w:bCs/>
                <w:sz w:val="24"/>
              </w:rPr>
              <w:t>D、贮存场及填埋场在施工完毕后应保存施工报告、全套竣工图、所有材料的现场及实验室检测报告。采用高密度聚乙烯膜作为人工合成材料衬层的贮存场应提交人工防渗衬层完整性检测报告。上述材料连同施工质量保证书作为竣工环境保护验收的依据。</w:t>
            </w:r>
          </w:p>
          <w:p w14:paraId="2761A54C">
            <w:pPr>
              <w:adjustRightInd w:val="0"/>
              <w:snapToGrid w:val="0"/>
              <w:spacing w:line="360" w:lineRule="auto"/>
              <w:ind w:firstLine="480" w:firstLineChars="200"/>
              <w:rPr>
                <w:bCs/>
                <w:sz w:val="24"/>
              </w:rPr>
            </w:pPr>
            <w:r>
              <w:rPr>
                <w:rFonts w:hint="eastAsia"/>
                <w:bCs/>
                <w:sz w:val="24"/>
              </w:rPr>
              <w:t>③管理要求</w:t>
            </w:r>
          </w:p>
          <w:p w14:paraId="5DD39880">
            <w:pPr>
              <w:adjustRightInd w:val="0"/>
              <w:snapToGrid w:val="0"/>
              <w:spacing w:line="360" w:lineRule="auto"/>
              <w:ind w:firstLine="480" w:firstLineChars="200"/>
              <w:rPr>
                <w:bCs/>
                <w:sz w:val="24"/>
              </w:rPr>
            </w:pPr>
            <w:r>
              <w:rPr>
                <w:rFonts w:hint="eastAsia"/>
                <w:bCs/>
                <w:sz w:val="24"/>
              </w:rPr>
              <w:t>根据《一般工业固体废物环境管理工作指南》（环办固体函【2026】18号），</w:t>
            </w:r>
          </w:p>
          <w:p w14:paraId="174D7B9C">
            <w:pPr>
              <w:adjustRightInd w:val="0"/>
              <w:snapToGrid w:val="0"/>
              <w:spacing w:line="360" w:lineRule="auto"/>
              <w:rPr>
                <w:bCs/>
                <w:sz w:val="24"/>
              </w:rPr>
            </w:pPr>
            <w:r>
              <w:rPr>
                <w:rFonts w:hint="eastAsia"/>
                <w:bCs/>
                <w:sz w:val="24"/>
              </w:rPr>
              <w:t>建设单位应当：</w:t>
            </w:r>
          </w:p>
          <w:p w14:paraId="1CF48929">
            <w:pPr>
              <w:adjustRightInd w:val="0"/>
              <w:snapToGrid w:val="0"/>
              <w:spacing w:line="360" w:lineRule="auto"/>
              <w:ind w:firstLine="480" w:firstLineChars="200"/>
              <w:rPr>
                <w:bCs/>
                <w:sz w:val="24"/>
              </w:rPr>
            </w:pPr>
            <w:r>
              <w:rPr>
                <w:rFonts w:hint="eastAsia"/>
                <w:bCs/>
                <w:sz w:val="24"/>
              </w:rPr>
              <w:t>A、建立涵盖全过程的一般工业固体废物污染环境防治责任制度，明确责任人员，相关人员应当熟悉一般工业固体废物管理相关法律、法规、标准、规范等和本单位的一般工业固体废物环境管理情况。</w:t>
            </w:r>
          </w:p>
          <w:p w14:paraId="78B3BEA8">
            <w:pPr>
              <w:adjustRightInd w:val="0"/>
              <w:snapToGrid w:val="0"/>
              <w:spacing w:line="360" w:lineRule="auto"/>
              <w:ind w:firstLine="480" w:firstLineChars="200"/>
              <w:rPr>
                <w:bCs/>
                <w:sz w:val="24"/>
              </w:rPr>
            </w:pPr>
            <w:r>
              <w:rPr>
                <w:rFonts w:hint="eastAsia"/>
                <w:bCs/>
                <w:sz w:val="24"/>
              </w:rPr>
              <w:t>B、建设单位不得擅自倾倒、堆放、丢弃、遗撒一般工业固体废物。</w:t>
            </w:r>
          </w:p>
          <w:p w14:paraId="4D97B29A">
            <w:pPr>
              <w:adjustRightInd w:val="0"/>
              <w:snapToGrid w:val="0"/>
              <w:spacing w:line="360" w:lineRule="auto"/>
              <w:ind w:firstLine="480" w:firstLineChars="200"/>
              <w:rPr>
                <w:bCs/>
                <w:sz w:val="24"/>
              </w:rPr>
            </w:pPr>
            <w:r>
              <w:rPr>
                <w:rFonts w:hint="eastAsia"/>
                <w:bCs/>
                <w:sz w:val="24"/>
              </w:rPr>
              <w:t>C、应按照《一般工业固体废物管理台账制定指南(试行)》和排污许可证规定，建立管理台账，全面、准确地记录一般工业固体废物的种类、数量、流向、贮存、利用、处置等信息。</w:t>
            </w:r>
          </w:p>
          <w:p w14:paraId="1C65D40F">
            <w:pPr>
              <w:adjustRightInd w:val="0"/>
              <w:snapToGrid w:val="0"/>
              <w:spacing w:line="360" w:lineRule="auto"/>
              <w:ind w:firstLine="480" w:firstLineChars="200"/>
              <w:rPr>
                <w:bCs/>
                <w:sz w:val="24"/>
              </w:rPr>
            </w:pPr>
            <w:r>
              <w:rPr>
                <w:rFonts w:hint="eastAsia"/>
                <w:bCs/>
                <w:sz w:val="24"/>
              </w:rPr>
              <w:t>D、委托他人运输一般工业固体废物的，应核实受托方的道路运输经营许可证和车辆营运证，并签订合同，约定各方责任。</w:t>
            </w:r>
          </w:p>
          <w:p w14:paraId="785FB7C8">
            <w:pPr>
              <w:adjustRightInd w:val="0"/>
              <w:snapToGrid w:val="0"/>
              <w:spacing w:line="360" w:lineRule="auto"/>
              <w:ind w:firstLine="480" w:firstLineChars="200"/>
              <w:rPr>
                <w:bCs/>
                <w:sz w:val="24"/>
              </w:rPr>
            </w:pPr>
            <w:r>
              <w:rPr>
                <w:rFonts w:hint="eastAsia"/>
                <w:bCs/>
                <w:sz w:val="24"/>
              </w:rPr>
              <w:t>同时，本项目原料库、一般固废暂存库在运营期应符合以下要求：</w:t>
            </w:r>
          </w:p>
          <w:p w14:paraId="31F86D5F">
            <w:pPr>
              <w:numPr>
                <w:ilvl w:val="0"/>
                <w:numId w:val="5"/>
              </w:numPr>
              <w:adjustRightInd w:val="0"/>
              <w:snapToGrid w:val="0"/>
              <w:spacing w:line="360" w:lineRule="auto"/>
              <w:ind w:firstLine="480" w:firstLineChars="200"/>
              <w:rPr>
                <w:bCs/>
                <w:sz w:val="24"/>
              </w:rPr>
            </w:pPr>
            <w:r>
              <w:rPr>
                <w:rFonts w:hint="eastAsia"/>
                <w:bCs/>
                <w:sz w:val="24"/>
              </w:rPr>
              <w:t>建设、运行一般工业固体废物贮存场，应当执行《一般工业固体废物贮存和填埋污染控制标准》(GB 18599)等有关标准规范及环境影响评价审批文件要求。</w:t>
            </w:r>
          </w:p>
          <w:p w14:paraId="1C4E7085">
            <w:pPr>
              <w:numPr>
                <w:ilvl w:val="0"/>
                <w:numId w:val="5"/>
              </w:numPr>
              <w:adjustRightInd w:val="0"/>
              <w:snapToGrid w:val="0"/>
              <w:spacing w:line="360" w:lineRule="auto"/>
              <w:ind w:firstLine="480" w:firstLineChars="200"/>
              <w:rPr>
                <w:bCs/>
                <w:sz w:val="24"/>
              </w:rPr>
            </w:pPr>
            <w:r>
              <w:rPr>
                <w:rFonts w:hint="eastAsia"/>
                <w:bCs/>
                <w:sz w:val="24"/>
              </w:rPr>
              <w:t>应对照《固体废物分类与代码目录》，将一般工业固体废物分类分区贮存。</w:t>
            </w:r>
          </w:p>
          <w:p w14:paraId="33CF3A80">
            <w:pPr>
              <w:numPr>
                <w:ilvl w:val="0"/>
                <w:numId w:val="5"/>
              </w:numPr>
              <w:adjustRightInd w:val="0"/>
              <w:snapToGrid w:val="0"/>
              <w:spacing w:line="360" w:lineRule="auto"/>
              <w:ind w:firstLine="480" w:firstLineChars="200"/>
              <w:rPr>
                <w:bCs/>
                <w:sz w:val="24"/>
              </w:rPr>
            </w:pPr>
            <w:r>
              <w:rPr>
                <w:rFonts w:hint="eastAsia"/>
                <w:bCs/>
                <w:sz w:val="24"/>
              </w:rPr>
              <w:t>应在贮存设施显著位置张贴符合《环境保护图形标志一固体废物贮存(处置)场》(GB15562.2)规定的环境保护图形标志，并注明贮存的一般工业固体废物种类等信息。</w:t>
            </w:r>
          </w:p>
          <w:p w14:paraId="08C0C077">
            <w:pPr>
              <w:adjustRightInd w:val="0"/>
              <w:snapToGrid w:val="0"/>
              <w:spacing w:line="360" w:lineRule="auto"/>
              <w:ind w:firstLine="480" w:firstLineChars="200"/>
              <w:rPr>
                <w:bCs/>
                <w:sz w:val="24"/>
              </w:rPr>
            </w:pPr>
            <w:r>
              <w:rPr>
                <w:rFonts w:hint="eastAsia"/>
                <w:bCs/>
                <w:sz w:val="24"/>
              </w:rPr>
              <w:t>D、采用库房、包装工具等贮存一般工业固体废物的，应根据物料特性及可能产生的环境污染风险，合理采取防扬散、防流失、防渗漏等环境保护措施。</w:t>
            </w:r>
          </w:p>
          <w:p w14:paraId="774479BB">
            <w:pPr>
              <w:adjustRightInd w:val="0"/>
              <w:snapToGrid w:val="0"/>
              <w:spacing w:line="360" w:lineRule="auto"/>
              <w:ind w:firstLine="480" w:firstLineChars="200"/>
              <w:rPr>
                <w:bCs/>
                <w:sz w:val="24"/>
              </w:rPr>
            </w:pPr>
            <w:r>
              <w:rPr>
                <w:rFonts w:hint="eastAsia"/>
                <w:bCs/>
                <w:sz w:val="24"/>
              </w:rPr>
              <w:t>E、鼓励在贮存场所出入口、磅秤位置等关键点位设置视频监控，配备智能称重设备。</w:t>
            </w:r>
          </w:p>
          <w:p w14:paraId="70EF8F6B">
            <w:pPr>
              <w:adjustRightInd w:val="0"/>
              <w:snapToGrid w:val="0"/>
              <w:spacing w:line="360" w:lineRule="auto"/>
              <w:ind w:firstLine="482" w:firstLineChars="200"/>
              <w:rPr>
                <w:b/>
                <w:bCs/>
                <w:kern w:val="0"/>
                <w:sz w:val="24"/>
              </w:rPr>
            </w:pPr>
            <w:r>
              <w:rPr>
                <w:rFonts w:hint="eastAsia"/>
                <w:b/>
                <w:bCs/>
                <w:kern w:val="0"/>
                <w:sz w:val="24"/>
              </w:rPr>
              <w:t>2</w:t>
            </w:r>
            <w:r>
              <w:rPr>
                <w:b/>
                <w:bCs/>
                <w:kern w:val="0"/>
                <w:sz w:val="24"/>
              </w:rPr>
              <w:t>.2、危险废物环境管理要求</w:t>
            </w:r>
            <w:r>
              <w:rPr>
                <w:rFonts w:hint="eastAsia"/>
                <w:b/>
                <w:bCs/>
                <w:kern w:val="0"/>
                <w:sz w:val="24"/>
              </w:rPr>
              <w:t>（危险废物的收集、贮存、转运、处置要求）</w:t>
            </w:r>
          </w:p>
          <w:p w14:paraId="77B2C926">
            <w:pPr>
              <w:adjustRightInd w:val="0"/>
              <w:snapToGrid w:val="0"/>
              <w:spacing w:line="360" w:lineRule="auto"/>
              <w:ind w:firstLine="480" w:firstLineChars="200"/>
              <w:rPr>
                <w:kern w:val="0"/>
                <w:sz w:val="24"/>
              </w:rPr>
            </w:pPr>
            <w:r>
              <w:rPr>
                <w:kern w:val="0"/>
                <w:sz w:val="24"/>
              </w:rPr>
              <w:t>本项目设置1间约5m</w:t>
            </w:r>
            <w:r>
              <w:rPr>
                <w:kern w:val="0"/>
                <w:sz w:val="24"/>
                <w:vertAlign w:val="superscript"/>
              </w:rPr>
              <w:t>2</w:t>
            </w:r>
            <w:r>
              <w:rPr>
                <w:kern w:val="0"/>
                <w:sz w:val="24"/>
              </w:rPr>
              <w:t>的</w:t>
            </w:r>
            <w:r>
              <w:rPr>
                <w:rFonts w:hint="eastAsia"/>
                <w:kern w:val="0"/>
                <w:sz w:val="24"/>
              </w:rPr>
              <w:t>危废暂存库</w:t>
            </w:r>
            <w:r>
              <w:rPr>
                <w:kern w:val="0"/>
                <w:sz w:val="24"/>
              </w:rPr>
              <w:t>，用于暂存项目产生的危险废物。</w:t>
            </w:r>
          </w:p>
          <w:p w14:paraId="72EA23FC">
            <w:pPr>
              <w:adjustRightInd w:val="0"/>
              <w:snapToGrid w:val="0"/>
              <w:spacing w:line="360" w:lineRule="auto"/>
              <w:ind w:firstLine="482" w:firstLineChars="200"/>
              <w:rPr>
                <w:b/>
                <w:bCs/>
                <w:kern w:val="0"/>
                <w:sz w:val="24"/>
              </w:rPr>
            </w:pPr>
            <w:r>
              <w:rPr>
                <w:rFonts w:hint="eastAsia"/>
                <w:b/>
                <w:bCs/>
                <w:kern w:val="0"/>
                <w:sz w:val="24"/>
              </w:rPr>
              <w:t>2.2.1</w:t>
            </w:r>
            <w:r>
              <w:rPr>
                <w:b/>
                <w:bCs/>
                <w:kern w:val="0"/>
                <w:sz w:val="24"/>
              </w:rPr>
              <w:t>危险废物暂存规范要求</w:t>
            </w:r>
          </w:p>
          <w:p w14:paraId="5FB058E6">
            <w:pPr>
              <w:pStyle w:val="83"/>
              <w:spacing w:line="360" w:lineRule="auto"/>
              <w:ind w:firstLine="480" w:firstLineChars="200"/>
              <w:rPr>
                <w:bCs/>
                <w:sz w:val="24"/>
                <w:szCs w:val="24"/>
              </w:rPr>
            </w:pPr>
            <w:r>
              <w:rPr>
                <w:bCs/>
                <w:sz w:val="24"/>
                <w:szCs w:val="24"/>
              </w:rPr>
              <w:t>①</w:t>
            </w:r>
            <w:r>
              <w:rPr>
                <w:rFonts w:hint="eastAsia"/>
                <w:bCs/>
                <w:sz w:val="24"/>
                <w:szCs w:val="24"/>
              </w:rPr>
              <w:t>危废暂存库</w:t>
            </w:r>
            <w:r>
              <w:rPr>
                <w:bCs/>
                <w:sz w:val="24"/>
                <w:szCs w:val="24"/>
              </w:rPr>
              <w:t>要独立、密闭，上锁防盗，仓库内要有安全照明设施和观察窗口，</w:t>
            </w:r>
            <w:r>
              <w:rPr>
                <w:rFonts w:hint="eastAsia"/>
                <w:bCs/>
                <w:sz w:val="24"/>
                <w:szCs w:val="24"/>
              </w:rPr>
              <w:t>危废暂存库</w:t>
            </w:r>
            <w:r>
              <w:rPr>
                <w:bCs/>
                <w:sz w:val="24"/>
                <w:szCs w:val="24"/>
              </w:rPr>
              <w:t>管理责任制要上墙；</w:t>
            </w:r>
          </w:p>
          <w:p w14:paraId="5D7CF7B1">
            <w:pPr>
              <w:pStyle w:val="83"/>
              <w:spacing w:line="360" w:lineRule="auto"/>
              <w:ind w:firstLine="480" w:firstLineChars="200"/>
              <w:rPr>
                <w:kern w:val="0"/>
                <w:sz w:val="24"/>
                <w:szCs w:val="24"/>
              </w:rPr>
            </w:pPr>
            <w:r>
              <w:rPr>
                <w:kern w:val="0"/>
                <w:sz w:val="24"/>
                <w:szCs w:val="24"/>
              </w:rPr>
              <w:t>②</w:t>
            </w:r>
            <w:r>
              <w:rPr>
                <w:rFonts w:hint="eastAsia"/>
                <w:kern w:val="0"/>
                <w:sz w:val="24"/>
                <w:szCs w:val="24"/>
              </w:rPr>
              <w:t>危废暂存库</w:t>
            </w:r>
            <w:r>
              <w:rPr>
                <w:kern w:val="0"/>
                <w:sz w:val="24"/>
                <w:szCs w:val="24"/>
              </w:rPr>
              <w:t>地面要防渗，顶部防水、防晒；地面与裙脚要用坚固、防渗的材料建造，建筑材料必须与危险废物相容，门口要设置围堰；</w:t>
            </w:r>
          </w:p>
          <w:p w14:paraId="4113A99B">
            <w:pPr>
              <w:pStyle w:val="83"/>
              <w:spacing w:line="360" w:lineRule="auto"/>
              <w:ind w:firstLine="480" w:firstLineChars="200"/>
              <w:rPr>
                <w:bCs/>
                <w:sz w:val="24"/>
                <w:szCs w:val="24"/>
              </w:rPr>
            </w:pPr>
            <w:r>
              <w:rPr>
                <w:bCs/>
                <w:sz w:val="24"/>
                <w:szCs w:val="24"/>
              </w:rPr>
              <w:t>③存放危废为液体的仓库内必须有泄漏液体收集装置（例如托盘、导流沟、收集池），存放危废为具有挥发性气体的仓库内必须有导出口及气体净化装置；</w:t>
            </w:r>
          </w:p>
          <w:p w14:paraId="3A1BC244">
            <w:pPr>
              <w:pStyle w:val="83"/>
              <w:spacing w:line="360" w:lineRule="auto"/>
              <w:ind w:firstLine="480" w:firstLineChars="200"/>
              <w:rPr>
                <w:bCs/>
                <w:sz w:val="24"/>
                <w:szCs w:val="24"/>
              </w:rPr>
            </w:pPr>
            <w:r>
              <w:rPr>
                <w:bCs/>
                <w:sz w:val="24"/>
                <w:szCs w:val="24"/>
              </w:rPr>
              <w:t>④仓库门上要张贴包含所有危废的标识、标牌，仓库内对应墙上有标识，无法装入常用容器的危险废物可用防漏胶袋等盛装，包装上应有标签；</w:t>
            </w:r>
          </w:p>
          <w:p w14:paraId="3691878D">
            <w:pPr>
              <w:pStyle w:val="83"/>
              <w:spacing w:line="360" w:lineRule="auto"/>
              <w:ind w:firstLine="480" w:firstLineChars="200"/>
              <w:rPr>
                <w:bCs/>
                <w:sz w:val="24"/>
                <w:szCs w:val="24"/>
              </w:rPr>
            </w:pPr>
            <w:r>
              <w:rPr>
                <w:bCs/>
                <w:sz w:val="24"/>
                <w:szCs w:val="24"/>
              </w:rPr>
              <w:t>⑤危废和一般固废不能混存，不同危废分开存放并设置隔断隔离；</w:t>
            </w:r>
          </w:p>
          <w:p w14:paraId="4E99939B">
            <w:pPr>
              <w:pStyle w:val="83"/>
              <w:spacing w:line="360" w:lineRule="auto"/>
              <w:ind w:firstLine="480" w:firstLineChars="200"/>
              <w:rPr>
                <w:bCs/>
                <w:sz w:val="24"/>
                <w:szCs w:val="24"/>
              </w:rPr>
            </w:pPr>
            <w:r>
              <w:rPr>
                <w:bCs/>
                <w:sz w:val="24"/>
                <w:szCs w:val="24"/>
              </w:rPr>
              <w:t>⑥仓库现场要有危废产生台账和转移联单，在危险废物回取后应继续保留三年；</w:t>
            </w:r>
          </w:p>
          <w:p w14:paraId="02091502">
            <w:pPr>
              <w:pStyle w:val="83"/>
              <w:spacing w:line="360" w:lineRule="auto"/>
              <w:ind w:firstLine="480" w:firstLineChars="200"/>
              <w:rPr>
                <w:bCs/>
                <w:sz w:val="24"/>
                <w:szCs w:val="24"/>
              </w:rPr>
            </w:pPr>
            <w:r>
              <w:rPr>
                <w:bCs/>
                <w:sz w:val="24"/>
                <w:szCs w:val="24"/>
              </w:rPr>
              <w:t>⑦装载液体、半固体危险废物的容器内须留足够空间，容器顶部与液体表面之间保留100毫米以上的空间。用以存放装载液体、半固体危险废物容器的地方，必须有耐腐蚀的硬化地面，且表面无裂隙；</w:t>
            </w:r>
          </w:p>
          <w:p w14:paraId="69C9CF6B">
            <w:pPr>
              <w:pStyle w:val="83"/>
              <w:spacing w:line="360" w:lineRule="auto"/>
              <w:ind w:firstLine="480" w:firstLineChars="200"/>
              <w:rPr>
                <w:bCs/>
                <w:sz w:val="24"/>
                <w:szCs w:val="24"/>
              </w:rPr>
            </w:pPr>
            <w:r>
              <w:rPr>
                <w:bCs/>
                <w:sz w:val="24"/>
                <w:szCs w:val="24"/>
              </w:rPr>
              <w:t>⑧</w:t>
            </w:r>
            <w:r>
              <w:rPr>
                <w:rFonts w:hint="eastAsia"/>
                <w:bCs/>
                <w:sz w:val="24"/>
                <w:szCs w:val="24"/>
              </w:rPr>
              <w:t>危废暂存库</w:t>
            </w:r>
            <w:r>
              <w:rPr>
                <w:bCs/>
                <w:sz w:val="24"/>
                <w:szCs w:val="24"/>
              </w:rPr>
              <w:t>需按照“双人双锁”制度管理（两把钥匙分别由两个危废负责人管理，不得一人管理）。</w:t>
            </w:r>
          </w:p>
          <w:p w14:paraId="220A81AE">
            <w:pPr>
              <w:pStyle w:val="83"/>
              <w:spacing w:line="360" w:lineRule="auto"/>
              <w:ind w:firstLine="480" w:firstLineChars="200"/>
              <w:rPr>
                <w:sz w:val="24"/>
                <w:szCs w:val="24"/>
              </w:rPr>
            </w:pPr>
            <w:r>
              <w:rPr>
                <w:bCs/>
                <w:sz w:val="24"/>
                <w:szCs w:val="24"/>
              </w:rPr>
              <w:t>⑨根据《中华人民共和国固体废物污染环境防治法》相关条款的规定：不设置危险废物识别标志的，处1-10万罚款；不正常使用污染处理设施，或未经环保部门批准拆除、闲置污染治理设施的，处2-20万元罚款；将危废提供或者委托给无经营许可证的单位从事经营活动的，处2-20万元处罚；不按规定填写危废转移联单或未经批准擅自转移危废的，处5-20万元处罚；将危废混入非危险废物中储存的，处3-10万元处罚；未经安全性处置，混合收集、储存、运输、处置具有不相容性质的危废的，处3-10万元处罚；为采取相应防范措施，造成危废扬散、流失、渗漏或造成其他环境污染的，处3-10万元处罚；在运输过程中沿途丢弃、以三维非得，处3-10万元处罚；未制定危废意外事故防范措施和应急预案的，处3-10万元处罚。</w:t>
            </w:r>
          </w:p>
          <w:p w14:paraId="7071B96C">
            <w:pPr>
              <w:adjustRightInd w:val="0"/>
              <w:snapToGrid w:val="0"/>
              <w:spacing w:line="360" w:lineRule="auto"/>
              <w:ind w:firstLine="482" w:firstLineChars="200"/>
              <w:rPr>
                <w:b/>
                <w:bCs/>
                <w:kern w:val="0"/>
                <w:sz w:val="24"/>
              </w:rPr>
            </w:pPr>
            <w:r>
              <w:rPr>
                <w:rFonts w:hint="eastAsia"/>
                <w:b/>
                <w:bCs/>
                <w:kern w:val="0"/>
                <w:sz w:val="24"/>
              </w:rPr>
              <w:t>2.2.2危废暂存库</w:t>
            </w:r>
            <w:r>
              <w:rPr>
                <w:b/>
                <w:bCs/>
                <w:kern w:val="0"/>
                <w:sz w:val="24"/>
              </w:rPr>
              <w:t>标志标牌：</w:t>
            </w:r>
          </w:p>
          <w:p w14:paraId="7B4A8796">
            <w:pPr>
              <w:adjustRightInd w:val="0"/>
              <w:snapToGrid w:val="0"/>
              <w:spacing w:line="360" w:lineRule="auto"/>
              <w:ind w:firstLine="482" w:firstLineChars="200"/>
              <w:rPr>
                <w:b/>
                <w:bCs/>
                <w:kern w:val="0"/>
                <w:sz w:val="24"/>
              </w:rPr>
            </w:pPr>
            <w:r>
              <w:rPr>
                <w:b/>
                <w:bCs/>
                <w:kern w:val="0"/>
                <w:sz w:val="24"/>
              </w:rPr>
              <w:t>标识如下：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3"/>
              <w:gridCol w:w="3013"/>
              <w:gridCol w:w="3013"/>
            </w:tblGrid>
            <w:tr w14:paraId="64C4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13" w:type="dxa"/>
                  <w:vAlign w:val="center"/>
                </w:tcPr>
                <w:p w14:paraId="033961EA">
                  <w:pPr>
                    <w:adjustRightInd w:val="0"/>
                    <w:snapToGrid w:val="0"/>
                    <w:jc w:val="center"/>
                    <w:rPr>
                      <w:kern w:val="0"/>
                      <w:sz w:val="24"/>
                    </w:rPr>
                  </w:pPr>
                  <w:r>
                    <w:rPr>
                      <w:sz w:val="28"/>
                      <w:szCs w:val="28"/>
                    </w:rPr>
                    <w:fldChar w:fldCharType="begin"/>
                  </w:r>
                  <w:r>
                    <w:rPr>
                      <w:sz w:val="28"/>
                      <w:szCs w:val="28"/>
                    </w:rPr>
                    <w:instrText xml:space="preserve"> INCLUDEPICTURE "C:\\Users\\ADMINI~1\\AppData\\Local\\Temp\\ksohtml2660\\wps2.png" \* MERGEFORMATINET </w:instrText>
                  </w:r>
                  <w:r>
                    <w:rPr>
                      <w:sz w:val="28"/>
                      <w:szCs w:val="28"/>
                    </w:rPr>
                    <w:fldChar w:fldCharType="separate"/>
                  </w:r>
                  <w:r>
                    <w:rPr>
                      <w:sz w:val="28"/>
                      <w:szCs w:val="28"/>
                    </w:rPr>
                    <w:drawing>
                      <wp:inline distT="0" distB="0" distL="114300" distR="114300">
                        <wp:extent cx="1828800" cy="2557145"/>
                        <wp:effectExtent l="0" t="0" r="0" b="14605"/>
                        <wp:docPr id="12" name="图片 6"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wps2"/>
                                <pic:cNvPicPr>
                                  <a:picLocks noChangeAspect="1"/>
                                </pic:cNvPicPr>
                              </pic:nvPicPr>
                              <pic:blipFill>
                                <a:blip r:embed="rId26"/>
                                <a:stretch>
                                  <a:fillRect/>
                                </a:stretch>
                              </pic:blipFill>
                              <pic:spPr>
                                <a:xfrm>
                                  <a:off x="0" y="0"/>
                                  <a:ext cx="1828800" cy="2557145"/>
                                </a:xfrm>
                                <a:prstGeom prst="rect">
                                  <a:avLst/>
                                </a:prstGeom>
                                <a:noFill/>
                                <a:ln>
                                  <a:noFill/>
                                </a:ln>
                              </pic:spPr>
                            </pic:pic>
                          </a:graphicData>
                        </a:graphic>
                      </wp:inline>
                    </w:drawing>
                  </w:r>
                  <w:r>
                    <w:rPr>
                      <w:sz w:val="28"/>
                      <w:szCs w:val="28"/>
                    </w:rPr>
                    <w:fldChar w:fldCharType="end"/>
                  </w:r>
                </w:p>
              </w:tc>
              <w:tc>
                <w:tcPr>
                  <w:tcW w:w="3013" w:type="dxa"/>
                  <w:vAlign w:val="center"/>
                </w:tcPr>
                <w:p w14:paraId="21D90C5C">
                  <w:pPr>
                    <w:adjustRightInd w:val="0"/>
                    <w:snapToGrid w:val="0"/>
                    <w:jc w:val="center"/>
                    <w:rPr>
                      <w:kern w:val="0"/>
                      <w:sz w:val="24"/>
                    </w:rPr>
                  </w:pPr>
                  <w:r>
                    <w:drawing>
                      <wp:inline distT="0" distB="0" distL="114300" distR="114300">
                        <wp:extent cx="1895475" cy="2163445"/>
                        <wp:effectExtent l="0" t="0" r="9525"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7"/>
                                <a:stretch>
                                  <a:fillRect/>
                                </a:stretch>
                              </pic:blipFill>
                              <pic:spPr>
                                <a:xfrm>
                                  <a:off x="0" y="0"/>
                                  <a:ext cx="1895475" cy="2163445"/>
                                </a:xfrm>
                                <a:prstGeom prst="rect">
                                  <a:avLst/>
                                </a:prstGeom>
                                <a:noFill/>
                                <a:ln>
                                  <a:noFill/>
                                </a:ln>
                              </pic:spPr>
                            </pic:pic>
                          </a:graphicData>
                        </a:graphic>
                      </wp:inline>
                    </w:drawing>
                  </w:r>
                </w:p>
              </w:tc>
              <w:tc>
                <w:tcPr>
                  <w:tcW w:w="3013" w:type="dxa"/>
                  <w:vAlign w:val="center"/>
                </w:tcPr>
                <w:p w14:paraId="3EA5F73A">
                  <w:pPr>
                    <w:adjustRightInd w:val="0"/>
                    <w:snapToGrid w:val="0"/>
                    <w:jc w:val="center"/>
                    <w:rPr>
                      <w:kern w:val="0"/>
                      <w:sz w:val="24"/>
                    </w:rPr>
                  </w:pPr>
                  <w:r>
                    <w:drawing>
                      <wp:inline distT="0" distB="0" distL="114300" distR="114300">
                        <wp:extent cx="1696720" cy="2548255"/>
                        <wp:effectExtent l="0" t="0" r="17780" b="444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8"/>
                                <a:srcRect l="5328" r="2432"/>
                                <a:stretch>
                                  <a:fillRect/>
                                </a:stretch>
                              </pic:blipFill>
                              <pic:spPr>
                                <a:xfrm>
                                  <a:off x="0" y="0"/>
                                  <a:ext cx="1696720" cy="2548255"/>
                                </a:xfrm>
                                <a:prstGeom prst="rect">
                                  <a:avLst/>
                                </a:prstGeom>
                                <a:noFill/>
                                <a:ln>
                                  <a:noFill/>
                                </a:ln>
                              </pic:spPr>
                            </pic:pic>
                          </a:graphicData>
                        </a:graphic>
                      </wp:inline>
                    </w:drawing>
                  </w:r>
                </w:p>
              </w:tc>
            </w:tr>
            <w:tr w14:paraId="4F12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13" w:type="dxa"/>
                  <w:vAlign w:val="center"/>
                </w:tcPr>
                <w:p w14:paraId="3B4925BC">
                  <w:pPr>
                    <w:adjustRightInd w:val="0"/>
                    <w:snapToGrid w:val="0"/>
                    <w:jc w:val="center"/>
                    <w:rPr>
                      <w:b/>
                      <w:bCs/>
                      <w:kern w:val="0"/>
                      <w:sz w:val="22"/>
                      <w:szCs w:val="22"/>
                    </w:rPr>
                  </w:pPr>
                  <w:r>
                    <w:rPr>
                      <w:b/>
                      <w:bCs/>
                      <w:kern w:val="0"/>
                      <w:sz w:val="22"/>
                      <w:szCs w:val="22"/>
                    </w:rPr>
                    <w:t>废矿物油标签</w:t>
                  </w:r>
                  <w:r>
                    <w:rPr>
                      <w:rFonts w:hint="eastAsia"/>
                      <w:b/>
                      <w:bCs/>
                      <w:kern w:val="0"/>
                      <w:sz w:val="22"/>
                      <w:szCs w:val="22"/>
                    </w:rPr>
                    <w:t>（适合于室内粘贴的危险废物标签）</w:t>
                  </w:r>
                </w:p>
              </w:tc>
              <w:tc>
                <w:tcPr>
                  <w:tcW w:w="3013" w:type="dxa"/>
                  <w:vAlign w:val="center"/>
                </w:tcPr>
                <w:p w14:paraId="701573F1">
                  <w:pPr>
                    <w:adjustRightInd w:val="0"/>
                    <w:snapToGrid w:val="0"/>
                    <w:jc w:val="center"/>
                    <w:rPr>
                      <w:b/>
                      <w:bCs/>
                      <w:kern w:val="0"/>
                      <w:sz w:val="22"/>
                      <w:szCs w:val="22"/>
                    </w:rPr>
                  </w:pPr>
                  <w:r>
                    <w:rPr>
                      <w:b/>
                      <w:bCs/>
                      <w:kern w:val="0"/>
                      <w:sz w:val="22"/>
                      <w:szCs w:val="22"/>
                    </w:rPr>
                    <w:t>危险废物贮存分区标志</w:t>
                  </w:r>
                </w:p>
              </w:tc>
              <w:tc>
                <w:tcPr>
                  <w:tcW w:w="3013" w:type="dxa"/>
                  <w:vAlign w:val="center"/>
                </w:tcPr>
                <w:p w14:paraId="43EB5F22">
                  <w:pPr>
                    <w:adjustRightInd w:val="0"/>
                    <w:snapToGrid w:val="0"/>
                    <w:jc w:val="center"/>
                    <w:rPr>
                      <w:b/>
                      <w:bCs/>
                      <w:kern w:val="0"/>
                      <w:sz w:val="22"/>
                      <w:szCs w:val="22"/>
                    </w:rPr>
                  </w:pPr>
                  <w:r>
                    <w:rPr>
                      <w:rFonts w:hint="eastAsia"/>
                      <w:b/>
                      <w:bCs/>
                      <w:kern w:val="0"/>
                      <w:sz w:val="22"/>
                      <w:szCs w:val="22"/>
                    </w:rPr>
                    <w:t>危废暂存库</w:t>
                  </w:r>
                  <w:r>
                    <w:rPr>
                      <w:b/>
                      <w:bCs/>
                      <w:kern w:val="0"/>
                      <w:sz w:val="22"/>
                      <w:szCs w:val="22"/>
                    </w:rPr>
                    <w:t>标志标牌</w:t>
                  </w:r>
                  <w:r>
                    <w:rPr>
                      <w:rFonts w:hint="eastAsia"/>
                      <w:b/>
                      <w:bCs/>
                      <w:kern w:val="0"/>
                      <w:sz w:val="22"/>
                      <w:szCs w:val="22"/>
                    </w:rPr>
                    <w:t>（门外）</w:t>
                  </w:r>
                </w:p>
              </w:tc>
            </w:tr>
          </w:tbl>
          <w:p w14:paraId="1C569D42">
            <w:pPr>
              <w:adjustRightInd w:val="0"/>
              <w:snapToGrid w:val="0"/>
              <w:spacing w:line="360" w:lineRule="auto"/>
              <w:ind w:firstLine="482" w:firstLineChars="200"/>
              <w:rPr>
                <w:b/>
                <w:bCs/>
                <w:kern w:val="0"/>
                <w:sz w:val="24"/>
              </w:rPr>
            </w:pPr>
            <w:r>
              <w:rPr>
                <w:rFonts w:hint="eastAsia"/>
                <w:b/>
                <w:bCs/>
                <w:kern w:val="0"/>
                <w:sz w:val="24"/>
              </w:rPr>
              <w:t>2.2.3危废暂存库</w:t>
            </w:r>
            <w:r>
              <w:rPr>
                <w:b/>
                <w:bCs/>
                <w:kern w:val="0"/>
                <w:sz w:val="24"/>
              </w:rPr>
              <w:t>防渗要求</w:t>
            </w:r>
          </w:p>
          <w:p w14:paraId="0A11D2A3">
            <w:pPr>
              <w:spacing w:line="360" w:lineRule="auto"/>
              <w:ind w:firstLine="480" w:firstLineChars="200"/>
              <w:rPr>
                <w:sz w:val="24"/>
              </w:rPr>
            </w:pPr>
            <w:r>
              <w:rPr>
                <w:sz w:val="24"/>
              </w:rPr>
              <w:t>项目重点污染防治区主要是</w:t>
            </w:r>
            <w:r>
              <w:rPr>
                <w:rFonts w:hint="eastAsia"/>
                <w:sz w:val="24"/>
              </w:rPr>
              <w:t>危废暂存库</w:t>
            </w:r>
            <w:r>
              <w:rPr>
                <w:sz w:val="24"/>
              </w:rPr>
              <w:t>，</w:t>
            </w:r>
            <w:r>
              <w:rPr>
                <w:rFonts w:hint="eastAsia"/>
                <w:sz w:val="24"/>
              </w:rPr>
              <w:t>目前场地已硬化，建设施工时应</w:t>
            </w:r>
            <w:r>
              <w:rPr>
                <w:sz w:val="24"/>
              </w:rPr>
              <w:t>按照《危险废物贮存污染控制标准》（GB18597-2023）进行防渗设计。重点污染区防渗要求：</w:t>
            </w:r>
          </w:p>
          <w:p w14:paraId="497D7263">
            <w:pPr>
              <w:spacing w:line="360" w:lineRule="auto"/>
              <w:ind w:firstLine="480" w:firstLineChars="200"/>
              <w:rPr>
                <w:sz w:val="24"/>
              </w:rPr>
            </w:pPr>
            <w:r>
              <w:rPr>
                <w:sz w:val="24"/>
              </w:rPr>
              <w:t>操作条件下的单位面积渗透量不大于厚度为6m、饱和渗透系数&lt;l0</w:t>
            </w:r>
            <w:r>
              <w:rPr>
                <w:sz w:val="24"/>
                <w:vertAlign w:val="superscript"/>
              </w:rPr>
              <w:t>-7</w:t>
            </w:r>
            <w:r>
              <w:rPr>
                <w:sz w:val="24"/>
              </w:rPr>
              <w:t>cm/s层的渗透量，防渗能力与《危险废物贮存污染控制标准》(GB18597-2023)第6.1.4条等效。防渗可参照一下规定进行防渗：</w:t>
            </w:r>
          </w:p>
          <w:p w14:paraId="3A41A816">
            <w:pPr>
              <w:spacing w:line="360" w:lineRule="auto"/>
              <w:ind w:firstLine="480" w:firstLineChars="200"/>
              <w:rPr>
                <w:sz w:val="24"/>
              </w:rPr>
            </w:pPr>
            <w:r>
              <w:rPr>
                <w:sz w:val="24"/>
              </w:rPr>
              <w:t>A、地面防渗层可采用抗渗混凝土、高密度聚乙烯（HDPE）膜、钠基膨润土防水毯或其他防渗性能等效的材料。</w:t>
            </w:r>
          </w:p>
          <w:p w14:paraId="39179CD3">
            <w:pPr>
              <w:spacing w:line="360" w:lineRule="auto"/>
              <w:ind w:firstLine="480" w:firstLineChars="200"/>
              <w:rPr>
                <w:bCs/>
                <w:sz w:val="24"/>
              </w:rPr>
            </w:pPr>
            <w:r>
              <w:rPr>
                <w:sz w:val="24"/>
              </w:rPr>
              <w:t>B、混凝土防渗层可采用抗渗钢纤维混凝土、抗渗合成纤维混凝土、抗渗钢筋混凝土和抗渗素混凝土。</w:t>
            </w:r>
          </w:p>
          <w:p w14:paraId="00294E9F">
            <w:pPr>
              <w:spacing w:line="360" w:lineRule="auto"/>
              <w:ind w:firstLine="482" w:firstLineChars="200"/>
              <w:rPr>
                <w:b/>
                <w:bCs/>
                <w:sz w:val="24"/>
              </w:rPr>
            </w:pPr>
            <w:r>
              <w:rPr>
                <w:rFonts w:hint="eastAsia"/>
                <w:b/>
                <w:bCs/>
                <w:sz w:val="24"/>
              </w:rPr>
              <w:t>2.2.4危废暂存库</w:t>
            </w:r>
            <w:r>
              <w:rPr>
                <w:b/>
                <w:bCs/>
                <w:sz w:val="24"/>
              </w:rPr>
              <w:t>内张贴</w:t>
            </w:r>
          </w:p>
          <w:p w14:paraId="55B29065">
            <w:pPr>
              <w:spacing w:line="360" w:lineRule="auto"/>
              <w:ind w:firstLine="480" w:firstLineChars="200"/>
              <w:rPr>
                <w:sz w:val="24"/>
              </w:rPr>
            </w:pPr>
            <w:r>
              <w:rPr>
                <w:sz w:val="24"/>
              </w:rPr>
              <w:t>①危险废物污染环境防治责任制度（见下面）；</w:t>
            </w:r>
          </w:p>
          <w:p w14:paraId="1E6687AC">
            <w:pPr>
              <w:spacing w:line="360" w:lineRule="auto"/>
              <w:ind w:firstLine="480" w:firstLineChars="200"/>
              <w:rPr>
                <w:sz w:val="24"/>
              </w:rPr>
            </w:pPr>
            <w:r>
              <w:rPr>
                <w:sz w:val="24"/>
              </w:rPr>
              <w:t>②危险废物环境污染应急预案（各个企业根据本企业制定的应急预案粘贴）。</w:t>
            </w:r>
          </w:p>
          <w:p w14:paraId="627DBB90">
            <w:pPr>
              <w:spacing w:line="360" w:lineRule="auto"/>
              <w:ind w:firstLine="482" w:firstLineChars="200"/>
              <w:rPr>
                <w:b/>
                <w:bCs/>
                <w:sz w:val="24"/>
              </w:rPr>
            </w:pPr>
            <w:r>
              <w:rPr>
                <w:rFonts w:hint="eastAsia"/>
                <w:b/>
                <w:bCs/>
                <w:sz w:val="24"/>
              </w:rPr>
              <w:t>2.2.5</w:t>
            </w:r>
            <w:r>
              <w:rPr>
                <w:b/>
                <w:bCs/>
                <w:sz w:val="24"/>
              </w:rPr>
              <w:t>危险废物污染环境防治责任制度模板</w:t>
            </w:r>
          </w:p>
          <w:p w14:paraId="249B565D">
            <w:pPr>
              <w:spacing w:line="360" w:lineRule="auto"/>
              <w:ind w:firstLine="480" w:firstLineChars="200"/>
              <w:rPr>
                <w:sz w:val="24"/>
              </w:rPr>
            </w:pPr>
            <w:r>
              <w:rPr>
                <w:sz w:val="24"/>
              </w:rPr>
              <w:t>（一）遵循环境保护“预防为主、防治结合”的工作方针，做到生产建设与保护环境同步规划、同步实施、同步发展，实现经济效益、社会效益与环境效益的有机统一。</w:t>
            </w:r>
          </w:p>
          <w:p w14:paraId="12C1E88B">
            <w:pPr>
              <w:spacing w:line="360" w:lineRule="auto"/>
              <w:ind w:firstLine="480" w:firstLineChars="200"/>
              <w:rPr>
                <w:sz w:val="24"/>
              </w:rPr>
            </w:pPr>
            <w:r>
              <w:rPr>
                <w:sz w:val="24"/>
              </w:rPr>
              <w:t>（二）公司法人是危险废物环境污染防治工作第一责任人，对全公司环境保护工作负全面的领导责任，并领导其稳步向前发展。</w:t>
            </w:r>
          </w:p>
          <w:p w14:paraId="76066FDC">
            <w:pPr>
              <w:spacing w:line="360" w:lineRule="auto"/>
              <w:ind w:firstLine="480" w:firstLineChars="200"/>
              <w:rPr>
                <w:sz w:val="24"/>
              </w:rPr>
            </w:pPr>
            <w:r>
              <w:rPr>
                <w:sz w:val="24"/>
              </w:rPr>
              <w:t>（三）公司设立危险废物污染环境防治工作领导小组，对公司的各项环境保护工作进行决策、监督和协调。</w:t>
            </w:r>
          </w:p>
          <w:p w14:paraId="6CB7C4BF">
            <w:pPr>
              <w:spacing w:line="360" w:lineRule="auto"/>
              <w:ind w:firstLine="480" w:firstLineChars="200"/>
              <w:rPr>
                <w:sz w:val="24"/>
              </w:rPr>
            </w:pPr>
            <w:r>
              <w:rPr>
                <w:sz w:val="24"/>
              </w:rPr>
              <w:t>组长：企业负责人</w:t>
            </w:r>
          </w:p>
          <w:p w14:paraId="78FFD4E0">
            <w:pPr>
              <w:spacing w:line="360" w:lineRule="auto"/>
              <w:ind w:firstLine="480" w:firstLineChars="200"/>
              <w:rPr>
                <w:sz w:val="24"/>
              </w:rPr>
            </w:pPr>
            <w:r>
              <w:rPr>
                <w:sz w:val="24"/>
              </w:rPr>
              <w:t>副组长：企业环保分管负责人</w:t>
            </w:r>
          </w:p>
          <w:p w14:paraId="425C251E">
            <w:pPr>
              <w:spacing w:line="360" w:lineRule="auto"/>
              <w:ind w:firstLine="480" w:firstLineChars="200"/>
              <w:rPr>
                <w:sz w:val="24"/>
              </w:rPr>
            </w:pPr>
            <w:r>
              <w:rPr>
                <w:sz w:val="24"/>
              </w:rPr>
              <w:t>组员：相关科室负责人和应急救援负责人</w:t>
            </w:r>
          </w:p>
          <w:p w14:paraId="3C3FB160">
            <w:pPr>
              <w:spacing w:line="360" w:lineRule="auto"/>
              <w:ind w:firstLine="480" w:firstLineChars="200"/>
              <w:rPr>
                <w:sz w:val="24"/>
              </w:rPr>
            </w:pPr>
            <w:r>
              <w:rPr>
                <w:sz w:val="24"/>
              </w:rPr>
              <w:t>（四）在组长的领导下，落实各项环境污染防治与保护工作。</w:t>
            </w:r>
          </w:p>
          <w:p w14:paraId="48091C3F">
            <w:pPr>
              <w:spacing w:line="360" w:lineRule="auto"/>
              <w:ind w:firstLine="482" w:firstLineChars="200"/>
              <w:rPr>
                <w:b/>
                <w:bCs/>
                <w:sz w:val="24"/>
              </w:rPr>
            </w:pPr>
            <w:r>
              <w:rPr>
                <w:rFonts w:hint="eastAsia"/>
                <w:b/>
                <w:bCs/>
                <w:sz w:val="24"/>
              </w:rPr>
              <w:t>2.2.6</w:t>
            </w:r>
            <w:r>
              <w:rPr>
                <w:b/>
                <w:bCs/>
                <w:sz w:val="24"/>
              </w:rPr>
              <w:t>危险废物的收集、贮存、转移、利用、处置工作，必须遵守国家规定。</w:t>
            </w:r>
          </w:p>
          <w:p w14:paraId="5E41D0F4">
            <w:pPr>
              <w:spacing w:line="360" w:lineRule="auto"/>
              <w:ind w:firstLine="480" w:firstLineChars="200"/>
              <w:rPr>
                <w:sz w:val="24"/>
              </w:rPr>
            </w:pPr>
            <w:r>
              <w:rPr>
                <w:sz w:val="24"/>
              </w:rPr>
              <w:t>①禁止向环境中倾倒、堆放危险废物。</w:t>
            </w:r>
          </w:p>
          <w:p w14:paraId="089A2B78">
            <w:pPr>
              <w:spacing w:line="360" w:lineRule="auto"/>
              <w:ind w:firstLine="480" w:firstLineChars="200"/>
              <w:rPr>
                <w:sz w:val="24"/>
              </w:rPr>
            </w:pPr>
            <w:r>
              <w:rPr>
                <w:sz w:val="24"/>
              </w:rPr>
              <w:t>②禁止将危险废物混入非危险废物中贮存、转移或处置。</w:t>
            </w:r>
          </w:p>
          <w:p w14:paraId="0A04CD59">
            <w:pPr>
              <w:spacing w:line="360" w:lineRule="auto"/>
              <w:ind w:firstLine="480" w:firstLineChars="200"/>
              <w:rPr>
                <w:sz w:val="24"/>
              </w:rPr>
            </w:pPr>
            <w:r>
              <w:rPr>
                <w:sz w:val="24"/>
              </w:rPr>
              <w:t>③危险废物的收集容器、转移工具等要有明显的标志。</w:t>
            </w:r>
          </w:p>
          <w:p w14:paraId="56DD2D3E">
            <w:pPr>
              <w:spacing w:line="360" w:lineRule="auto"/>
              <w:ind w:firstLine="482" w:firstLineChars="200"/>
              <w:rPr>
                <w:b/>
                <w:bCs/>
                <w:sz w:val="24"/>
              </w:rPr>
            </w:pPr>
            <w:r>
              <w:rPr>
                <w:rFonts w:hint="eastAsia"/>
                <w:b/>
                <w:bCs/>
                <w:sz w:val="24"/>
              </w:rPr>
              <w:t>2.2.7</w:t>
            </w:r>
            <w:r>
              <w:rPr>
                <w:b/>
                <w:bCs/>
                <w:sz w:val="24"/>
              </w:rPr>
              <w:t>危险废物收集、贮存及环境管理要求</w:t>
            </w:r>
          </w:p>
          <w:p w14:paraId="22A34502">
            <w:pPr>
              <w:spacing w:line="360" w:lineRule="auto"/>
              <w:ind w:firstLine="480" w:firstLineChars="200"/>
              <w:rPr>
                <w:sz w:val="24"/>
              </w:rPr>
            </w:pPr>
            <w:r>
              <w:rPr>
                <w:sz w:val="24"/>
              </w:rPr>
              <w:t>危险废物在厂内收集、贮存应该按照国家环境保护总局令第5号《危险废物转移联单管理办法》及《危险废物收集贮存运输技术规范》（HJ 2025-2012）相关要求严格执行，具体要求如下：</w:t>
            </w:r>
          </w:p>
          <w:p w14:paraId="75B07C4F">
            <w:pPr>
              <w:spacing w:line="360" w:lineRule="auto"/>
              <w:ind w:firstLine="480" w:firstLineChars="200"/>
              <w:rPr>
                <w:sz w:val="24"/>
              </w:rPr>
            </w:pPr>
            <w:r>
              <w:rPr>
                <w:sz w:val="24"/>
              </w:rPr>
              <w:t>①危险废物收集时应根据危险废物的数量、危险特性、物理形态等因素确定包装形式，包装材料要与危险废物相容。</w:t>
            </w:r>
          </w:p>
          <w:p w14:paraId="44201D19">
            <w:pPr>
              <w:spacing w:line="360" w:lineRule="auto"/>
              <w:ind w:firstLine="480" w:firstLineChars="200"/>
              <w:rPr>
                <w:sz w:val="24"/>
              </w:rPr>
            </w:pPr>
            <w:r>
              <w:rPr>
                <w:sz w:val="24"/>
              </w:rPr>
              <w:t>②装载液体、半固体危险废物的容器内须留足够空间，容器顶部与液体表面之间保留100mm以上的空间；盛装危险废物的容器上必须粘贴危险废物标签。</w:t>
            </w:r>
          </w:p>
          <w:p w14:paraId="17473E66">
            <w:pPr>
              <w:spacing w:line="360" w:lineRule="auto"/>
              <w:ind w:firstLine="480" w:firstLineChars="200"/>
              <w:rPr>
                <w:sz w:val="24"/>
              </w:rPr>
            </w:pPr>
            <w:r>
              <w:rPr>
                <w:sz w:val="24"/>
              </w:rPr>
              <w:t>③必须定期对所贮存的危险废物包装容器及贮存设施进行检查，发现破损，应及时采取措施清理更换。</w:t>
            </w:r>
          </w:p>
          <w:p w14:paraId="558E25AF">
            <w:pPr>
              <w:spacing w:line="360" w:lineRule="auto"/>
              <w:ind w:firstLine="480" w:firstLineChars="200"/>
              <w:rPr>
                <w:sz w:val="24"/>
              </w:rPr>
            </w:pPr>
            <w:r>
              <w:rPr>
                <w:sz w:val="24"/>
              </w:rPr>
              <w:t xml:space="preserve">④设置相关运行管理台账，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 </w:t>
            </w:r>
          </w:p>
          <w:p w14:paraId="728A9994">
            <w:pPr>
              <w:spacing w:line="360" w:lineRule="auto"/>
              <w:ind w:firstLine="480" w:firstLineChars="200"/>
              <w:rPr>
                <w:sz w:val="24"/>
              </w:rPr>
            </w:pPr>
            <w:r>
              <w:rPr>
                <w:sz w:val="24"/>
              </w:rPr>
              <w:t>⑤按要求在省固废平台网上申报备案。</w:t>
            </w:r>
          </w:p>
          <w:p w14:paraId="4791F22C">
            <w:pPr>
              <w:adjustRightInd w:val="0"/>
              <w:snapToGrid w:val="0"/>
              <w:spacing w:line="360" w:lineRule="auto"/>
              <w:ind w:firstLine="482" w:firstLineChars="200"/>
              <w:rPr>
                <w:b/>
                <w:sz w:val="24"/>
              </w:rPr>
            </w:pPr>
            <w:r>
              <w:rPr>
                <w:rFonts w:hint="eastAsia"/>
                <w:b/>
                <w:sz w:val="24"/>
              </w:rPr>
              <w:t>2.2.8</w:t>
            </w:r>
            <w:r>
              <w:rPr>
                <w:b/>
                <w:sz w:val="24"/>
              </w:rPr>
              <w:t>危险废物的转运要求</w:t>
            </w:r>
          </w:p>
          <w:p w14:paraId="46EECB07">
            <w:pPr>
              <w:adjustRightInd w:val="0"/>
              <w:snapToGrid w:val="0"/>
              <w:spacing w:line="360" w:lineRule="auto"/>
              <w:ind w:firstLine="480" w:firstLineChars="200"/>
              <w:rPr>
                <w:bCs/>
                <w:sz w:val="24"/>
              </w:rPr>
            </w:pPr>
            <w:r>
              <w:rPr>
                <w:bCs/>
                <w:sz w:val="24"/>
              </w:rPr>
              <w:t>项目固体废物转运过程中采取篷布遮盖、防滴漏等措施，减少固体废物运输过程给环境带来污染。危险废物的转运还按照《危险废物收集贮存运输技术规范》（HJ2025-2012）的要求进行，具体如下：</w:t>
            </w:r>
          </w:p>
          <w:p w14:paraId="08DC3326">
            <w:pPr>
              <w:adjustRightInd w:val="0"/>
              <w:snapToGrid w:val="0"/>
              <w:spacing w:line="360" w:lineRule="auto"/>
              <w:ind w:firstLine="480" w:firstLineChars="200"/>
              <w:rPr>
                <w:bCs/>
                <w:sz w:val="24"/>
              </w:rPr>
            </w:pPr>
            <w:r>
              <w:rPr>
                <w:bCs/>
                <w:sz w:val="24"/>
              </w:rPr>
              <w:t>①危险废物的运输由持有危险废物经营许可证的单位组织实施，并按照相关危险货物运输管理规定执行；</w:t>
            </w:r>
          </w:p>
          <w:p w14:paraId="1C563BCA">
            <w:pPr>
              <w:adjustRightInd w:val="0"/>
              <w:snapToGrid w:val="0"/>
              <w:spacing w:line="360" w:lineRule="auto"/>
              <w:ind w:firstLine="480" w:firstLineChars="200"/>
              <w:rPr>
                <w:bCs/>
                <w:sz w:val="24"/>
              </w:rPr>
            </w:pPr>
            <w:r>
              <w:rPr>
                <w:bCs/>
                <w:sz w:val="24"/>
              </w:rPr>
              <w:t>②项目危险废物运输采用公路运输方式，应按照《道路危险货物运输管理规定》（交通运输部令2013年第2号）执行。</w:t>
            </w:r>
          </w:p>
          <w:p w14:paraId="1DF5702C">
            <w:pPr>
              <w:adjustRightInd w:val="0"/>
              <w:snapToGrid w:val="0"/>
              <w:spacing w:line="360" w:lineRule="auto"/>
              <w:ind w:firstLine="480" w:firstLineChars="200"/>
              <w:rPr>
                <w:bCs/>
                <w:sz w:val="24"/>
              </w:rPr>
            </w:pPr>
            <w:r>
              <w:rPr>
                <w:bCs/>
                <w:sz w:val="24"/>
              </w:rPr>
              <w:t>运输单位承运危险废物时，应在危险废物包装上按照GB18597附录A设置标志，运输车辆应按GB13392设立车辆标志。危废运输车辆应配备符合有关国家标准以及与所载运的危险货物相适应的应急处理器材和安全防护设备。</w:t>
            </w:r>
          </w:p>
          <w:p w14:paraId="0DE3CF23">
            <w:pPr>
              <w:adjustRightInd w:val="0"/>
              <w:snapToGrid w:val="0"/>
              <w:spacing w:line="360" w:lineRule="auto"/>
              <w:ind w:firstLine="480" w:firstLineChars="200"/>
              <w:rPr>
                <w:bCs/>
                <w:sz w:val="24"/>
              </w:rPr>
            </w:pPr>
            <w:r>
              <w:rPr>
                <w:bCs/>
                <w:sz w:val="24"/>
              </w:rPr>
              <w:t>③危险废物运输时的装卸应遵照如下技术要求：装卸区的工作人员应熟悉危险废物的危险特性，并配备适当的个人防护装备，如橡胶手套、防护服和口罩。装卸区域应配备必要的消防设备和设施，并设置明显的指示标志。装卸区域应设置隔离设施。</w:t>
            </w:r>
          </w:p>
          <w:p w14:paraId="2AD19FB0">
            <w:pPr>
              <w:adjustRightInd w:val="0"/>
              <w:snapToGrid w:val="0"/>
              <w:spacing w:line="360" w:lineRule="auto"/>
              <w:ind w:firstLine="480" w:firstLineChars="200"/>
              <w:rPr>
                <w:bCs/>
                <w:sz w:val="24"/>
              </w:rPr>
            </w:pPr>
            <w:r>
              <w:rPr>
                <w:bCs/>
                <w:sz w:val="24"/>
              </w:rPr>
              <w:t>④危险废物转移过程严格落实《危险废物转移联单管理办法》的相关规定，规范危险废物转移；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收单位，第五联交接受地环保局。</w:t>
            </w:r>
          </w:p>
          <w:p w14:paraId="0AA3BA79">
            <w:pPr>
              <w:pStyle w:val="5"/>
              <w:spacing w:line="360" w:lineRule="auto"/>
              <w:rPr>
                <w:b/>
                <w:sz w:val="24"/>
              </w:rPr>
            </w:pPr>
            <w:r>
              <w:rPr>
                <w:bCs/>
                <w:sz w:val="24"/>
              </w:rPr>
              <w:t>⑤废物处置单位的运输人员必须掌握危险废物运输的安全知识，了解所运载的危险废物的性质、危害特性、包装容器的使用特性和发生意外时的应急措施。运输车辆必须具有车辆危险货物运输许可证。</w:t>
            </w:r>
          </w:p>
          <w:p w14:paraId="7B479840">
            <w:pPr>
              <w:pStyle w:val="83"/>
              <w:spacing w:line="360" w:lineRule="auto"/>
              <w:ind w:firstLine="482" w:firstLineChars="200"/>
              <w:rPr>
                <w:b/>
                <w:sz w:val="24"/>
                <w:szCs w:val="24"/>
              </w:rPr>
            </w:pPr>
            <w:r>
              <w:rPr>
                <w:rFonts w:hint="eastAsia"/>
                <w:b/>
                <w:sz w:val="24"/>
                <w:szCs w:val="24"/>
              </w:rPr>
              <w:t>2.3</w:t>
            </w:r>
            <w:r>
              <w:rPr>
                <w:b/>
                <w:sz w:val="24"/>
                <w:szCs w:val="24"/>
              </w:rPr>
              <w:t>危废贮存场所环境影响分析</w:t>
            </w:r>
          </w:p>
          <w:p w14:paraId="6677F1D6">
            <w:pPr>
              <w:pStyle w:val="83"/>
              <w:spacing w:line="360" w:lineRule="auto"/>
              <w:ind w:firstLine="480" w:firstLineChars="200"/>
              <w:rPr>
                <w:bCs/>
                <w:sz w:val="24"/>
                <w:szCs w:val="24"/>
              </w:rPr>
            </w:pPr>
            <w:r>
              <w:rPr>
                <w:bCs/>
                <w:sz w:val="24"/>
                <w:szCs w:val="24"/>
              </w:rPr>
              <w:t>项目拟在</w:t>
            </w:r>
            <w:r>
              <w:rPr>
                <w:rFonts w:hint="eastAsia"/>
                <w:bCs/>
                <w:sz w:val="24"/>
                <w:szCs w:val="24"/>
              </w:rPr>
              <w:t>项目区东厂房的东南</w:t>
            </w:r>
            <w:r>
              <w:rPr>
                <w:bCs/>
                <w:sz w:val="24"/>
                <w:szCs w:val="24"/>
              </w:rPr>
              <w:t>侧建设1间</w:t>
            </w:r>
            <w:r>
              <w:rPr>
                <w:rFonts w:hint="eastAsia"/>
                <w:bCs/>
                <w:sz w:val="24"/>
                <w:szCs w:val="24"/>
              </w:rPr>
              <w:t>危废暂存库</w:t>
            </w:r>
            <w:r>
              <w:rPr>
                <w:bCs/>
                <w:sz w:val="24"/>
                <w:szCs w:val="24"/>
              </w:rPr>
              <w:t>，环评要求：地面作防腐防渗处理，必须符合“防风、防雨、防晒、防渗漏”要求，建设单位在运行过程中，应指派专人负责危险废物的管理，并对危险废物的转运实行联单管理制度。在采取上述措施处理后，项目危险废物对周围环境影响不大。</w:t>
            </w:r>
          </w:p>
          <w:p w14:paraId="38F66150">
            <w:pPr>
              <w:pStyle w:val="83"/>
              <w:spacing w:line="360" w:lineRule="auto"/>
              <w:ind w:firstLine="480" w:firstLineChars="200"/>
              <w:rPr>
                <w:bCs/>
                <w:sz w:val="24"/>
                <w:szCs w:val="24"/>
              </w:rPr>
            </w:pPr>
            <w:r>
              <w:rPr>
                <w:bCs/>
                <w:sz w:val="24"/>
                <w:szCs w:val="24"/>
              </w:rPr>
              <w:t>综上，本环评提出建设单位要按照《危险废物贮存污染控制标准》（GB18597-2023）相关要求规范设置</w:t>
            </w:r>
            <w:r>
              <w:rPr>
                <w:rFonts w:hint="eastAsia"/>
                <w:bCs/>
                <w:sz w:val="24"/>
                <w:szCs w:val="24"/>
              </w:rPr>
              <w:t>危废暂存库</w:t>
            </w:r>
            <w:r>
              <w:rPr>
                <w:bCs/>
                <w:sz w:val="24"/>
                <w:szCs w:val="24"/>
              </w:rPr>
              <w:t>，采取防风、防雨、防晒、防渗漏等措施，以“减量化、资源化、无害化”为基本原则，确保所有固废最终得以综合利用或安全处置。项目所产生的危险废物能够满足《危险废物贮存污染控制标准》（GB 18597-</w:t>
            </w:r>
            <w:r>
              <w:rPr>
                <w:rFonts w:hint="eastAsia"/>
                <w:bCs/>
                <w:sz w:val="24"/>
                <w:szCs w:val="24"/>
              </w:rPr>
              <w:t>2023</w:t>
            </w:r>
            <w:r>
              <w:rPr>
                <w:bCs/>
                <w:sz w:val="24"/>
                <w:szCs w:val="24"/>
              </w:rPr>
              <w:t>）中的相关规定，项目所产生的固体废弃物能够得到合理、有效的处置，各固体废弃物去向明确，处置率达到100%，对环境的影响较小。</w:t>
            </w:r>
          </w:p>
          <w:p w14:paraId="6733C2BE">
            <w:pPr>
              <w:pStyle w:val="15"/>
              <w:adjustRightInd w:val="0"/>
              <w:spacing w:line="360" w:lineRule="auto"/>
              <w:ind w:firstLine="442" w:firstLineChars="200"/>
              <w:rPr>
                <w:b/>
                <w:spacing w:val="-10"/>
                <w:sz w:val="24"/>
                <w:szCs w:val="24"/>
              </w:rPr>
            </w:pPr>
            <w:r>
              <w:rPr>
                <w:b/>
                <w:spacing w:val="-10"/>
                <w:sz w:val="24"/>
                <w:szCs w:val="24"/>
              </w:rPr>
              <w:t>五、</w:t>
            </w:r>
            <w:r>
              <w:rPr>
                <w:rFonts w:hint="eastAsia"/>
                <w:b/>
                <w:spacing w:val="-10"/>
                <w:sz w:val="24"/>
                <w:szCs w:val="24"/>
              </w:rPr>
              <w:t>土壤、</w:t>
            </w:r>
            <w:r>
              <w:rPr>
                <w:b/>
                <w:spacing w:val="-10"/>
                <w:sz w:val="24"/>
                <w:szCs w:val="24"/>
              </w:rPr>
              <w:t>地下水</w:t>
            </w:r>
            <w:r>
              <w:rPr>
                <w:rFonts w:hint="eastAsia"/>
                <w:b/>
                <w:spacing w:val="-10"/>
                <w:sz w:val="24"/>
                <w:szCs w:val="24"/>
              </w:rPr>
              <w:t>环境影响分析</w:t>
            </w:r>
          </w:p>
          <w:p w14:paraId="346497E8">
            <w:pPr>
              <w:adjustRightInd w:val="0"/>
              <w:snapToGrid w:val="0"/>
              <w:spacing w:line="360" w:lineRule="auto"/>
              <w:ind w:firstLine="482" w:firstLineChars="200"/>
              <w:rPr>
                <w:b/>
                <w:bCs/>
                <w:sz w:val="24"/>
                <w:lang w:val="zh-CN"/>
              </w:rPr>
            </w:pPr>
            <w:r>
              <w:rPr>
                <w:b/>
                <w:bCs/>
                <w:sz w:val="24"/>
              </w:rPr>
              <w:t>1、</w:t>
            </w:r>
            <w:r>
              <w:rPr>
                <w:b/>
                <w:bCs/>
                <w:sz w:val="24"/>
                <w:lang w:val="zh-CN"/>
              </w:rPr>
              <w:t>污染源</w:t>
            </w:r>
            <w:r>
              <w:rPr>
                <w:b/>
                <w:bCs/>
                <w:sz w:val="24"/>
              </w:rPr>
              <w:t>、</w:t>
            </w:r>
            <w:r>
              <w:rPr>
                <w:b/>
                <w:bCs/>
                <w:sz w:val="24"/>
                <w:lang w:val="zh-CN"/>
              </w:rPr>
              <w:t>污染物类型和污染途径识别</w:t>
            </w:r>
          </w:p>
          <w:p w14:paraId="488E6FBA">
            <w:pPr>
              <w:adjustRightInd w:val="0"/>
              <w:snapToGrid w:val="0"/>
              <w:spacing w:line="360" w:lineRule="auto"/>
              <w:ind w:firstLine="480" w:firstLineChars="200"/>
              <w:rPr>
                <w:sz w:val="24"/>
              </w:rPr>
            </w:pPr>
            <w:r>
              <w:rPr>
                <w:sz w:val="24"/>
                <w:lang w:val="zh-CN"/>
              </w:rPr>
              <w:t>本项目正常工况下，不会产生土壤、地下水污染，只有在事故状态下，项目</w:t>
            </w:r>
            <w:r>
              <w:rPr>
                <w:sz w:val="24"/>
              </w:rPr>
              <w:t>区</w:t>
            </w:r>
            <w:r>
              <w:rPr>
                <w:rFonts w:hint="eastAsia"/>
                <w:sz w:val="24"/>
              </w:rPr>
              <w:t>渗滤液收集池、危废暂存库</w:t>
            </w:r>
            <w:r>
              <w:rPr>
                <w:sz w:val="24"/>
                <w:lang w:val="zh-CN"/>
              </w:rPr>
              <w:t>可能会发生</w:t>
            </w:r>
            <w:r>
              <w:rPr>
                <w:sz w:val="24"/>
              </w:rPr>
              <w:t>泄漏</w:t>
            </w:r>
            <w:r>
              <w:rPr>
                <w:sz w:val="24"/>
                <w:lang w:val="zh-CN"/>
              </w:rPr>
              <w:t>等情况，地面防渗层发生破损，会导致</w:t>
            </w:r>
            <w:r>
              <w:rPr>
                <w:rFonts w:hint="eastAsia"/>
                <w:sz w:val="24"/>
              </w:rPr>
              <w:t>渗滤液、</w:t>
            </w:r>
            <w:r>
              <w:rPr>
                <w:sz w:val="24"/>
                <w:lang w:val="zh-CN"/>
              </w:rPr>
              <w:t>废机油通过地面缝隙渗漏进入土壤，对周边土壤造成污染，长时间</w:t>
            </w:r>
            <w:r>
              <w:rPr>
                <w:sz w:val="24"/>
              </w:rPr>
              <w:t>泄漏</w:t>
            </w:r>
            <w:r>
              <w:rPr>
                <w:sz w:val="24"/>
                <w:lang w:val="zh-CN"/>
              </w:rPr>
              <w:t>可能深入地下对地下水造成污染</w:t>
            </w:r>
            <w:r>
              <w:rPr>
                <w:sz w:val="24"/>
              </w:rPr>
              <w:t>。</w:t>
            </w:r>
          </w:p>
          <w:p w14:paraId="4F8B33D5">
            <w:pPr>
              <w:adjustRightInd w:val="0"/>
              <w:snapToGrid w:val="0"/>
              <w:spacing w:line="360" w:lineRule="auto"/>
              <w:ind w:firstLine="480" w:firstLineChars="200"/>
              <w:rPr>
                <w:sz w:val="24"/>
                <w:lang w:val="zh-CN"/>
              </w:rPr>
            </w:pPr>
            <w:r>
              <w:rPr>
                <w:sz w:val="24"/>
                <w:lang w:val="zh-CN"/>
              </w:rPr>
              <w:t>本项目对土壤、地下水的污染源、污染物类型及污染途径详见下表：</w:t>
            </w:r>
          </w:p>
          <w:p w14:paraId="0C6759D2">
            <w:pPr>
              <w:pStyle w:val="49"/>
              <w:adjustRightInd w:val="0"/>
              <w:snapToGrid w:val="0"/>
              <w:rPr>
                <w:rStyle w:val="84"/>
                <w:b/>
                <w:szCs w:val="21"/>
              </w:rPr>
            </w:pPr>
            <w:r>
              <w:rPr>
                <w:rStyle w:val="84"/>
                <w:b/>
                <w:szCs w:val="21"/>
              </w:rPr>
              <w:t>表4-1</w:t>
            </w:r>
            <w:r>
              <w:rPr>
                <w:rStyle w:val="84"/>
                <w:rFonts w:hint="eastAsia"/>
                <w:b/>
                <w:szCs w:val="21"/>
              </w:rPr>
              <w:t>0</w:t>
            </w:r>
            <w:r>
              <w:rPr>
                <w:rStyle w:val="84"/>
                <w:b/>
                <w:szCs w:val="21"/>
              </w:rPr>
              <w:t xml:space="preserve">  项目土壤、地下水环境污染源、污染物类型和污染途径识别表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3293"/>
              <w:gridCol w:w="2464"/>
            </w:tblGrid>
            <w:tr w14:paraId="612C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8" w:type="pct"/>
                  <w:vAlign w:val="center"/>
                </w:tcPr>
                <w:p w14:paraId="172A9808">
                  <w:pPr>
                    <w:pStyle w:val="49"/>
                    <w:adjustRightInd w:val="0"/>
                    <w:snapToGrid w:val="0"/>
                    <w:rPr>
                      <w:rStyle w:val="84"/>
                      <w:b/>
                      <w:szCs w:val="21"/>
                    </w:rPr>
                  </w:pPr>
                  <w:r>
                    <w:rPr>
                      <w:rStyle w:val="84"/>
                      <w:b/>
                      <w:szCs w:val="21"/>
                    </w:rPr>
                    <w:t>污染源</w:t>
                  </w:r>
                </w:p>
              </w:tc>
              <w:tc>
                <w:tcPr>
                  <w:tcW w:w="1945" w:type="pct"/>
                  <w:vAlign w:val="center"/>
                </w:tcPr>
                <w:p w14:paraId="33A63463">
                  <w:pPr>
                    <w:pStyle w:val="49"/>
                    <w:adjustRightInd w:val="0"/>
                    <w:snapToGrid w:val="0"/>
                    <w:rPr>
                      <w:rStyle w:val="84"/>
                      <w:b/>
                      <w:szCs w:val="21"/>
                    </w:rPr>
                  </w:pPr>
                  <w:r>
                    <w:rPr>
                      <w:rStyle w:val="84"/>
                      <w:b/>
                      <w:szCs w:val="21"/>
                    </w:rPr>
                    <w:t>污染物类型</w:t>
                  </w:r>
                </w:p>
              </w:tc>
              <w:tc>
                <w:tcPr>
                  <w:tcW w:w="1456" w:type="pct"/>
                  <w:vAlign w:val="center"/>
                </w:tcPr>
                <w:p w14:paraId="7678EA7B">
                  <w:pPr>
                    <w:pStyle w:val="49"/>
                    <w:adjustRightInd w:val="0"/>
                    <w:snapToGrid w:val="0"/>
                    <w:rPr>
                      <w:rStyle w:val="84"/>
                      <w:b/>
                      <w:szCs w:val="21"/>
                    </w:rPr>
                  </w:pPr>
                  <w:r>
                    <w:rPr>
                      <w:rStyle w:val="84"/>
                      <w:b/>
                      <w:szCs w:val="21"/>
                    </w:rPr>
                    <w:t>污染途径</w:t>
                  </w:r>
                </w:p>
              </w:tc>
            </w:tr>
            <w:tr w14:paraId="37E6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8" w:type="pct"/>
                  <w:vAlign w:val="center"/>
                </w:tcPr>
                <w:p w14:paraId="33A1CA44">
                  <w:pPr>
                    <w:pStyle w:val="49"/>
                    <w:adjustRightInd w:val="0"/>
                    <w:snapToGrid w:val="0"/>
                    <w:rPr>
                      <w:rStyle w:val="84"/>
                      <w:bCs/>
                      <w:szCs w:val="21"/>
                    </w:rPr>
                  </w:pPr>
                  <w:r>
                    <w:rPr>
                      <w:rStyle w:val="84"/>
                      <w:rFonts w:hint="eastAsia"/>
                      <w:bCs/>
                      <w:szCs w:val="21"/>
                    </w:rPr>
                    <w:t>危废暂存库</w:t>
                  </w:r>
                </w:p>
              </w:tc>
              <w:tc>
                <w:tcPr>
                  <w:tcW w:w="1945" w:type="pct"/>
                  <w:vAlign w:val="center"/>
                </w:tcPr>
                <w:p w14:paraId="747DEBDF">
                  <w:pPr>
                    <w:pStyle w:val="49"/>
                    <w:adjustRightInd w:val="0"/>
                    <w:snapToGrid w:val="0"/>
                    <w:rPr>
                      <w:rStyle w:val="84"/>
                      <w:bCs/>
                      <w:szCs w:val="21"/>
                    </w:rPr>
                  </w:pPr>
                  <w:r>
                    <w:rPr>
                      <w:rStyle w:val="84"/>
                      <w:bCs/>
                      <w:szCs w:val="21"/>
                    </w:rPr>
                    <w:t>废机油</w:t>
                  </w:r>
                </w:p>
              </w:tc>
              <w:tc>
                <w:tcPr>
                  <w:tcW w:w="1456" w:type="pct"/>
                  <w:vAlign w:val="center"/>
                </w:tcPr>
                <w:p w14:paraId="515602E9">
                  <w:pPr>
                    <w:pStyle w:val="49"/>
                    <w:adjustRightInd w:val="0"/>
                    <w:snapToGrid w:val="0"/>
                    <w:rPr>
                      <w:rStyle w:val="84"/>
                      <w:bCs/>
                      <w:szCs w:val="21"/>
                    </w:rPr>
                  </w:pPr>
                  <w:r>
                    <w:rPr>
                      <w:rStyle w:val="84"/>
                      <w:bCs/>
                      <w:szCs w:val="21"/>
                    </w:rPr>
                    <w:t>垂直入渗</w:t>
                  </w:r>
                </w:p>
              </w:tc>
            </w:tr>
            <w:tr w14:paraId="2568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8" w:type="pct"/>
                  <w:vAlign w:val="center"/>
                </w:tcPr>
                <w:p w14:paraId="552DF8C0">
                  <w:pPr>
                    <w:pStyle w:val="49"/>
                    <w:adjustRightInd w:val="0"/>
                    <w:snapToGrid w:val="0"/>
                    <w:rPr>
                      <w:rStyle w:val="84"/>
                      <w:bCs/>
                      <w:szCs w:val="21"/>
                    </w:rPr>
                  </w:pPr>
                  <w:r>
                    <w:rPr>
                      <w:rStyle w:val="84"/>
                      <w:rFonts w:hint="eastAsia"/>
                      <w:bCs/>
                      <w:szCs w:val="21"/>
                    </w:rPr>
                    <w:t>渗滤液收集池</w:t>
                  </w:r>
                </w:p>
              </w:tc>
              <w:tc>
                <w:tcPr>
                  <w:tcW w:w="1945" w:type="pct"/>
                  <w:vAlign w:val="center"/>
                </w:tcPr>
                <w:p w14:paraId="2B5D783E">
                  <w:pPr>
                    <w:pStyle w:val="49"/>
                    <w:adjustRightInd w:val="0"/>
                    <w:snapToGrid w:val="0"/>
                    <w:rPr>
                      <w:rStyle w:val="84"/>
                      <w:bCs/>
                      <w:szCs w:val="21"/>
                    </w:rPr>
                  </w:pPr>
                  <w:r>
                    <w:rPr>
                      <w:rStyle w:val="84"/>
                      <w:rFonts w:hint="eastAsia"/>
                      <w:bCs/>
                      <w:szCs w:val="21"/>
                    </w:rPr>
                    <w:t>渗滤液</w:t>
                  </w:r>
                </w:p>
              </w:tc>
              <w:tc>
                <w:tcPr>
                  <w:tcW w:w="1456" w:type="pct"/>
                  <w:vAlign w:val="center"/>
                </w:tcPr>
                <w:p w14:paraId="16DA044E">
                  <w:pPr>
                    <w:pStyle w:val="49"/>
                    <w:adjustRightInd w:val="0"/>
                    <w:snapToGrid w:val="0"/>
                    <w:rPr>
                      <w:rStyle w:val="84"/>
                      <w:bCs/>
                      <w:szCs w:val="21"/>
                    </w:rPr>
                  </w:pPr>
                  <w:r>
                    <w:rPr>
                      <w:rStyle w:val="84"/>
                      <w:bCs/>
                      <w:szCs w:val="21"/>
                    </w:rPr>
                    <w:t>垂直入渗</w:t>
                  </w:r>
                </w:p>
              </w:tc>
            </w:tr>
          </w:tbl>
          <w:p w14:paraId="3ADFEFD2">
            <w:pPr>
              <w:adjustRightInd w:val="0"/>
              <w:snapToGrid w:val="0"/>
              <w:spacing w:before="120" w:beforeLines="50" w:line="360" w:lineRule="auto"/>
              <w:ind w:firstLine="482" w:firstLineChars="200"/>
              <w:rPr>
                <w:b/>
                <w:bCs/>
                <w:sz w:val="24"/>
              </w:rPr>
            </w:pPr>
            <w:r>
              <w:rPr>
                <w:b/>
                <w:bCs/>
                <w:sz w:val="24"/>
              </w:rPr>
              <w:t>2、保护措施</w:t>
            </w:r>
          </w:p>
          <w:p w14:paraId="76D3CB6B">
            <w:pPr>
              <w:adjustRightInd w:val="0"/>
              <w:snapToGrid w:val="0"/>
              <w:spacing w:line="360" w:lineRule="auto"/>
              <w:ind w:firstLine="480" w:firstLineChars="200"/>
              <w:rPr>
                <w:sz w:val="24"/>
              </w:rPr>
            </w:pPr>
            <w:bookmarkStart w:id="33" w:name="_Toc23775"/>
            <w:r>
              <w:rPr>
                <w:sz w:val="24"/>
              </w:rPr>
              <w:t>（1）源头控制措施</w:t>
            </w:r>
            <w:bookmarkEnd w:id="33"/>
          </w:p>
          <w:p w14:paraId="2863ECFA">
            <w:pPr>
              <w:adjustRightInd w:val="0"/>
              <w:snapToGrid w:val="0"/>
              <w:spacing w:line="360" w:lineRule="auto"/>
              <w:ind w:firstLine="480" w:firstLineChars="200"/>
              <w:rPr>
                <w:sz w:val="24"/>
              </w:rPr>
            </w:pPr>
            <w:r>
              <w:rPr>
                <w:sz w:val="24"/>
                <w:lang w:val="zh-CN"/>
              </w:rPr>
              <w:t>●项目应严格按照国家相关规范要求，对管道、设备、各工作间和处理构筑物采取相应措施，以防止和降低污染物的跑、冒、滴、漏，将污染物泄漏的环境风险事故降到最低程度。</w:t>
            </w:r>
          </w:p>
          <w:p w14:paraId="4D1C6EEA">
            <w:pPr>
              <w:adjustRightInd w:val="0"/>
              <w:snapToGrid w:val="0"/>
              <w:spacing w:line="360" w:lineRule="auto"/>
              <w:ind w:firstLine="480" w:firstLineChars="200"/>
              <w:rPr>
                <w:sz w:val="24"/>
              </w:rPr>
            </w:pPr>
            <w:bookmarkStart w:id="34" w:name="_Toc18671"/>
            <w:r>
              <w:rPr>
                <w:sz w:val="24"/>
              </w:rPr>
              <w:t>（2）分区防控措施</w:t>
            </w:r>
            <w:bookmarkEnd w:id="34"/>
          </w:p>
          <w:p w14:paraId="1954024B">
            <w:pPr>
              <w:spacing w:line="360" w:lineRule="auto"/>
              <w:ind w:firstLine="480" w:firstLineChars="200"/>
              <w:rPr>
                <w:sz w:val="24"/>
              </w:rPr>
            </w:pPr>
            <w:r>
              <w:rPr>
                <w:sz w:val="24"/>
              </w:rPr>
              <w:t>重点防渗区：本项目的重点防渗区主要为</w:t>
            </w:r>
            <w:r>
              <w:rPr>
                <w:rFonts w:hint="eastAsia"/>
                <w:sz w:val="24"/>
              </w:rPr>
              <w:t>危废暂存库，</w:t>
            </w:r>
            <w:r>
              <w:rPr>
                <w:sz w:val="24"/>
              </w:rPr>
              <w:t>针对本项目，建议对</w:t>
            </w:r>
            <w:r>
              <w:rPr>
                <w:rFonts w:hint="eastAsia"/>
                <w:sz w:val="24"/>
              </w:rPr>
              <w:t>危废暂存库</w:t>
            </w:r>
            <w:r>
              <w:rPr>
                <w:sz w:val="24"/>
              </w:rPr>
              <w:t>按《危险废物贮存污染控制标准》（GB18597-2023）要求进行建设</w:t>
            </w:r>
            <w:r>
              <w:rPr>
                <w:rFonts w:hint="eastAsia"/>
                <w:sz w:val="24"/>
              </w:rPr>
              <w:t>，</w:t>
            </w:r>
            <w:r>
              <w:rPr>
                <w:sz w:val="24"/>
              </w:rPr>
              <w:t>针对重点防渗区，可通过下述措施使重点污染区各单元防渗层渗透系数</w:t>
            </w:r>
            <w:r>
              <w:rPr>
                <w:rFonts w:hint="eastAsia"/>
                <w:sz w:val="24"/>
              </w:rPr>
              <w:t>达到防渗要求</w:t>
            </w:r>
            <w:r>
              <w:rPr>
                <w:sz w:val="24"/>
              </w:rPr>
              <w:t>，主要采取措施（自上而下）：</w:t>
            </w:r>
          </w:p>
          <w:p w14:paraId="1B5C66BB">
            <w:pPr>
              <w:spacing w:line="360" w:lineRule="auto"/>
              <w:ind w:firstLine="480" w:firstLineChars="200"/>
              <w:rPr>
                <w:sz w:val="24"/>
              </w:rPr>
            </w:pPr>
            <w:r>
              <w:rPr>
                <w:sz w:val="24"/>
              </w:rPr>
              <w:t>A、采用铁桶或其它容器盛装液体原材料，以杜绝渗漏洞；建议</w:t>
            </w:r>
            <w:r>
              <w:rPr>
                <w:rFonts w:hint="eastAsia"/>
                <w:sz w:val="24"/>
              </w:rPr>
              <w:t>危废暂存库</w:t>
            </w:r>
            <w:r>
              <w:rPr>
                <w:sz w:val="24"/>
              </w:rPr>
              <w:t>设底部铝合金托盘，将危废与地面彻底隔绝。</w:t>
            </w:r>
          </w:p>
          <w:p w14:paraId="376BE625">
            <w:pPr>
              <w:spacing w:line="360" w:lineRule="auto"/>
              <w:ind w:firstLine="480" w:firstLineChars="200"/>
              <w:rPr>
                <w:sz w:val="24"/>
                <w:lang w:val="zh-CN"/>
              </w:rPr>
            </w:pPr>
            <w:r>
              <w:rPr>
                <w:sz w:val="24"/>
                <w:lang w:val="zh-CN"/>
              </w:rPr>
              <w:t>B、</w:t>
            </w:r>
            <w:r>
              <w:rPr>
                <w:rFonts w:hint="eastAsia"/>
                <w:sz w:val="24"/>
                <w:lang w:val="zh-CN"/>
              </w:rPr>
              <w:t>危废暂存库</w:t>
            </w:r>
            <w:r>
              <w:rPr>
                <w:sz w:val="24"/>
                <w:lang w:val="zh-CN"/>
              </w:rPr>
              <w:t>地面的表面防渗层为至少2mm厚高密度聚乙烯膜等人工防渗材料（渗透系数不大于10</w:t>
            </w:r>
            <w:r>
              <w:rPr>
                <w:sz w:val="24"/>
                <w:vertAlign w:val="superscript"/>
                <w:lang w:val="zh-CN"/>
              </w:rPr>
              <w:t>-10</w:t>
            </w:r>
            <w:r>
              <w:rPr>
                <w:sz w:val="24"/>
                <w:lang w:val="zh-CN"/>
              </w:rPr>
              <w:t>cm/s），或其他防渗性能等效的材料，凡墙与地面相交的墙立面铺装180mm高的踢脚线（围堰）。</w:t>
            </w:r>
          </w:p>
          <w:p w14:paraId="535FC9DE">
            <w:pPr>
              <w:spacing w:line="360" w:lineRule="auto"/>
              <w:ind w:firstLine="480" w:firstLineChars="200"/>
              <w:rPr>
                <w:sz w:val="24"/>
              </w:rPr>
            </w:pPr>
            <w:r>
              <w:rPr>
                <w:rFonts w:hint="eastAsia"/>
                <w:sz w:val="24"/>
              </w:rPr>
              <w:t>C、导流沟</w:t>
            </w:r>
            <w:r>
              <w:rPr>
                <w:sz w:val="24"/>
              </w:rPr>
              <w:t>按《</w:t>
            </w:r>
            <w:r>
              <w:rPr>
                <w:rFonts w:hint="eastAsia"/>
                <w:sz w:val="24"/>
              </w:rPr>
              <w:t>环境影响环评技术导则地下水环境</w:t>
            </w:r>
            <w:r>
              <w:rPr>
                <w:sz w:val="24"/>
              </w:rPr>
              <w:t>》（</w:t>
            </w:r>
            <w:r>
              <w:rPr>
                <w:rFonts w:hint="eastAsia"/>
                <w:sz w:val="24"/>
              </w:rPr>
              <w:t>HJ610</w:t>
            </w:r>
            <w:r>
              <w:rPr>
                <w:sz w:val="24"/>
              </w:rPr>
              <w:t>-2</w:t>
            </w:r>
            <w:r>
              <w:rPr>
                <w:rFonts w:hint="eastAsia"/>
                <w:sz w:val="24"/>
              </w:rPr>
              <w:t>016</w:t>
            </w:r>
            <w:r>
              <w:rPr>
                <w:sz w:val="24"/>
              </w:rPr>
              <w:t>）要求进行建设</w:t>
            </w:r>
            <w:r>
              <w:rPr>
                <w:rFonts w:hint="eastAsia"/>
                <w:sz w:val="24"/>
              </w:rPr>
              <w:t>，</w:t>
            </w:r>
            <w:r>
              <w:rPr>
                <w:sz w:val="24"/>
              </w:rPr>
              <w:t>地面刷环氧树脂等防腐、防渗措施，各防渗措施等效黏土防渗层Mb≥6m，防渗透系数不大于1×10</w:t>
            </w:r>
            <w:r>
              <w:rPr>
                <w:sz w:val="24"/>
                <w:vertAlign w:val="superscript"/>
              </w:rPr>
              <w:t>-</w:t>
            </w:r>
            <w:r>
              <w:rPr>
                <w:rFonts w:hint="eastAsia"/>
                <w:sz w:val="24"/>
                <w:vertAlign w:val="superscript"/>
              </w:rPr>
              <w:t>7</w:t>
            </w:r>
            <w:r>
              <w:rPr>
                <w:sz w:val="24"/>
              </w:rPr>
              <w:t>cm/s。</w:t>
            </w:r>
          </w:p>
          <w:p w14:paraId="6D87C991">
            <w:pPr>
              <w:spacing w:line="360" w:lineRule="auto"/>
              <w:ind w:firstLine="480" w:firstLineChars="200"/>
              <w:rPr>
                <w:sz w:val="24"/>
                <w:lang w:val="zh-CN"/>
              </w:rPr>
            </w:pPr>
            <w:r>
              <w:rPr>
                <w:rFonts w:hint="eastAsia"/>
                <w:sz w:val="24"/>
              </w:rPr>
              <w:t>D、</w:t>
            </w:r>
            <w:r>
              <w:rPr>
                <w:sz w:val="24"/>
                <w:lang w:val="zh-CN"/>
              </w:rPr>
              <w:t>定期对</w:t>
            </w:r>
            <w:r>
              <w:rPr>
                <w:rFonts w:hint="eastAsia"/>
                <w:sz w:val="24"/>
                <w:lang w:val="zh-CN"/>
              </w:rPr>
              <w:t>危废暂存库</w:t>
            </w:r>
            <w:r>
              <w:rPr>
                <w:sz w:val="24"/>
                <w:lang w:val="zh-CN"/>
              </w:rPr>
              <w:t>侧壁进行检查，一旦出现裂、渗情况，要及时修理。</w:t>
            </w:r>
          </w:p>
          <w:p w14:paraId="0DE082AE">
            <w:pPr>
              <w:spacing w:line="360" w:lineRule="auto"/>
              <w:ind w:firstLine="480" w:firstLineChars="200"/>
              <w:rPr>
                <w:sz w:val="24"/>
              </w:rPr>
            </w:pPr>
            <w:r>
              <w:rPr>
                <w:rFonts w:hint="eastAsia"/>
                <w:sz w:val="24"/>
              </w:rPr>
              <w:t>E、</w:t>
            </w:r>
            <w:r>
              <w:rPr>
                <w:sz w:val="24"/>
                <w:lang w:val="zh-CN"/>
              </w:rPr>
              <w:t>加强管理，完善管理机制，建立严格的管理制度，遵守操作规程，尽量避免污染物下渗。</w:t>
            </w:r>
          </w:p>
          <w:p w14:paraId="1C084209">
            <w:pPr>
              <w:spacing w:line="360" w:lineRule="auto"/>
              <w:ind w:firstLine="480" w:firstLineChars="200"/>
              <w:rPr>
                <w:sz w:val="24"/>
              </w:rPr>
            </w:pPr>
            <w:r>
              <w:rPr>
                <w:sz w:val="24"/>
              </w:rPr>
              <w:t>（</w:t>
            </w:r>
            <w:r>
              <w:rPr>
                <w:rFonts w:hint="eastAsia"/>
                <w:sz w:val="24"/>
              </w:rPr>
              <w:t>3</w:t>
            </w:r>
            <w:r>
              <w:rPr>
                <w:sz w:val="24"/>
              </w:rPr>
              <w:t>）一般防渗区防渗措施</w:t>
            </w:r>
          </w:p>
          <w:p w14:paraId="6472525B">
            <w:pPr>
              <w:spacing w:line="360" w:lineRule="auto"/>
              <w:ind w:firstLine="480" w:firstLineChars="200"/>
              <w:rPr>
                <w:sz w:val="24"/>
              </w:rPr>
            </w:pPr>
            <w:r>
              <w:rPr>
                <w:sz w:val="24"/>
              </w:rPr>
              <w:t>一般防渗区：本项目的一般防渗区主要为</w:t>
            </w:r>
            <w:r>
              <w:rPr>
                <w:rFonts w:hint="eastAsia"/>
                <w:sz w:val="24"/>
              </w:rPr>
              <w:t>原料库、一般固废暂存库、渗滤液收集池、发酵区</w:t>
            </w:r>
            <w:r>
              <w:rPr>
                <w:sz w:val="24"/>
              </w:rPr>
              <w:t>。一般防渗区地面</w:t>
            </w:r>
            <w:r>
              <w:rPr>
                <w:rFonts w:hint="eastAsia"/>
                <w:sz w:val="24"/>
              </w:rPr>
              <w:t>满足</w:t>
            </w:r>
            <w:r>
              <w:rPr>
                <w:sz w:val="24"/>
              </w:rPr>
              <w:t>等效黏土防渗层Mb≥1.5m，K≤1.0×10</w:t>
            </w:r>
            <w:r>
              <w:rPr>
                <w:sz w:val="24"/>
                <w:vertAlign w:val="superscript"/>
              </w:rPr>
              <w:t>-7</w:t>
            </w:r>
            <w:r>
              <w:rPr>
                <w:sz w:val="24"/>
              </w:rPr>
              <w:t>cm/s。</w:t>
            </w:r>
          </w:p>
          <w:p w14:paraId="7525D6BD">
            <w:pPr>
              <w:spacing w:line="360" w:lineRule="auto"/>
              <w:ind w:firstLine="480" w:firstLineChars="200"/>
              <w:rPr>
                <w:sz w:val="24"/>
              </w:rPr>
            </w:pPr>
            <w:r>
              <w:rPr>
                <w:rFonts w:hint="eastAsia"/>
                <w:sz w:val="24"/>
              </w:rPr>
              <w:t>（4）简单防渗区防渗措施</w:t>
            </w:r>
          </w:p>
          <w:p w14:paraId="45C77B92">
            <w:pPr>
              <w:spacing w:line="360" w:lineRule="auto"/>
              <w:ind w:firstLine="480" w:firstLineChars="200"/>
              <w:rPr>
                <w:sz w:val="24"/>
              </w:rPr>
            </w:pPr>
            <w:r>
              <w:rPr>
                <w:rFonts w:hint="eastAsia"/>
                <w:sz w:val="24"/>
              </w:rPr>
              <w:t>简单防渗区：本项目简单防渗区为除了重点防渗区和一般防渗区以外的其他区域。简单防渗区地面进行硬化处理。</w:t>
            </w:r>
          </w:p>
          <w:p w14:paraId="63206749">
            <w:pPr>
              <w:spacing w:line="360" w:lineRule="auto"/>
              <w:ind w:firstLine="480" w:firstLineChars="200"/>
              <w:rPr>
                <w:sz w:val="24"/>
              </w:rPr>
            </w:pPr>
            <w:r>
              <w:rPr>
                <w:sz w:val="24"/>
              </w:rPr>
              <w:t>综上，由污染途径及对应措施分析可知，项目对可能产生地下水影响的各项途径均进行有效预防；在确保各项防渗措施得以落实，并加强维护和厂区环境管理的前提下，可有效控制厂区内的废水污染物下渗现象，避免污染地下水和土壤。</w:t>
            </w:r>
          </w:p>
          <w:p w14:paraId="030D037D">
            <w:pPr>
              <w:spacing w:line="360" w:lineRule="auto"/>
              <w:ind w:firstLine="480" w:firstLineChars="200"/>
              <w:rPr>
                <w:b/>
                <w:bCs/>
                <w:sz w:val="24"/>
              </w:rPr>
            </w:pPr>
            <w:r>
              <w:rPr>
                <w:sz w:val="24"/>
              </w:rPr>
              <w:t>因此，采取以上措施后正常状态下，厂区的地表与地下的水力联系基本被切断，污染物不会规模性渗入地下水，本项目不会对区域地下水环境产生明显影响。</w:t>
            </w:r>
          </w:p>
          <w:p w14:paraId="5890663D">
            <w:pPr>
              <w:pStyle w:val="15"/>
              <w:adjustRightInd w:val="0"/>
              <w:spacing w:line="360" w:lineRule="auto"/>
              <w:ind w:firstLine="482" w:firstLineChars="200"/>
              <w:rPr>
                <w:b/>
                <w:bCs/>
                <w:sz w:val="24"/>
                <w:szCs w:val="24"/>
              </w:rPr>
            </w:pPr>
            <w:r>
              <w:rPr>
                <w:rFonts w:hint="eastAsia"/>
                <w:b/>
                <w:bCs/>
                <w:sz w:val="24"/>
                <w:szCs w:val="24"/>
              </w:rPr>
              <w:t>六</w:t>
            </w:r>
            <w:r>
              <w:rPr>
                <w:b/>
                <w:bCs/>
                <w:sz w:val="24"/>
                <w:szCs w:val="24"/>
              </w:rPr>
              <w:t>、环境风险</w:t>
            </w:r>
          </w:p>
          <w:p w14:paraId="005922EA">
            <w:pPr>
              <w:pStyle w:val="4"/>
              <w:keepNext w:val="0"/>
              <w:keepLines w:val="0"/>
              <w:spacing w:line="360" w:lineRule="auto"/>
              <w:ind w:firstLine="482" w:firstLineChars="200"/>
              <w:rPr>
                <w:rFonts w:ascii="Times New Roman" w:hAnsi="Times New Roman"/>
                <w:b/>
                <w:bCs/>
              </w:rPr>
            </w:pPr>
            <w:r>
              <w:rPr>
                <w:rFonts w:ascii="Times New Roman" w:hAnsi="Times New Roman"/>
                <w:b/>
                <w:bCs/>
              </w:rPr>
              <w:t>1、</w:t>
            </w:r>
            <w:r>
              <w:rPr>
                <w:rFonts w:ascii="Times New Roman" w:hAnsi="Times New Roman"/>
                <w:b/>
                <w:bCs/>
                <w:szCs w:val="24"/>
              </w:rPr>
              <w:t>风险识别</w:t>
            </w:r>
          </w:p>
          <w:p w14:paraId="4F340D20">
            <w:pPr>
              <w:adjustRightInd w:val="0"/>
              <w:snapToGrid w:val="0"/>
              <w:spacing w:line="360" w:lineRule="auto"/>
              <w:ind w:firstLine="480" w:firstLineChars="200"/>
              <w:rPr>
                <w:kern w:val="0"/>
                <w:sz w:val="24"/>
              </w:rPr>
            </w:pPr>
            <w:r>
              <w:rPr>
                <w:kern w:val="0"/>
                <w:sz w:val="24"/>
              </w:rPr>
              <w:t>1）物质风险识别</w:t>
            </w:r>
          </w:p>
          <w:p w14:paraId="5EB6A484">
            <w:pPr>
              <w:adjustRightInd w:val="0"/>
              <w:snapToGrid w:val="0"/>
              <w:spacing w:line="360" w:lineRule="auto"/>
              <w:ind w:firstLine="480" w:firstLineChars="200"/>
              <w:rPr>
                <w:kern w:val="0"/>
                <w:sz w:val="24"/>
              </w:rPr>
            </w:pPr>
            <w:r>
              <w:rPr>
                <w:kern w:val="0"/>
                <w:sz w:val="24"/>
              </w:rPr>
              <w:t>通过对项目生产过程中的主要原材料及辅助材料、中间产品、最终产品以及生产过程排放的“三废”污染物等进行识别，根据《建设项目环境风险评价技术导则》（HJ169-2018）、《企业突发环境事件风险分级方法》（HJ941-2018）以及《危险化学品重大危险源辨识》（GB18218-2018），项目风险物质为</w:t>
            </w:r>
            <w:r>
              <w:rPr>
                <w:rFonts w:hint="eastAsia"/>
                <w:kern w:val="0"/>
                <w:sz w:val="24"/>
              </w:rPr>
              <w:t>废矿物油</w:t>
            </w:r>
            <w:r>
              <w:rPr>
                <w:kern w:val="0"/>
                <w:sz w:val="24"/>
              </w:rPr>
              <w:t>，风险物质理化性质如下所示。</w:t>
            </w:r>
          </w:p>
          <w:p w14:paraId="023B2AEB">
            <w:pPr>
              <w:adjustRightInd w:val="0"/>
              <w:snapToGrid w:val="0"/>
              <w:spacing w:line="360" w:lineRule="auto"/>
              <w:ind w:firstLine="422" w:firstLineChars="200"/>
              <w:jc w:val="center"/>
              <w:rPr>
                <w:b/>
                <w:bCs/>
                <w:kern w:val="0"/>
                <w:sz w:val="24"/>
              </w:rPr>
            </w:pPr>
            <w:r>
              <w:rPr>
                <w:b/>
                <w:bCs/>
                <w:szCs w:val="21"/>
              </w:rPr>
              <w:t>表4-</w:t>
            </w:r>
            <w:r>
              <w:rPr>
                <w:rFonts w:hint="eastAsia"/>
                <w:b/>
                <w:bCs/>
                <w:szCs w:val="21"/>
              </w:rPr>
              <w:t>11</w:t>
            </w:r>
            <w:r>
              <w:rPr>
                <w:b/>
                <w:bCs/>
                <w:szCs w:val="21"/>
              </w:rPr>
              <w:t xml:space="preserve"> </w:t>
            </w:r>
            <w:r>
              <w:rPr>
                <w:rFonts w:hint="eastAsia"/>
                <w:b/>
                <w:bCs/>
                <w:szCs w:val="21"/>
              </w:rPr>
              <w:t xml:space="preserve"> </w:t>
            </w:r>
            <w:r>
              <w:rPr>
                <w:b/>
                <w:bCs/>
                <w:szCs w:val="21"/>
              </w:rPr>
              <w:t>机油的理化性质及危险特性表</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092"/>
              <w:gridCol w:w="376"/>
              <w:gridCol w:w="708"/>
              <w:gridCol w:w="760"/>
              <w:gridCol w:w="1077"/>
              <w:gridCol w:w="137"/>
              <w:gridCol w:w="779"/>
              <w:gridCol w:w="386"/>
              <w:gridCol w:w="608"/>
              <w:gridCol w:w="388"/>
              <w:gridCol w:w="432"/>
              <w:gridCol w:w="171"/>
              <w:gridCol w:w="301"/>
              <w:gridCol w:w="801"/>
            </w:tblGrid>
            <w:tr w14:paraId="0688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6815D9AC">
                  <w:pPr>
                    <w:jc w:val="center"/>
                    <w:rPr>
                      <w:szCs w:val="21"/>
                    </w:rPr>
                  </w:pPr>
                  <w:r>
                    <w:rPr>
                      <w:szCs w:val="21"/>
                    </w:rPr>
                    <w:t>标识</w:t>
                  </w:r>
                </w:p>
              </w:tc>
              <w:tc>
                <w:tcPr>
                  <w:tcW w:w="645" w:type="pct"/>
                  <w:vAlign w:val="center"/>
                </w:tcPr>
                <w:p w14:paraId="1053AC9B">
                  <w:pPr>
                    <w:jc w:val="center"/>
                    <w:rPr>
                      <w:szCs w:val="21"/>
                    </w:rPr>
                  </w:pPr>
                  <w:r>
                    <w:rPr>
                      <w:szCs w:val="21"/>
                    </w:rPr>
                    <w:t>中文名</w:t>
                  </w:r>
                </w:p>
              </w:tc>
              <w:tc>
                <w:tcPr>
                  <w:tcW w:w="640" w:type="pct"/>
                  <w:gridSpan w:val="2"/>
                  <w:vAlign w:val="center"/>
                </w:tcPr>
                <w:p w14:paraId="6846A63B">
                  <w:pPr>
                    <w:jc w:val="center"/>
                    <w:rPr>
                      <w:szCs w:val="21"/>
                    </w:rPr>
                  </w:pPr>
                  <w:r>
                    <w:rPr>
                      <w:szCs w:val="21"/>
                    </w:rPr>
                    <w:t>机油；润滑油</w:t>
                  </w:r>
                </w:p>
              </w:tc>
              <w:tc>
                <w:tcPr>
                  <w:tcW w:w="449" w:type="pct"/>
                  <w:vAlign w:val="center"/>
                </w:tcPr>
                <w:p w14:paraId="54CD32DD">
                  <w:pPr>
                    <w:jc w:val="center"/>
                    <w:rPr>
                      <w:szCs w:val="21"/>
                    </w:rPr>
                  </w:pPr>
                  <w:r>
                    <w:rPr>
                      <w:szCs w:val="21"/>
                    </w:rPr>
                    <w:t>英文名</w:t>
                  </w:r>
                </w:p>
              </w:tc>
              <w:tc>
                <w:tcPr>
                  <w:tcW w:w="1404" w:type="pct"/>
                  <w:gridSpan w:val="4"/>
                  <w:vAlign w:val="center"/>
                </w:tcPr>
                <w:p w14:paraId="2F5A581D">
                  <w:pPr>
                    <w:jc w:val="center"/>
                    <w:rPr>
                      <w:szCs w:val="21"/>
                    </w:rPr>
                  </w:pPr>
                  <w:r>
                    <w:rPr>
                      <w:szCs w:val="21"/>
                    </w:rPr>
                    <w:t>lubricating oil；Lube oil</w:t>
                  </w:r>
                </w:p>
              </w:tc>
              <w:tc>
                <w:tcPr>
                  <w:tcW w:w="944" w:type="pct"/>
                  <w:gridSpan w:val="4"/>
                  <w:vAlign w:val="center"/>
                </w:tcPr>
                <w:p w14:paraId="2637AD2B">
                  <w:pPr>
                    <w:jc w:val="center"/>
                    <w:rPr>
                      <w:szCs w:val="21"/>
                    </w:rPr>
                  </w:pPr>
                  <w:r>
                    <w:rPr>
                      <w:szCs w:val="21"/>
                    </w:rPr>
                    <w:t>危险货物编号</w:t>
                  </w:r>
                </w:p>
              </w:tc>
              <w:tc>
                <w:tcPr>
                  <w:tcW w:w="650" w:type="pct"/>
                  <w:gridSpan w:val="2"/>
                  <w:vAlign w:val="center"/>
                </w:tcPr>
                <w:p w14:paraId="1FA0D7D2">
                  <w:pPr>
                    <w:rPr>
                      <w:szCs w:val="21"/>
                    </w:rPr>
                  </w:pPr>
                  <w:r>
                    <w:rPr>
                      <w:szCs w:val="21"/>
                    </w:rPr>
                    <w:t>/</w:t>
                  </w:r>
                </w:p>
              </w:tc>
            </w:tr>
            <w:tr w14:paraId="70FB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vAlign w:val="center"/>
                </w:tcPr>
                <w:p w14:paraId="3480C8EE">
                  <w:pPr>
                    <w:rPr>
                      <w:szCs w:val="21"/>
                    </w:rPr>
                  </w:pPr>
                </w:p>
              </w:tc>
              <w:tc>
                <w:tcPr>
                  <w:tcW w:w="645" w:type="pct"/>
                  <w:vAlign w:val="center"/>
                </w:tcPr>
                <w:p w14:paraId="3A526796">
                  <w:pPr>
                    <w:jc w:val="center"/>
                    <w:rPr>
                      <w:szCs w:val="21"/>
                    </w:rPr>
                  </w:pPr>
                  <w:r>
                    <w:rPr>
                      <w:szCs w:val="21"/>
                    </w:rPr>
                    <w:t>分子式</w:t>
                  </w:r>
                </w:p>
              </w:tc>
              <w:tc>
                <w:tcPr>
                  <w:tcW w:w="640" w:type="pct"/>
                  <w:gridSpan w:val="2"/>
                  <w:vAlign w:val="center"/>
                </w:tcPr>
                <w:p w14:paraId="33A8D3A9">
                  <w:pPr>
                    <w:rPr>
                      <w:szCs w:val="21"/>
                    </w:rPr>
                  </w:pPr>
                  <w:r>
                    <w:rPr>
                      <w:szCs w:val="21"/>
                    </w:rPr>
                    <w:t>/</w:t>
                  </w:r>
                </w:p>
              </w:tc>
              <w:tc>
                <w:tcPr>
                  <w:tcW w:w="449" w:type="pct"/>
                  <w:vAlign w:val="center"/>
                </w:tcPr>
                <w:p w14:paraId="6F450610">
                  <w:pPr>
                    <w:jc w:val="center"/>
                    <w:rPr>
                      <w:szCs w:val="21"/>
                    </w:rPr>
                  </w:pPr>
                  <w:r>
                    <w:rPr>
                      <w:szCs w:val="21"/>
                    </w:rPr>
                    <w:t>分子量</w:t>
                  </w:r>
                </w:p>
              </w:tc>
              <w:tc>
                <w:tcPr>
                  <w:tcW w:w="715" w:type="pct"/>
                  <w:gridSpan w:val="2"/>
                  <w:vAlign w:val="center"/>
                </w:tcPr>
                <w:p w14:paraId="67EB7650">
                  <w:pPr>
                    <w:jc w:val="center"/>
                    <w:rPr>
                      <w:szCs w:val="21"/>
                    </w:rPr>
                  </w:pPr>
                  <w:r>
                    <w:rPr>
                      <w:szCs w:val="21"/>
                    </w:rPr>
                    <w:t>230～500</w:t>
                  </w:r>
                </w:p>
              </w:tc>
              <w:tc>
                <w:tcPr>
                  <w:tcW w:w="688" w:type="pct"/>
                  <w:gridSpan w:val="2"/>
                  <w:vAlign w:val="center"/>
                </w:tcPr>
                <w:p w14:paraId="1F95E4F4">
                  <w:pPr>
                    <w:jc w:val="center"/>
                    <w:rPr>
                      <w:szCs w:val="21"/>
                    </w:rPr>
                  </w:pPr>
                  <w:r>
                    <w:rPr>
                      <w:szCs w:val="21"/>
                    </w:rPr>
                    <w:t>UN编号</w:t>
                  </w:r>
                </w:p>
              </w:tc>
              <w:tc>
                <w:tcPr>
                  <w:tcW w:w="359" w:type="pct"/>
                  <w:vAlign w:val="center"/>
                </w:tcPr>
                <w:p w14:paraId="78C41118">
                  <w:pPr>
                    <w:rPr>
                      <w:szCs w:val="21"/>
                    </w:rPr>
                  </w:pPr>
                  <w:r>
                    <w:rPr>
                      <w:szCs w:val="21"/>
                    </w:rPr>
                    <w:t>/</w:t>
                  </w:r>
                </w:p>
              </w:tc>
              <w:tc>
                <w:tcPr>
                  <w:tcW w:w="584" w:type="pct"/>
                  <w:gridSpan w:val="3"/>
                  <w:vAlign w:val="center"/>
                </w:tcPr>
                <w:p w14:paraId="07AC6E6E">
                  <w:pPr>
                    <w:jc w:val="center"/>
                    <w:rPr>
                      <w:szCs w:val="21"/>
                    </w:rPr>
                  </w:pPr>
                  <w:r>
                    <w:rPr>
                      <w:szCs w:val="21"/>
                    </w:rPr>
                    <w:t>CAS编号</w:t>
                  </w:r>
                </w:p>
              </w:tc>
              <w:tc>
                <w:tcPr>
                  <w:tcW w:w="650" w:type="pct"/>
                  <w:gridSpan w:val="2"/>
                  <w:vAlign w:val="center"/>
                </w:tcPr>
                <w:p w14:paraId="79477E58">
                  <w:pPr>
                    <w:rPr>
                      <w:szCs w:val="21"/>
                    </w:rPr>
                  </w:pPr>
                  <w:r>
                    <w:rPr>
                      <w:szCs w:val="21"/>
                    </w:rPr>
                    <w:t>/</w:t>
                  </w:r>
                </w:p>
              </w:tc>
            </w:tr>
            <w:tr w14:paraId="0D36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45FC4D68">
                  <w:pPr>
                    <w:rPr>
                      <w:szCs w:val="21"/>
                    </w:rPr>
                  </w:pPr>
                </w:p>
              </w:tc>
              <w:tc>
                <w:tcPr>
                  <w:tcW w:w="645" w:type="pct"/>
                  <w:vAlign w:val="center"/>
                </w:tcPr>
                <w:p w14:paraId="3E27DB5E">
                  <w:pPr>
                    <w:jc w:val="center"/>
                    <w:rPr>
                      <w:szCs w:val="21"/>
                    </w:rPr>
                  </w:pPr>
                  <w:r>
                    <w:rPr>
                      <w:szCs w:val="21"/>
                    </w:rPr>
                    <w:t>危险类别</w:t>
                  </w:r>
                </w:p>
              </w:tc>
              <w:tc>
                <w:tcPr>
                  <w:tcW w:w="4088" w:type="pct"/>
                  <w:gridSpan w:val="13"/>
                </w:tcPr>
                <w:p w14:paraId="3ECC80C6">
                  <w:pPr>
                    <w:rPr>
                      <w:szCs w:val="21"/>
                    </w:rPr>
                  </w:pPr>
                  <w:r>
                    <w:rPr>
                      <w:szCs w:val="21"/>
                    </w:rPr>
                    <w:t>/</w:t>
                  </w:r>
                </w:p>
              </w:tc>
            </w:tr>
            <w:tr w14:paraId="4287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7372A68F">
                  <w:pPr>
                    <w:jc w:val="center"/>
                    <w:rPr>
                      <w:szCs w:val="21"/>
                    </w:rPr>
                  </w:pPr>
                  <w:r>
                    <w:rPr>
                      <w:szCs w:val="21"/>
                    </w:rPr>
                    <w:t>理化性质</w:t>
                  </w:r>
                </w:p>
              </w:tc>
              <w:tc>
                <w:tcPr>
                  <w:tcW w:w="645" w:type="pct"/>
                  <w:vAlign w:val="center"/>
                </w:tcPr>
                <w:p w14:paraId="492498E2">
                  <w:pPr>
                    <w:jc w:val="center"/>
                    <w:rPr>
                      <w:szCs w:val="21"/>
                    </w:rPr>
                  </w:pPr>
                  <w:r>
                    <w:rPr>
                      <w:szCs w:val="21"/>
                    </w:rPr>
                    <w:t>性状</w:t>
                  </w:r>
                </w:p>
              </w:tc>
              <w:tc>
                <w:tcPr>
                  <w:tcW w:w="4088" w:type="pct"/>
                  <w:gridSpan w:val="13"/>
                </w:tcPr>
                <w:p w14:paraId="0CFB45A6">
                  <w:pPr>
                    <w:rPr>
                      <w:szCs w:val="21"/>
                    </w:rPr>
                  </w:pPr>
                  <w:r>
                    <w:rPr>
                      <w:szCs w:val="21"/>
                    </w:rPr>
                    <w:t>油状液体，淡黄色至褐色，无气味或略带异味。</w:t>
                  </w:r>
                </w:p>
              </w:tc>
            </w:tr>
            <w:tr w14:paraId="4F6A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181CCA05">
                  <w:pPr>
                    <w:rPr>
                      <w:szCs w:val="21"/>
                    </w:rPr>
                  </w:pPr>
                </w:p>
              </w:tc>
              <w:tc>
                <w:tcPr>
                  <w:tcW w:w="867" w:type="pct"/>
                  <w:gridSpan w:val="2"/>
                  <w:vAlign w:val="center"/>
                </w:tcPr>
                <w:p w14:paraId="44334DEA">
                  <w:pPr>
                    <w:jc w:val="center"/>
                    <w:rPr>
                      <w:szCs w:val="21"/>
                    </w:rPr>
                  </w:pPr>
                  <w:r>
                    <w:rPr>
                      <w:szCs w:val="21"/>
                    </w:rPr>
                    <w:t>熔点（℃）</w:t>
                  </w:r>
                </w:p>
              </w:tc>
              <w:tc>
                <w:tcPr>
                  <w:tcW w:w="1584" w:type="pct"/>
                  <w:gridSpan w:val="4"/>
                  <w:vAlign w:val="center"/>
                </w:tcPr>
                <w:p w14:paraId="3DB2D627">
                  <w:pPr>
                    <w:rPr>
                      <w:szCs w:val="21"/>
                    </w:rPr>
                  </w:pPr>
                  <w:r>
                    <w:rPr>
                      <w:szCs w:val="21"/>
                    </w:rPr>
                    <w:t>/</w:t>
                  </w:r>
                </w:p>
              </w:tc>
              <w:tc>
                <w:tcPr>
                  <w:tcW w:w="1531" w:type="pct"/>
                  <w:gridSpan w:val="5"/>
                  <w:vAlign w:val="center"/>
                </w:tcPr>
                <w:p w14:paraId="56E719A5">
                  <w:pPr>
                    <w:jc w:val="center"/>
                    <w:rPr>
                      <w:szCs w:val="21"/>
                    </w:rPr>
                  </w:pPr>
                  <w:r>
                    <w:rPr>
                      <w:szCs w:val="21"/>
                    </w:rPr>
                    <w:t>临界压力（Mpa）</w:t>
                  </w:r>
                </w:p>
              </w:tc>
              <w:tc>
                <w:tcPr>
                  <w:tcW w:w="751" w:type="pct"/>
                  <w:gridSpan w:val="3"/>
                  <w:vAlign w:val="center"/>
                </w:tcPr>
                <w:p w14:paraId="3E2B34F9">
                  <w:pPr>
                    <w:rPr>
                      <w:szCs w:val="21"/>
                    </w:rPr>
                  </w:pPr>
                  <w:r>
                    <w:rPr>
                      <w:szCs w:val="21"/>
                    </w:rPr>
                    <w:t>/</w:t>
                  </w:r>
                </w:p>
              </w:tc>
            </w:tr>
            <w:tr w14:paraId="37D3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2F5AB001">
                  <w:pPr>
                    <w:rPr>
                      <w:szCs w:val="21"/>
                    </w:rPr>
                  </w:pPr>
                </w:p>
              </w:tc>
              <w:tc>
                <w:tcPr>
                  <w:tcW w:w="867" w:type="pct"/>
                  <w:gridSpan w:val="2"/>
                  <w:vAlign w:val="center"/>
                </w:tcPr>
                <w:p w14:paraId="089BE26B">
                  <w:pPr>
                    <w:jc w:val="center"/>
                    <w:rPr>
                      <w:szCs w:val="21"/>
                    </w:rPr>
                  </w:pPr>
                  <w:r>
                    <w:rPr>
                      <w:szCs w:val="21"/>
                    </w:rPr>
                    <w:t>沸点（℃）</w:t>
                  </w:r>
                </w:p>
              </w:tc>
              <w:tc>
                <w:tcPr>
                  <w:tcW w:w="1584" w:type="pct"/>
                  <w:gridSpan w:val="4"/>
                  <w:vAlign w:val="center"/>
                </w:tcPr>
                <w:p w14:paraId="3549D428">
                  <w:pPr>
                    <w:rPr>
                      <w:szCs w:val="21"/>
                    </w:rPr>
                  </w:pPr>
                  <w:r>
                    <w:rPr>
                      <w:szCs w:val="21"/>
                    </w:rPr>
                    <w:t>/</w:t>
                  </w:r>
                </w:p>
              </w:tc>
              <w:tc>
                <w:tcPr>
                  <w:tcW w:w="1531" w:type="pct"/>
                  <w:gridSpan w:val="5"/>
                  <w:vAlign w:val="center"/>
                </w:tcPr>
                <w:p w14:paraId="23CFAE71">
                  <w:pPr>
                    <w:jc w:val="center"/>
                    <w:rPr>
                      <w:szCs w:val="21"/>
                    </w:rPr>
                  </w:pPr>
                  <w:r>
                    <w:rPr>
                      <w:szCs w:val="21"/>
                    </w:rPr>
                    <w:t>相对密度（水＝1）</w:t>
                  </w:r>
                </w:p>
              </w:tc>
              <w:tc>
                <w:tcPr>
                  <w:tcW w:w="751" w:type="pct"/>
                  <w:gridSpan w:val="3"/>
                  <w:vAlign w:val="center"/>
                </w:tcPr>
                <w:p w14:paraId="74F88581">
                  <w:pPr>
                    <w:jc w:val="center"/>
                    <w:rPr>
                      <w:szCs w:val="21"/>
                    </w:rPr>
                  </w:pPr>
                  <w:r>
                    <w:rPr>
                      <w:szCs w:val="21"/>
                    </w:rPr>
                    <w:t>＜1</w:t>
                  </w:r>
                </w:p>
              </w:tc>
            </w:tr>
            <w:tr w14:paraId="6B6A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35E9888E">
                  <w:pPr>
                    <w:rPr>
                      <w:szCs w:val="21"/>
                    </w:rPr>
                  </w:pPr>
                </w:p>
              </w:tc>
              <w:tc>
                <w:tcPr>
                  <w:tcW w:w="867" w:type="pct"/>
                  <w:gridSpan w:val="2"/>
                  <w:vAlign w:val="center"/>
                </w:tcPr>
                <w:p w14:paraId="750E35AA">
                  <w:pPr>
                    <w:jc w:val="center"/>
                    <w:rPr>
                      <w:szCs w:val="21"/>
                    </w:rPr>
                  </w:pPr>
                  <w:r>
                    <w:rPr>
                      <w:szCs w:val="21"/>
                    </w:rPr>
                    <w:t>饱和蒸汽压（kpa）</w:t>
                  </w:r>
                </w:p>
              </w:tc>
              <w:tc>
                <w:tcPr>
                  <w:tcW w:w="1584" w:type="pct"/>
                  <w:gridSpan w:val="4"/>
                  <w:vAlign w:val="center"/>
                </w:tcPr>
                <w:p w14:paraId="0D58B9A4">
                  <w:pPr>
                    <w:rPr>
                      <w:szCs w:val="21"/>
                    </w:rPr>
                  </w:pPr>
                  <w:r>
                    <w:rPr>
                      <w:szCs w:val="21"/>
                    </w:rPr>
                    <w:t>/</w:t>
                  </w:r>
                </w:p>
              </w:tc>
              <w:tc>
                <w:tcPr>
                  <w:tcW w:w="1531" w:type="pct"/>
                  <w:gridSpan w:val="5"/>
                  <w:vAlign w:val="center"/>
                </w:tcPr>
                <w:p w14:paraId="161A2395">
                  <w:pPr>
                    <w:jc w:val="center"/>
                    <w:rPr>
                      <w:szCs w:val="21"/>
                    </w:rPr>
                  </w:pPr>
                  <w:r>
                    <w:rPr>
                      <w:szCs w:val="21"/>
                    </w:rPr>
                    <w:t>相对密度（空气＝1）</w:t>
                  </w:r>
                </w:p>
              </w:tc>
              <w:tc>
                <w:tcPr>
                  <w:tcW w:w="751" w:type="pct"/>
                  <w:gridSpan w:val="3"/>
                  <w:vAlign w:val="center"/>
                </w:tcPr>
                <w:p w14:paraId="61C1AB36">
                  <w:pPr>
                    <w:rPr>
                      <w:szCs w:val="21"/>
                    </w:rPr>
                  </w:pPr>
                  <w:r>
                    <w:rPr>
                      <w:szCs w:val="21"/>
                    </w:rPr>
                    <w:t>/</w:t>
                  </w:r>
                </w:p>
              </w:tc>
            </w:tr>
            <w:tr w14:paraId="28CA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6FE3CCBB">
                  <w:pPr>
                    <w:rPr>
                      <w:szCs w:val="21"/>
                    </w:rPr>
                  </w:pPr>
                </w:p>
              </w:tc>
              <w:tc>
                <w:tcPr>
                  <w:tcW w:w="867" w:type="pct"/>
                  <w:gridSpan w:val="2"/>
                  <w:vAlign w:val="center"/>
                </w:tcPr>
                <w:p w14:paraId="40CC4F18">
                  <w:pPr>
                    <w:jc w:val="center"/>
                    <w:rPr>
                      <w:szCs w:val="21"/>
                    </w:rPr>
                  </w:pPr>
                  <w:r>
                    <w:rPr>
                      <w:szCs w:val="21"/>
                    </w:rPr>
                    <w:t>临界温度（℃）</w:t>
                  </w:r>
                </w:p>
              </w:tc>
              <w:tc>
                <w:tcPr>
                  <w:tcW w:w="1584" w:type="pct"/>
                  <w:gridSpan w:val="4"/>
                  <w:vAlign w:val="center"/>
                </w:tcPr>
                <w:p w14:paraId="036CCD53">
                  <w:pPr>
                    <w:rPr>
                      <w:szCs w:val="21"/>
                    </w:rPr>
                  </w:pPr>
                  <w:r>
                    <w:rPr>
                      <w:szCs w:val="21"/>
                    </w:rPr>
                    <w:t>/</w:t>
                  </w:r>
                </w:p>
              </w:tc>
              <w:tc>
                <w:tcPr>
                  <w:tcW w:w="1531" w:type="pct"/>
                  <w:gridSpan w:val="5"/>
                  <w:vAlign w:val="center"/>
                </w:tcPr>
                <w:p w14:paraId="3956F75D">
                  <w:pPr>
                    <w:jc w:val="center"/>
                    <w:rPr>
                      <w:szCs w:val="21"/>
                    </w:rPr>
                  </w:pPr>
                  <w:r>
                    <w:rPr>
                      <w:szCs w:val="21"/>
                    </w:rPr>
                    <w:t>燃烧热（KJ·mol-1）</w:t>
                  </w:r>
                </w:p>
              </w:tc>
              <w:tc>
                <w:tcPr>
                  <w:tcW w:w="751" w:type="pct"/>
                  <w:gridSpan w:val="3"/>
                  <w:vAlign w:val="center"/>
                </w:tcPr>
                <w:p w14:paraId="29C7267E">
                  <w:pPr>
                    <w:rPr>
                      <w:szCs w:val="21"/>
                    </w:rPr>
                  </w:pPr>
                  <w:r>
                    <w:rPr>
                      <w:szCs w:val="21"/>
                    </w:rPr>
                    <w:t>/</w:t>
                  </w:r>
                </w:p>
              </w:tc>
            </w:tr>
            <w:tr w14:paraId="67DE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1A64E731">
                  <w:pPr>
                    <w:rPr>
                      <w:szCs w:val="21"/>
                    </w:rPr>
                  </w:pPr>
                </w:p>
              </w:tc>
              <w:tc>
                <w:tcPr>
                  <w:tcW w:w="867" w:type="pct"/>
                  <w:gridSpan w:val="2"/>
                  <w:vAlign w:val="center"/>
                </w:tcPr>
                <w:p w14:paraId="07749DE3">
                  <w:pPr>
                    <w:jc w:val="center"/>
                    <w:rPr>
                      <w:szCs w:val="21"/>
                    </w:rPr>
                  </w:pPr>
                  <w:r>
                    <w:rPr>
                      <w:szCs w:val="21"/>
                    </w:rPr>
                    <w:t>溶解性</w:t>
                  </w:r>
                </w:p>
              </w:tc>
              <w:tc>
                <w:tcPr>
                  <w:tcW w:w="3866" w:type="pct"/>
                  <w:gridSpan w:val="12"/>
                </w:tcPr>
                <w:p w14:paraId="0311C56A">
                  <w:pPr>
                    <w:rPr>
                      <w:szCs w:val="21"/>
                    </w:rPr>
                  </w:pPr>
                  <w:r>
                    <w:rPr>
                      <w:szCs w:val="21"/>
                    </w:rPr>
                    <w:t>不溶于水</w:t>
                  </w:r>
                </w:p>
              </w:tc>
            </w:tr>
            <w:tr w14:paraId="4122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2052DCF4">
                  <w:pPr>
                    <w:jc w:val="center"/>
                    <w:rPr>
                      <w:szCs w:val="21"/>
                    </w:rPr>
                  </w:pPr>
                  <w:r>
                    <w:rPr>
                      <w:szCs w:val="21"/>
                    </w:rPr>
                    <w:t>燃烧爆炸危险性</w:t>
                  </w:r>
                </w:p>
              </w:tc>
              <w:tc>
                <w:tcPr>
                  <w:tcW w:w="867" w:type="pct"/>
                  <w:gridSpan w:val="2"/>
                  <w:vAlign w:val="center"/>
                </w:tcPr>
                <w:p w14:paraId="199D1BC4">
                  <w:pPr>
                    <w:jc w:val="center"/>
                    <w:rPr>
                      <w:szCs w:val="21"/>
                    </w:rPr>
                  </w:pPr>
                  <w:r>
                    <w:rPr>
                      <w:szCs w:val="21"/>
                    </w:rPr>
                    <w:t>燃烧性</w:t>
                  </w:r>
                </w:p>
              </w:tc>
              <w:tc>
                <w:tcPr>
                  <w:tcW w:w="1584" w:type="pct"/>
                  <w:gridSpan w:val="4"/>
                  <w:vAlign w:val="center"/>
                </w:tcPr>
                <w:p w14:paraId="4AA160CD">
                  <w:pPr>
                    <w:jc w:val="center"/>
                    <w:rPr>
                      <w:szCs w:val="21"/>
                    </w:rPr>
                  </w:pPr>
                  <w:r>
                    <w:rPr>
                      <w:szCs w:val="21"/>
                    </w:rPr>
                    <w:t>可燃</w:t>
                  </w:r>
                </w:p>
              </w:tc>
              <w:tc>
                <w:tcPr>
                  <w:tcW w:w="1531" w:type="pct"/>
                  <w:gridSpan w:val="5"/>
                  <w:vAlign w:val="center"/>
                </w:tcPr>
                <w:p w14:paraId="58A23F98">
                  <w:pPr>
                    <w:jc w:val="center"/>
                    <w:rPr>
                      <w:szCs w:val="21"/>
                    </w:rPr>
                  </w:pPr>
                  <w:r>
                    <w:rPr>
                      <w:szCs w:val="21"/>
                    </w:rPr>
                    <w:t>闪点（℃）</w:t>
                  </w:r>
                </w:p>
              </w:tc>
              <w:tc>
                <w:tcPr>
                  <w:tcW w:w="751" w:type="pct"/>
                  <w:gridSpan w:val="3"/>
                  <w:vAlign w:val="center"/>
                </w:tcPr>
                <w:p w14:paraId="0FAB429C">
                  <w:pPr>
                    <w:jc w:val="center"/>
                    <w:rPr>
                      <w:szCs w:val="21"/>
                    </w:rPr>
                  </w:pPr>
                  <w:r>
                    <w:rPr>
                      <w:szCs w:val="21"/>
                    </w:rPr>
                    <w:t>76</w:t>
                  </w:r>
                </w:p>
              </w:tc>
            </w:tr>
            <w:tr w14:paraId="7B1E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15FEE889">
                  <w:pPr>
                    <w:rPr>
                      <w:szCs w:val="21"/>
                    </w:rPr>
                  </w:pPr>
                </w:p>
              </w:tc>
              <w:tc>
                <w:tcPr>
                  <w:tcW w:w="867" w:type="pct"/>
                  <w:gridSpan w:val="2"/>
                  <w:vAlign w:val="center"/>
                </w:tcPr>
                <w:p w14:paraId="495433EB">
                  <w:pPr>
                    <w:jc w:val="center"/>
                    <w:rPr>
                      <w:szCs w:val="21"/>
                    </w:rPr>
                  </w:pPr>
                  <w:r>
                    <w:rPr>
                      <w:szCs w:val="21"/>
                    </w:rPr>
                    <w:t>爆炸极限（％）</w:t>
                  </w:r>
                </w:p>
              </w:tc>
              <w:tc>
                <w:tcPr>
                  <w:tcW w:w="1584" w:type="pct"/>
                  <w:gridSpan w:val="4"/>
                  <w:vAlign w:val="center"/>
                </w:tcPr>
                <w:p w14:paraId="440E4EEA">
                  <w:pPr>
                    <w:jc w:val="center"/>
                    <w:rPr>
                      <w:szCs w:val="21"/>
                    </w:rPr>
                  </w:pPr>
                  <w:r>
                    <w:rPr>
                      <w:szCs w:val="21"/>
                    </w:rPr>
                    <w:t>无资料</w:t>
                  </w:r>
                </w:p>
              </w:tc>
              <w:tc>
                <w:tcPr>
                  <w:tcW w:w="1531" w:type="pct"/>
                  <w:gridSpan w:val="5"/>
                  <w:vAlign w:val="center"/>
                </w:tcPr>
                <w:p w14:paraId="2B1E28D9">
                  <w:pPr>
                    <w:jc w:val="center"/>
                    <w:rPr>
                      <w:szCs w:val="21"/>
                    </w:rPr>
                  </w:pPr>
                  <w:r>
                    <w:rPr>
                      <w:szCs w:val="21"/>
                    </w:rPr>
                    <w:t>最小点火能（MJ）</w:t>
                  </w:r>
                </w:p>
              </w:tc>
              <w:tc>
                <w:tcPr>
                  <w:tcW w:w="751" w:type="pct"/>
                  <w:gridSpan w:val="3"/>
                  <w:vAlign w:val="center"/>
                </w:tcPr>
                <w:p w14:paraId="4C62DC95">
                  <w:pPr>
                    <w:rPr>
                      <w:szCs w:val="21"/>
                    </w:rPr>
                  </w:pPr>
                  <w:r>
                    <w:rPr>
                      <w:szCs w:val="21"/>
                    </w:rPr>
                    <w:t>/</w:t>
                  </w:r>
                </w:p>
              </w:tc>
            </w:tr>
            <w:tr w14:paraId="22B4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7630E398">
                  <w:pPr>
                    <w:rPr>
                      <w:szCs w:val="21"/>
                    </w:rPr>
                  </w:pPr>
                </w:p>
              </w:tc>
              <w:tc>
                <w:tcPr>
                  <w:tcW w:w="867" w:type="pct"/>
                  <w:gridSpan w:val="2"/>
                  <w:vAlign w:val="center"/>
                </w:tcPr>
                <w:p w14:paraId="556C8034">
                  <w:pPr>
                    <w:jc w:val="center"/>
                    <w:rPr>
                      <w:szCs w:val="21"/>
                    </w:rPr>
                  </w:pPr>
                  <w:r>
                    <w:rPr>
                      <w:szCs w:val="21"/>
                    </w:rPr>
                    <w:t>引燃温度（℃）</w:t>
                  </w:r>
                </w:p>
              </w:tc>
              <w:tc>
                <w:tcPr>
                  <w:tcW w:w="1584" w:type="pct"/>
                  <w:gridSpan w:val="4"/>
                  <w:vAlign w:val="center"/>
                </w:tcPr>
                <w:p w14:paraId="4C251857">
                  <w:pPr>
                    <w:jc w:val="center"/>
                    <w:rPr>
                      <w:szCs w:val="21"/>
                    </w:rPr>
                  </w:pPr>
                  <w:r>
                    <w:rPr>
                      <w:szCs w:val="21"/>
                    </w:rPr>
                    <w:t>248</w:t>
                  </w:r>
                </w:p>
              </w:tc>
              <w:tc>
                <w:tcPr>
                  <w:tcW w:w="1531" w:type="pct"/>
                  <w:gridSpan w:val="5"/>
                  <w:vAlign w:val="center"/>
                </w:tcPr>
                <w:p w14:paraId="4C6432AD">
                  <w:pPr>
                    <w:jc w:val="center"/>
                    <w:rPr>
                      <w:szCs w:val="21"/>
                    </w:rPr>
                  </w:pPr>
                  <w:r>
                    <w:rPr>
                      <w:szCs w:val="21"/>
                    </w:rPr>
                    <w:t>最大爆炸压力（Mpa）</w:t>
                  </w:r>
                </w:p>
              </w:tc>
              <w:tc>
                <w:tcPr>
                  <w:tcW w:w="751" w:type="pct"/>
                  <w:gridSpan w:val="3"/>
                  <w:vAlign w:val="center"/>
                </w:tcPr>
                <w:p w14:paraId="3C1E9B5D">
                  <w:pPr>
                    <w:rPr>
                      <w:szCs w:val="21"/>
                    </w:rPr>
                  </w:pPr>
                  <w:r>
                    <w:rPr>
                      <w:szCs w:val="21"/>
                    </w:rPr>
                    <w:t>/</w:t>
                  </w:r>
                </w:p>
              </w:tc>
            </w:tr>
            <w:tr w14:paraId="3314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0E2A6883">
                  <w:pPr>
                    <w:rPr>
                      <w:szCs w:val="21"/>
                    </w:rPr>
                  </w:pPr>
                </w:p>
              </w:tc>
              <w:tc>
                <w:tcPr>
                  <w:tcW w:w="867" w:type="pct"/>
                  <w:gridSpan w:val="2"/>
                  <w:vAlign w:val="center"/>
                </w:tcPr>
                <w:p w14:paraId="1D63C2AC">
                  <w:pPr>
                    <w:jc w:val="center"/>
                    <w:rPr>
                      <w:szCs w:val="21"/>
                    </w:rPr>
                  </w:pPr>
                  <w:r>
                    <w:rPr>
                      <w:szCs w:val="21"/>
                    </w:rPr>
                    <w:t>危险特性</w:t>
                  </w:r>
                </w:p>
              </w:tc>
              <w:tc>
                <w:tcPr>
                  <w:tcW w:w="3866" w:type="pct"/>
                  <w:gridSpan w:val="12"/>
                </w:tcPr>
                <w:p w14:paraId="19044B43">
                  <w:pPr>
                    <w:rPr>
                      <w:szCs w:val="21"/>
                    </w:rPr>
                  </w:pPr>
                  <w:r>
                    <w:rPr>
                      <w:szCs w:val="21"/>
                    </w:rPr>
                    <w:t>遇明火、高热可燃。</w:t>
                  </w:r>
                </w:p>
              </w:tc>
            </w:tr>
            <w:tr w14:paraId="784E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0559AD08">
                  <w:pPr>
                    <w:rPr>
                      <w:szCs w:val="21"/>
                    </w:rPr>
                  </w:pPr>
                </w:p>
              </w:tc>
              <w:tc>
                <w:tcPr>
                  <w:tcW w:w="867" w:type="pct"/>
                  <w:gridSpan w:val="2"/>
                  <w:vAlign w:val="center"/>
                </w:tcPr>
                <w:p w14:paraId="321BDBEA">
                  <w:pPr>
                    <w:jc w:val="center"/>
                    <w:rPr>
                      <w:szCs w:val="21"/>
                    </w:rPr>
                  </w:pPr>
                  <w:r>
                    <w:rPr>
                      <w:szCs w:val="21"/>
                    </w:rPr>
                    <w:t>灭火方法</w:t>
                  </w:r>
                </w:p>
              </w:tc>
              <w:tc>
                <w:tcPr>
                  <w:tcW w:w="3866" w:type="pct"/>
                  <w:gridSpan w:val="12"/>
                </w:tcPr>
                <w:p w14:paraId="66247C73">
                  <w:pPr>
                    <w:rPr>
                      <w:szCs w:val="21"/>
                    </w:rPr>
                  </w:pPr>
                  <w:r>
                    <w:rPr>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0BF0EFD9">
                  <w:pPr>
                    <w:rPr>
                      <w:szCs w:val="21"/>
                    </w:rPr>
                  </w:pPr>
                  <w:r>
                    <w:rPr>
                      <w:szCs w:val="21"/>
                    </w:rPr>
                    <w:t>灭火剂：雾状水、泡沫、干粉、二氧化碳、砂土。</w:t>
                  </w:r>
                </w:p>
              </w:tc>
            </w:tr>
            <w:tr w14:paraId="36E6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39A88231">
                  <w:pPr>
                    <w:rPr>
                      <w:szCs w:val="21"/>
                    </w:rPr>
                  </w:pPr>
                </w:p>
              </w:tc>
              <w:tc>
                <w:tcPr>
                  <w:tcW w:w="867" w:type="pct"/>
                  <w:gridSpan w:val="2"/>
                  <w:vAlign w:val="center"/>
                </w:tcPr>
                <w:p w14:paraId="7C64199A">
                  <w:pPr>
                    <w:jc w:val="center"/>
                    <w:rPr>
                      <w:szCs w:val="21"/>
                    </w:rPr>
                  </w:pPr>
                  <w:r>
                    <w:rPr>
                      <w:szCs w:val="21"/>
                    </w:rPr>
                    <w:t>禁忌物</w:t>
                  </w:r>
                </w:p>
              </w:tc>
              <w:tc>
                <w:tcPr>
                  <w:tcW w:w="2860" w:type="pct"/>
                  <w:gridSpan w:val="8"/>
                  <w:vAlign w:val="center"/>
                </w:tcPr>
                <w:p w14:paraId="75DF785D">
                  <w:pPr>
                    <w:rPr>
                      <w:szCs w:val="21"/>
                    </w:rPr>
                  </w:pPr>
                  <w:r>
                    <w:rPr>
                      <w:szCs w:val="21"/>
                    </w:rPr>
                    <w:t>/</w:t>
                  </w:r>
                </w:p>
              </w:tc>
              <w:tc>
                <w:tcPr>
                  <w:tcW w:w="533" w:type="pct"/>
                  <w:gridSpan w:val="3"/>
                  <w:vAlign w:val="center"/>
                </w:tcPr>
                <w:p w14:paraId="66E8ED7F">
                  <w:pPr>
                    <w:jc w:val="center"/>
                    <w:rPr>
                      <w:szCs w:val="21"/>
                    </w:rPr>
                  </w:pPr>
                  <w:r>
                    <w:rPr>
                      <w:szCs w:val="21"/>
                    </w:rPr>
                    <w:t>稳定性</w:t>
                  </w:r>
                </w:p>
              </w:tc>
              <w:tc>
                <w:tcPr>
                  <w:tcW w:w="472" w:type="pct"/>
                  <w:vAlign w:val="center"/>
                </w:tcPr>
                <w:p w14:paraId="3A7FB3CE">
                  <w:pPr>
                    <w:jc w:val="center"/>
                    <w:rPr>
                      <w:szCs w:val="21"/>
                    </w:rPr>
                  </w:pPr>
                  <w:r>
                    <w:rPr>
                      <w:szCs w:val="21"/>
                    </w:rPr>
                    <w:t>稳定</w:t>
                  </w:r>
                </w:p>
              </w:tc>
            </w:tr>
            <w:tr w14:paraId="08E4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13BEF740">
                  <w:pPr>
                    <w:rPr>
                      <w:szCs w:val="21"/>
                    </w:rPr>
                  </w:pPr>
                </w:p>
              </w:tc>
              <w:tc>
                <w:tcPr>
                  <w:tcW w:w="867" w:type="pct"/>
                  <w:gridSpan w:val="2"/>
                  <w:vAlign w:val="center"/>
                </w:tcPr>
                <w:p w14:paraId="29BA2CB2">
                  <w:pPr>
                    <w:jc w:val="center"/>
                    <w:rPr>
                      <w:szCs w:val="21"/>
                    </w:rPr>
                  </w:pPr>
                  <w:r>
                    <w:rPr>
                      <w:szCs w:val="21"/>
                    </w:rPr>
                    <w:t>燃烧产物</w:t>
                  </w:r>
                </w:p>
              </w:tc>
              <w:tc>
                <w:tcPr>
                  <w:tcW w:w="2860" w:type="pct"/>
                  <w:gridSpan w:val="8"/>
                  <w:vAlign w:val="center"/>
                </w:tcPr>
                <w:p w14:paraId="199ECA3E">
                  <w:pPr>
                    <w:rPr>
                      <w:szCs w:val="21"/>
                    </w:rPr>
                  </w:pPr>
                  <w:r>
                    <w:rPr>
                      <w:szCs w:val="21"/>
                    </w:rPr>
                    <w:t>一氧化碳、二氧化碳</w:t>
                  </w:r>
                </w:p>
              </w:tc>
              <w:tc>
                <w:tcPr>
                  <w:tcW w:w="533" w:type="pct"/>
                  <w:gridSpan w:val="3"/>
                  <w:vAlign w:val="center"/>
                </w:tcPr>
                <w:p w14:paraId="1D6CF34A">
                  <w:pPr>
                    <w:jc w:val="center"/>
                    <w:rPr>
                      <w:szCs w:val="21"/>
                    </w:rPr>
                  </w:pPr>
                  <w:r>
                    <w:rPr>
                      <w:szCs w:val="21"/>
                    </w:rPr>
                    <w:t>聚合危害</w:t>
                  </w:r>
                </w:p>
              </w:tc>
              <w:tc>
                <w:tcPr>
                  <w:tcW w:w="472" w:type="pct"/>
                  <w:vAlign w:val="center"/>
                </w:tcPr>
                <w:p w14:paraId="0023386F">
                  <w:pPr>
                    <w:jc w:val="center"/>
                    <w:rPr>
                      <w:szCs w:val="21"/>
                    </w:rPr>
                  </w:pPr>
                  <w:r>
                    <w:rPr>
                      <w:szCs w:val="21"/>
                    </w:rPr>
                    <w:t>不聚合</w:t>
                  </w:r>
                </w:p>
              </w:tc>
            </w:tr>
            <w:tr w14:paraId="359A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0966331C">
                  <w:pPr>
                    <w:jc w:val="center"/>
                    <w:rPr>
                      <w:szCs w:val="21"/>
                    </w:rPr>
                  </w:pPr>
                  <w:r>
                    <w:rPr>
                      <w:szCs w:val="21"/>
                    </w:rPr>
                    <w:t>毒性及健康危害</w:t>
                  </w:r>
                </w:p>
              </w:tc>
              <w:tc>
                <w:tcPr>
                  <w:tcW w:w="867" w:type="pct"/>
                  <w:gridSpan w:val="2"/>
                  <w:vAlign w:val="center"/>
                </w:tcPr>
                <w:p w14:paraId="52E7A655">
                  <w:pPr>
                    <w:jc w:val="center"/>
                    <w:rPr>
                      <w:szCs w:val="21"/>
                    </w:rPr>
                  </w:pPr>
                  <w:r>
                    <w:rPr>
                      <w:szCs w:val="21"/>
                    </w:rPr>
                    <w:t>急性毒性</w:t>
                  </w:r>
                </w:p>
              </w:tc>
              <w:tc>
                <w:tcPr>
                  <w:tcW w:w="1503" w:type="pct"/>
                  <w:gridSpan w:val="3"/>
                  <w:vAlign w:val="center"/>
                </w:tcPr>
                <w:p w14:paraId="70A8F60C">
                  <w:pPr>
                    <w:rPr>
                      <w:szCs w:val="21"/>
                    </w:rPr>
                  </w:pPr>
                  <w:r>
                    <w:rPr>
                      <w:szCs w:val="21"/>
                    </w:rPr>
                    <w:t>LD50（mg/kg，大鼠经口）</w:t>
                  </w:r>
                </w:p>
              </w:tc>
              <w:tc>
                <w:tcPr>
                  <w:tcW w:w="541" w:type="pct"/>
                  <w:gridSpan w:val="2"/>
                </w:tcPr>
                <w:p w14:paraId="2B20D36D">
                  <w:pPr>
                    <w:jc w:val="center"/>
                    <w:rPr>
                      <w:szCs w:val="21"/>
                    </w:rPr>
                  </w:pPr>
                  <w:r>
                    <w:rPr>
                      <w:szCs w:val="21"/>
                    </w:rPr>
                    <w:t>无资料</w:t>
                  </w:r>
                </w:p>
              </w:tc>
              <w:tc>
                <w:tcPr>
                  <w:tcW w:w="1350" w:type="pct"/>
                  <w:gridSpan w:val="6"/>
                </w:tcPr>
                <w:p w14:paraId="4FF8A964">
                  <w:pPr>
                    <w:jc w:val="center"/>
                    <w:rPr>
                      <w:szCs w:val="21"/>
                    </w:rPr>
                  </w:pPr>
                  <w:r>
                    <w:rPr>
                      <w:szCs w:val="21"/>
                    </w:rPr>
                    <w:t>LC50（mg/kg）</w:t>
                  </w:r>
                </w:p>
              </w:tc>
              <w:tc>
                <w:tcPr>
                  <w:tcW w:w="472" w:type="pct"/>
                  <w:vAlign w:val="center"/>
                </w:tcPr>
                <w:p w14:paraId="133402E7">
                  <w:pPr>
                    <w:jc w:val="center"/>
                    <w:rPr>
                      <w:szCs w:val="21"/>
                    </w:rPr>
                  </w:pPr>
                  <w:r>
                    <w:rPr>
                      <w:szCs w:val="21"/>
                    </w:rPr>
                    <w:t>无资料</w:t>
                  </w:r>
                </w:p>
              </w:tc>
            </w:tr>
            <w:tr w14:paraId="5F31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3689FDA4">
                  <w:pPr>
                    <w:rPr>
                      <w:szCs w:val="21"/>
                    </w:rPr>
                  </w:pPr>
                </w:p>
              </w:tc>
              <w:tc>
                <w:tcPr>
                  <w:tcW w:w="867" w:type="pct"/>
                  <w:gridSpan w:val="2"/>
                  <w:vMerge w:val="restart"/>
                  <w:vAlign w:val="center"/>
                </w:tcPr>
                <w:p w14:paraId="21620B0C">
                  <w:pPr>
                    <w:jc w:val="center"/>
                    <w:rPr>
                      <w:szCs w:val="21"/>
                    </w:rPr>
                  </w:pPr>
                  <w:r>
                    <w:rPr>
                      <w:szCs w:val="21"/>
                    </w:rPr>
                    <w:t>健康危害</w:t>
                  </w:r>
                </w:p>
              </w:tc>
              <w:tc>
                <w:tcPr>
                  <w:tcW w:w="2044" w:type="pct"/>
                  <w:gridSpan w:val="5"/>
                </w:tcPr>
                <w:p w14:paraId="72263E4D">
                  <w:pPr>
                    <w:jc w:val="center"/>
                    <w:rPr>
                      <w:szCs w:val="21"/>
                    </w:rPr>
                  </w:pPr>
                  <w:r>
                    <w:rPr>
                      <w:szCs w:val="21"/>
                    </w:rPr>
                    <w:t>车间卫生标准</w:t>
                  </w:r>
                </w:p>
              </w:tc>
              <w:tc>
                <w:tcPr>
                  <w:tcW w:w="1822" w:type="pct"/>
                  <w:gridSpan w:val="7"/>
                </w:tcPr>
                <w:p w14:paraId="20C918F4">
                  <w:pPr>
                    <w:rPr>
                      <w:szCs w:val="21"/>
                    </w:rPr>
                  </w:pPr>
                  <w:r>
                    <w:rPr>
                      <w:szCs w:val="21"/>
                    </w:rPr>
                    <w:t>/</w:t>
                  </w:r>
                </w:p>
              </w:tc>
            </w:tr>
            <w:tr w14:paraId="4A64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6EEA3392">
                  <w:pPr>
                    <w:rPr>
                      <w:szCs w:val="21"/>
                    </w:rPr>
                  </w:pPr>
                </w:p>
              </w:tc>
              <w:tc>
                <w:tcPr>
                  <w:tcW w:w="867" w:type="pct"/>
                  <w:gridSpan w:val="2"/>
                  <w:vMerge w:val="continue"/>
                  <w:vAlign w:val="center"/>
                </w:tcPr>
                <w:p w14:paraId="30A07D26">
                  <w:pPr>
                    <w:rPr>
                      <w:szCs w:val="21"/>
                    </w:rPr>
                  </w:pPr>
                </w:p>
              </w:tc>
              <w:tc>
                <w:tcPr>
                  <w:tcW w:w="3866" w:type="pct"/>
                  <w:gridSpan w:val="12"/>
                  <w:vAlign w:val="center"/>
                </w:tcPr>
                <w:p w14:paraId="35FDF911">
                  <w:pPr>
                    <w:rPr>
                      <w:szCs w:val="21"/>
                    </w:rPr>
                  </w:pPr>
                  <w:r>
                    <w:rPr>
                      <w:szCs w:val="21"/>
                    </w:rPr>
                    <w:t>侵入途径：吸入、食入；</w:t>
                  </w:r>
                </w:p>
                <w:p w14:paraId="48D7FFB9">
                  <w:pPr>
                    <w:rPr>
                      <w:szCs w:val="21"/>
                    </w:rPr>
                  </w:pPr>
                  <w:r>
                    <w:rPr>
                      <w:szCs w:val="21"/>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7DDB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3DC9DD18">
                  <w:pPr>
                    <w:jc w:val="center"/>
                    <w:rPr>
                      <w:szCs w:val="21"/>
                    </w:rPr>
                  </w:pPr>
                  <w:r>
                    <w:rPr>
                      <w:szCs w:val="21"/>
                    </w:rPr>
                    <w:t>急</w:t>
                  </w:r>
                </w:p>
                <w:p w14:paraId="474435D8">
                  <w:pPr>
                    <w:jc w:val="center"/>
                    <w:rPr>
                      <w:szCs w:val="21"/>
                    </w:rPr>
                  </w:pPr>
                  <w:r>
                    <w:rPr>
                      <w:szCs w:val="21"/>
                    </w:rPr>
                    <w:t>救</w:t>
                  </w:r>
                </w:p>
              </w:tc>
              <w:tc>
                <w:tcPr>
                  <w:tcW w:w="4734" w:type="pct"/>
                  <w:gridSpan w:val="14"/>
                  <w:vAlign w:val="center"/>
                </w:tcPr>
                <w:p w14:paraId="42EC504B">
                  <w:pPr>
                    <w:rPr>
                      <w:szCs w:val="21"/>
                    </w:rPr>
                  </w:pPr>
                  <w:r>
                    <w:rPr>
                      <w:szCs w:val="21"/>
                    </w:rPr>
                    <w:t>皮肤接触：立即脱去被污染的衣着，用大量清水冲洗；</w:t>
                  </w:r>
                </w:p>
                <w:p w14:paraId="51459B49">
                  <w:pPr>
                    <w:rPr>
                      <w:szCs w:val="21"/>
                    </w:rPr>
                  </w:pPr>
                  <w:r>
                    <w:rPr>
                      <w:szCs w:val="21"/>
                    </w:rPr>
                    <w:t>眼睛接触：立即提起眼睑，用大量流动清水或生理盐水冲洗，就医；</w:t>
                  </w:r>
                </w:p>
                <w:p w14:paraId="39F8FF8E">
                  <w:pPr>
                    <w:rPr>
                      <w:szCs w:val="21"/>
                    </w:rPr>
                  </w:pPr>
                  <w:r>
                    <w:rPr>
                      <w:szCs w:val="21"/>
                    </w:rPr>
                    <w:t>吸入：迅速脱离现场至空气新鲜处，保持呼吸道通畅，如呼吸困难，给输氧；如呼吸停止，立即进行人工呼吸，就医；</w:t>
                  </w:r>
                </w:p>
                <w:p w14:paraId="3C8DA0DC">
                  <w:pPr>
                    <w:rPr>
                      <w:szCs w:val="21"/>
                    </w:rPr>
                  </w:pPr>
                  <w:r>
                    <w:rPr>
                      <w:szCs w:val="21"/>
                    </w:rPr>
                    <w:t>食入：饮足量温水，催吐，就医。</w:t>
                  </w:r>
                </w:p>
              </w:tc>
            </w:tr>
            <w:tr w14:paraId="68EF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28110CCB">
                  <w:pPr>
                    <w:jc w:val="center"/>
                    <w:rPr>
                      <w:szCs w:val="21"/>
                    </w:rPr>
                  </w:pPr>
                  <w:r>
                    <w:rPr>
                      <w:szCs w:val="21"/>
                    </w:rPr>
                    <w:t>防护</w:t>
                  </w:r>
                </w:p>
              </w:tc>
              <w:tc>
                <w:tcPr>
                  <w:tcW w:w="4734" w:type="pct"/>
                  <w:gridSpan w:val="14"/>
                  <w:vAlign w:val="center"/>
                </w:tcPr>
                <w:p w14:paraId="7D564DB8">
                  <w:pPr>
                    <w:rPr>
                      <w:szCs w:val="21"/>
                    </w:rPr>
                  </w:pPr>
                  <w:r>
                    <w:rPr>
                      <w:szCs w:val="21"/>
                    </w:rPr>
                    <w:t>工程控制：密闭操作，注意通风；</w:t>
                  </w:r>
                </w:p>
                <w:p w14:paraId="34C72804">
                  <w:pPr>
                    <w:rPr>
                      <w:szCs w:val="21"/>
                    </w:rPr>
                  </w:pPr>
                  <w:r>
                    <w:rPr>
                      <w:szCs w:val="21"/>
                    </w:rPr>
                    <w:t>呼吸系统防护：空气中浓度超标时，建议佩戴自吸过滤式防毒面具（半面罩）。紧急事态抢救或撤离时，应该佩戴空气呼吸器。</w:t>
                  </w:r>
                </w:p>
                <w:p w14:paraId="12C85CDB">
                  <w:pPr>
                    <w:rPr>
                      <w:szCs w:val="21"/>
                    </w:rPr>
                  </w:pPr>
                  <w:r>
                    <w:rPr>
                      <w:szCs w:val="21"/>
                    </w:rPr>
                    <w:t>眼睛防护：戴化学安全防护眼镜。</w:t>
                  </w:r>
                </w:p>
                <w:p w14:paraId="09B6B014">
                  <w:pPr>
                    <w:rPr>
                      <w:szCs w:val="21"/>
                    </w:rPr>
                  </w:pPr>
                  <w:r>
                    <w:rPr>
                      <w:szCs w:val="21"/>
                    </w:rPr>
                    <w:t>身体防护：穿防毒物渗透工作服；</w:t>
                  </w:r>
                </w:p>
                <w:p w14:paraId="2DD5189B">
                  <w:pPr>
                    <w:rPr>
                      <w:szCs w:val="21"/>
                    </w:rPr>
                  </w:pPr>
                  <w:r>
                    <w:rPr>
                      <w:szCs w:val="21"/>
                    </w:rPr>
                    <w:t>手防护：戴橡胶耐油手套；</w:t>
                  </w:r>
                </w:p>
                <w:p w14:paraId="5DF31990">
                  <w:pPr>
                    <w:rPr>
                      <w:szCs w:val="21"/>
                    </w:rPr>
                  </w:pPr>
                  <w:r>
                    <w:rPr>
                      <w:szCs w:val="21"/>
                    </w:rPr>
                    <w:t>其他：工作现场严禁吸烟。避免长期反复接触。</w:t>
                  </w:r>
                </w:p>
              </w:tc>
            </w:tr>
            <w:tr w14:paraId="0A4B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1E7B9A97">
                  <w:pPr>
                    <w:jc w:val="center"/>
                    <w:rPr>
                      <w:szCs w:val="21"/>
                    </w:rPr>
                  </w:pPr>
                  <w:r>
                    <w:rPr>
                      <w:szCs w:val="21"/>
                    </w:rPr>
                    <w:t>泄漏处理</w:t>
                  </w:r>
                </w:p>
              </w:tc>
              <w:tc>
                <w:tcPr>
                  <w:tcW w:w="4734" w:type="pct"/>
                  <w:gridSpan w:val="14"/>
                  <w:vAlign w:val="center"/>
                </w:tcPr>
                <w:p w14:paraId="0C2F34D8">
                  <w:pPr>
                    <w:rPr>
                      <w:szCs w:val="21"/>
                    </w:rPr>
                  </w:pPr>
                  <w:r>
                    <w:rPr>
                      <w:szCs w:val="21"/>
                    </w:rPr>
                    <w:t>迅速撤离泄漏污染区人员至安全区，并进行隔离，严格限制出入。切断火源。建议应急处理人员戴自给正压式呼吸器，穿防毒服。尽可能切断泄漏源。防止流入下水道、排洪沟等限制性空间。</w:t>
                  </w:r>
                </w:p>
                <w:p w14:paraId="6F1D0F88">
                  <w:pPr>
                    <w:rPr>
                      <w:szCs w:val="21"/>
                    </w:rPr>
                  </w:pPr>
                  <w:r>
                    <w:rPr>
                      <w:szCs w:val="21"/>
                    </w:rPr>
                    <w:t>小量泄漏：用砂土或其它不燃材料吸附或吸收。</w:t>
                  </w:r>
                </w:p>
                <w:p w14:paraId="338D121C">
                  <w:pPr>
                    <w:rPr>
                      <w:szCs w:val="21"/>
                    </w:rPr>
                  </w:pPr>
                  <w:r>
                    <w:rPr>
                      <w:szCs w:val="21"/>
                    </w:rPr>
                    <w:t>大量泄漏：构筑围堤或挖坑收容。用泵转移至槽车或专用收集器内，回收或运至废物处理场所处置。</w:t>
                  </w:r>
                </w:p>
              </w:tc>
            </w:tr>
            <w:tr w14:paraId="3368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1183C39D">
                  <w:pPr>
                    <w:jc w:val="center"/>
                    <w:rPr>
                      <w:szCs w:val="21"/>
                    </w:rPr>
                  </w:pPr>
                  <w:r>
                    <w:rPr>
                      <w:szCs w:val="21"/>
                    </w:rPr>
                    <w:t>储运</w:t>
                  </w:r>
                </w:p>
              </w:tc>
              <w:tc>
                <w:tcPr>
                  <w:tcW w:w="4734" w:type="pct"/>
                  <w:gridSpan w:val="14"/>
                  <w:vAlign w:val="center"/>
                </w:tcPr>
                <w:p w14:paraId="2B78F6F8">
                  <w:pPr>
                    <w:rPr>
                      <w:szCs w:val="21"/>
                    </w:rPr>
                  </w:pPr>
                  <w:r>
                    <w:rPr>
                      <w:szCs w:val="21"/>
                    </w:rPr>
                    <w:t>储存于阴凉、通风的库房。远离火种、热源。应与氧化剂分开存放，切忌混储。配备相应品种和数量的消防器材。储区应备有泄漏应急处理设备和合适的收容材料。</w:t>
                  </w:r>
                </w:p>
                <w:p w14:paraId="2545CCD4">
                  <w:pPr>
                    <w:rPr>
                      <w:szCs w:val="21"/>
                    </w:rPr>
                  </w:pPr>
                  <w:r>
                    <w:rPr>
                      <w:szCs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339F110E">
            <w:pPr>
              <w:spacing w:line="360" w:lineRule="auto"/>
              <w:ind w:firstLine="480" w:firstLineChars="200"/>
              <w:rPr>
                <w:sz w:val="24"/>
              </w:rPr>
            </w:pPr>
            <w:r>
              <w:rPr>
                <w:sz w:val="24"/>
              </w:rPr>
              <w:t>2）生产设施风险识别</w:t>
            </w:r>
          </w:p>
          <w:p w14:paraId="54D775A9">
            <w:pPr>
              <w:spacing w:line="360" w:lineRule="auto"/>
              <w:ind w:firstLine="480" w:firstLineChars="200"/>
              <w:jc w:val="left"/>
              <w:rPr>
                <w:rFonts w:eastAsia="TimesNewRoman"/>
                <w:sz w:val="24"/>
              </w:rPr>
            </w:pPr>
            <w:r>
              <w:rPr>
                <w:rFonts w:eastAsia="TimesNewRoman"/>
                <w:sz w:val="24"/>
              </w:rPr>
              <w:t>生产设施风险识别范围：生产单元、贮存单元、公用工程及辅助设施单元等。</w:t>
            </w:r>
          </w:p>
          <w:p w14:paraId="1B2998A0">
            <w:pPr>
              <w:spacing w:line="360" w:lineRule="auto"/>
              <w:ind w:firstLine="480" w:firstLineChars="200"/>
              <w:jc w:val="left"/>
              <w:rPr>
                <w:rFonts w:eastAsia="TimesNewRoman"/>
                <w:sz w:val="24"/>
              </w:rPr>
            </w:pPr>
            <w:r>
              <w:rPr>
                <w:rFonts w:eastAsia="TimesNewRoman"/>
                <w:sz w:val="24"/>
              </w:rPr>
              <w:t>①功能单元划分</w:t>
            </w:r>
          </w:p>
          <w:p w14:paraId="41E46690">
            <w:pPr>
              <w:spacing w:line="360" w:lineRule="auto"/>
              <w:ind w:firstLine="480" w:firstLineChars="200"/>
              <w:jc w:val="left"/>
              <w:rPr>
                <w:sz w:val="24"/>
              </w:rPr>
            </w:pPr>
            <w:r>
              <w:rPr>
                <w:rFonts w:eastAsia="TimesNewRoman"/>
                <w:sz w:val="24"/>
              </w:rPr>
              <w:t>功能单元是指至少应包括一个（套）危险物质的主要生产装置、设施（贮存容器、管道等）及环保处理设施，或同属一个工厂且边缘距离小于500m的几个（套）生产装置、设施。每一个功能单元要有边界和特定的功能，在泄漏事故中能有与其它单元分割开的地方。</w:t>
            </w:r>
            <w:r>
              <w:rPr>
                <w:sz w:val="24"/>
              </w:rPr>
              <w:t>项目生产设备出现事故的可能性很小，可能存在风险的设施主要为：</w:t>
            </w:r>
            <w:r>
              <w:rPr>
                <w:rFonts w:hint="eastAsia"/>
                <w:sz w:val="24"/>
              </w:rPr>
              <w:t>危废暂存库</w:t>
            </w:r>
            <w:r>
              <w:rPr>
                <w:sz w:val="24"/>
              </w:rPr>
              <w:t>，</w:t>
            </w:r>
            <w:r>
              <w:rPr>
                <w:rFonts w:hint="eastAsia"/>
                <w:sz w:val="24"/>
              </w:rPr>
              <w:t>危废暂存库</w:t>
            </w:r>
            <w:r>
              <w:rPr>
                <w:sz w:val="24"/>
              </w:rPr>
              <w:t>发生泄漏，危险废物进入周边环境，进入外环境。</w:t>
            </w:r>
          </w:p>
          <w:p w14:paraId="6B751C78">
            <w:pPr>
              <w:spacing w:line="360" w:lineRule="auto"/>
              <w:ind w:firstLine="480" w:firstLineChars="200"/>
              <w:jc w:val="left"/>
              <w:rPr>
                <w:sz w:val="24"/>
              </w:rPr>
            </w:pPr>
            <w:r>
              <w:rPr>
                <w:sz w:val="24"/>
              </w:rPr>
              <w:t>②危险物质向环境转移途径识别</w:t>
            </w:r>
          </w:p>
          <w:p w14:paraId="01B95897">
            <w:pPr>
              <w:adjustRightInd w:val="0"/>
              <w:snapToGrid w:val="0"/>
              <w:spacing w:line="360" w:lineRule="auto"/>
              <w:ind w:firstLine="480" w:firstLineChars="200"/>
              <w:rPr>
                <w:sz w:val="24"/>
              </w:rPr>
            </w:pPr>
            <w:r>
              <w:rPr>
                <w:rFonts w:hint="eastAsia"/>
                <w:sz w:val="24"/>
              </w:rPr>
              <w:t>危废暂存库</w:t>
            </w:r>
            <w:r>
              <w:rPr>
                <w:sz w:val="24"/>
              </w:rPr>
              <w:t>发生泄漏，危险废物进入周边环境；项目生产过程风险识别情况见下表4-</w:t>
            </w:r>
            <w:r>
              <w:rPr>
                <w:rFonts w:hint="eastAsia"/>
                <w:sz w:val="24"/>
              </w:rPr>
              <w:t>12</w:t>
            </w:r>
            <w:r>
              <w:rPr>
                <w:sz w:val="24"/>
              </w:rPr>
              <w:t>。</w:t>
            </w:r>
          </w:p>
          <w:p w14:paraId="47EC061C">
            <w:pPr>
              <w:jc w:val="center"/>
              <w:rPr>
                <w:b/>
                <w:bCs/>
                <w:szCs w:val="21"/>
              </w:rPr>
            </w:pPr>
            <w:r>
              <w:rPr>
                <w:b/>
                <w:bCs/>
                <w:szCs w:val="21"/>
              </w:rPr>
              <w:t>表4-</w:t>
            </w:r>
            <w:r>
              <w:rPr>
                <w:rFonts w:hint="eastAsia"/>
                <w:b/>
                <w:bCs/>
                <w:szCs w:val="21"/>
              </w:rPr>
              <w:t>12</w:t>
            </w:r>
            <w:r>
              <w:rPr>
                <w:b/>
                <w:bCs/>
                <w:szCs w:val="21"/>
              </w:rPr>
              <w:t xml:space="preserve"> </w:t>
            </w:r>
            <w:r>
              <w:rPr>
                <w:rFonts w:hint="eastAsia"/>
                <w:b/>
                <w:bCs/>
                <w:szCs w:val="21"/>
              </w:rPr>
              <w:t xml:space="preserve"> </w:t>
            </w:r>
            <w:r>
              <w:rPr>
                <w:b/>
                <w:bCs/>
                <w:szCs w:val="21"/>
              </w:rPr>
              <w:t>项目环境风险识别表</w:t>
            </w:r>
          </w:p>
          <w:tbl>
            <w:tblPr>
              <w:tblStyle w:val="23"/>
              <w:tblW w:w="8439" w:type="dxa"/>
              <w:tblInd w:w="0" w:type="dxa"/>
              <w:tblLayout w:type="fixed"/>
              <w:tblCellMar>
                <w:top w:w="0" w:type="dxa"/>
                <w:left w:w="0" w:type="dxa"/>
                <w:bottom w:w="0" w:type="dxa"/>
                <w:right w:w="0" w:type="dxa"/>
              </w:tblCellMar>
            </w:tblPr>
            <w:tblGrid>
              <w:gridCol w:w="571"/>
              <w:gridCol w:w="1092"/>
              <w:gridCol w:w="1036"/>
              <w:gridCol w:w="1340"/>
              <w:gridCol w:w="1328"/>
              <w:gridCol w:w="787"/>
              <w:gridCol w:w="1284"/>
              <w:gridCol w:w="1001"/>
            </w:tblGrid>
            <w:tr w14:paraId="6C409F36">
              <w:tblPrEx>
                <w:tblCellMar>
                  <w:top w:w="0" w:type="dxa"/>
                  <w:left w:w="0" w:type="dxa"/>
                  <w:bottom w:w="0" w:type="dxa"/>
                  <w:right w:w="0" w:type="dxa"/>
                </w:tblCellMar>
              </w:tblPrEx>
              <w:tc>
                <w:tcPr>
                  <w:tcW w:w="339"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3CAA8F9">
                  <w:pPr>
                    <w:jc w:val="center"/>
                    <w:rPr>
                      <w:b/>
                      <w:szCs w:val="21"/>
                    </w:rPr>
                  </w:pPr>
                  <w:r>
                    <w:rPr>
                      <w:b/>
                      <w:szCs w:val="21"/>
                    </w:rPr>
                    <w:t>序号</w:t>
                  </w:r>
                </w:p>
              </w:tc>
              <w:tc>
                <w:tcPr>
                  <w:tcW w:w="6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91615">
                  <w:pPr>
                    <w:jc w:val="center"/>
                    <w:rPr>
                      <w:b/>
                      <w:szCs w:val="21"/>
                    </w:rPr>
                  </w:pPr>
                  <w:r>
                    <w:rPr>
                      <w:b/>
                      <w:szCs w:val="21"/>
                    </w:rPr>
                    <w:t>危险单元</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3A72B">
                  <w:pPr>
                    <w:jc w:val="center"/>
                    <w:rPr>
                      <w:b/>
                      <w:szCs w:val="21"/>
                    </w:rPr>
                  </w:pPr>
                  <w:r>
                    <w:rPr>
                      <w:b/>
                      <w:szCs w:val="21"/>
                    </w:rPr>
                    <w:t>风险源</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BA104D">
                  <w:pPr>
                    <w:jc w:val="center"/>
                    <w:rPr>
                      <w:b/>
                      <w:szCs w:val="21"/>
                    </w:rPr>
                  </w:pPr>
                  <w:r>
                    <w:rPr>
                      <w:b/>
                      <w:szCs w:val="21"/>
                    </w:rPr>
                    <w:t>主要危险物质</w:t>
                  </w:r>
                </w:p>
              </w:tc>
              <w:tc>
                <w:tcPr>
                  <w:tcW w:w="7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ABDDC">
                  <w:pPr>
                    <w:jc w:val="center"/>
                    <w:rPr>
                      <w:b/>
                      <w:szCs w:val="21"/>
                    </w:rPr>
                  </w:pPr>
                  <w:r>
                    <w:rPr>
                      <w:b/>
                      <w:szCs w:val="21"/>
                    </w:rPr>
                    <w:t>环境风险类型</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85EA5">
                  <w:pPr>
                    <w:jc w:val="center"/>
                    <w:rPr>
                      <w:b/>
                      <w:szCs w:val="21"/>
                    </w:rPr>
                  </w:pPr>
                  <w:r>
                    <w:rPr>
                      <w:b/>
                      <w:szCs w:val="21"/>
                    </w:rPr>
                    <w:t>环境影响途径</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1D416">
                  <w:pPr>
                    <w:jc w:val="center"/>
                    <w:rPr>
                      <w:b/>
                      <w:szCs w:val="21"/>
                    </w:rPr>
                  </w:pPr>
                  <w:r>
                    <w:rPr>
                      <w:b/>
                      <w:szCs w:val="21"/>
                    </w:rPr>
                    <w:t>可能受影响的环境敏感目标</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79663">
                  <w:pPr>
                    <w:jc w:val="center"/>
                    <w:rPr>
                      <w:b/>
                      <w:szCs w:val="21"/>
                    </w:rPr>
                  </w:pPr>
                  <w:r>
                    <w:rPr>
                      <w:b/>
                      <w:szCs w:val="21"/>
                    </w:rPr>
                    <w:t>原因</w:t>
                  </w:r>
                </w:p>
              </w:tc>
            </w:tr>
            <w:tr w14:paraId="33A29AB4">
              <w:tblPrEx>
                <w:tblCellMar>
                  <w:top w:w="0" w:type="dxa"/>
                  <w:left w:w="0" w:type="dxa"/>
                  <w:bottom w:w="0" w:type="dxa"/>
                  <w:right w:w="0" w:type="dxa"/>
                </w:tblCellMar>
              </w:tblPrEx>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C66DA">
                  <w:pPr>
                    <w:jc w:val="center"/>
                    <w:rPr>
                      <w:szCs w:val="21"/>
                    </w:rPr>
                  </w:pPr>
                  <w:r>
                    <w:rPr>
                      <w:szCs w:val="21"/>
                    </w:rPr>
                    <w:t>1</w:t>
                  </w:r>
                </w:p>
              </w:tc>
              <w:tc>
                <w:tcPr>
                  <w:tcW w:w="6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0AC7E">
                  <w:pPr>
                    <w:jc w:val="center"/>
                    <w:rPr>
                      <w:szCs w:val="21"/>
                    </w:rPr>
                  </w:pPr>
                  <w:r>
                    <w:rPr>
                      <w:rFonts w:hint="eastAsia"/>
                      <w:szCs w:val="21"/>
                    </w:rPr>
                    <w:t>危废暂存库</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E1F93">
                  <w:pPr>
                    <w:jc w:val="center"/>
                    <w:rPr>
                      <w:szCs w:val="21"/>
                    </w:rPr>
                  </w:pPr>
                  <w:r>
                    <w:rPr>
                      <w:szCs w:val="21"/>
                    </w:rPr>
                    <w:t>危险废物泄漏</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C92BA">
                  <w:pPr>
                    <w:jc w:val="center"/>
                    <w:rPr>
                      <w:szCs w:val="21"/>
                    </w:rPr>
                  </w:pPr>
                  <w:r>
                    <w:rPr>
                      <w:szCs w:val="21"/>
                    </w:rPr>
                    <w:t>废矿物油</w:t>
                  </w:r>
                </w:p>
              </w:tc>
              <w:tc>
                <w:tcPr>
                  <w:tcW w:w="7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5CDDA4">
                  <w:pPr>
                    <w:jc w:val="center"/>
                    <w:rPr>
                      <w:szCs w:val="21"/>
                    </w:rPr>
                  </w:pPr>
                  <w:r>
                    <w:rPr>
                      <w:szCs w:val="21"/>
                    </w:rPr>
                    <w:t>泄漏</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E7480">
                  <w:pPr>
                    <w:jc w:val="center"/>
                    <w:rPr>
                      <w:szCs w:val="21"/>
                    </w:rPr>
                  </w:pPr>
                  <w:r>
                    <w:rPr>
                      <w:szCs w:val="21"/>
                    </w:rPr>
                    <w:t>地下水、土壤</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7ED32D">
                  <w:pPr>
                    <w:jc w:val="center"/>
                    <w:rPr>
                      <w:szCs w:val="21"/>
                    </w:rPr>
                  </w:pPr>
                  <w:r>
                    <w:rPr>
                      <w:szCs w:val="21"/>
                    </w:rPr>
                    <w:t>周边居民</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49AE6">
                  <w:pPr>
                    <w:jc w:val="center"/>
                    <w:rPr>
                      <w:szCs w:val="21"/>
                    </w:rPr>
                  </w:pPr>
                  <w:r>
                    <w:rPr>
                      <w:szCs w:val="21"/>
                    </w:rPr>
                    <w:t>管理不规范</w:t>
                  </w:r>
                </w:p>
              </w:tc>
            </w:tr>
          </w:tbl>
          <w:p w14:paraId="5D7A1381">
            <w:pPr>
              <w:adjustRightInd w:val="0"/>
              <w:snapToGrid w:val="0"/>
              <w:spacing w:line="360" w:lineRule="auto"/>
              <w:ind w:firstLine="482" w:firstLineChars="200"/>
              <w:rPr>
                <w:b/>
                <w:bCs/>
                <w:kern w:val="0"/>
                <w:sz w:val="24"/>
              </w:rPr>
            </w:pPr>
            <w:r>
              <w:rPr>
                <w:b/>
                <w:bCs/>
                <w:kern w:val="0"/>
                <w:sz w:val="24"/>
              </w:rPr>
              <w:t>2、风险潜势初判</w:t>
            </w:r>
          </w:p>
          <w:p w14:paraId="10D89FF9">
            <w:pPr>
              <w:spacing w:line="360" w:lineRule="auto"/>
              <w:ind w:firstLine="480" w:firstLineChars="200"/>
              <w:rPr>
                <w:sz w:val="24"/>
              </w:rPr>
            </w:pPr>
            <w:r>
              <w:rPr>
                <w:sz w:val="24"/>
              </w:rPr>
              <w:t>根据《建设项目环境风险评价技术导则》（HJ169-2018）附录 C，危险物质数量与临界量的比值（Q）的计算方法如下：</w:t>
            </w:r>
          </w:p>
          <w:p w14:paraId="40749334">
            <w:pPr>
              <w:spacing w:line="360" w:lineRule="auto"/>
              <w:ind w:firstLine="480" w:firstLineChars="200"/>
              <w:rPr>
                <w:sz w:val="24"/>
              </w:rPr>
            </w:pPr>
            <w:r>
              <w:rPr>
                <w:sz w:val="24"/>
              </w:rPr>
              <w:t>当只涉及一种危险物质时，计算该物质的总量与其临界量比值，即为Q；</w:t>
            </w:r>
          </w:p>
          <w:p w14:paraId="666C710F">
            <w:pPr>
              <w:spacing w:line="360" w:lineRule="auto"/>
              <w:ind w:firstLine="480" w:firstLineChars="200"/>
              <w:rPr>
                <w:sz w:val="24"/>
              </w:rPr>
            </w:pPr>
            <w:r>
              <w:rPr>
                <w:sz w:val="24"/>
              </w:rPr>
              <w:t>当存在多种危险物质时，则按式（C.1）计算物质总量与其临界量比值（Q）：</w:t>
            </w:r>
          </w:p>
          <w:p w14:paraId="44DB3B97">
            <w:pPr>
              <w:pStyle w:val="85"/>
              <w:spacing w:line="360" w:lineRule="auto"/>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2012950" cy="530225"/>
                  <wp:effectExtent l="0" t="0" r="6350" b="3175"/>
                  <wp:docPr id="14"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1"/>
                          <pic:cNvPicPr>
                            <a:picLocks noChangeAspect="1"/>
                          </pic:cNvPicPr>
                        </pic:nvPicPr>
                        <pic:blipFill>
                          <a:blip r:embed="rId29"/>
                          <a:stretch>
                            <a:fillRect/>
                          </a:stretch>
                        </pic:blipFill>
                        <pic:spPr>
                          <a:xfrm>
                            <a:off x="0" y="0"/>
                            <a:ext cx="2012950" cy="530225"/>
                          </a:xfrm>
                          <a:prstGeom prst="rect">
                            <a:avLst/>
                          </a:prstGeom>
                          <a:noFill/>
                          <a:ln>
                            <a:noFill/>
                          </a:ln>
                        </pic:spPr>
                      </pic:pic>
                    </a:graphicData>
                  </a:graphic>
                </wp:inline>
              </w:drawing>
            </w:r>
            <w:r>
              <w:rPr>
                <w:rFonts w:ascii="Times New Roman" w:hAnsi="Times New Roman" w:cs="Times New Roman"/>
                <w:color w:val="auto"/>
              </w:rPr>
              <w:t xml:space="preserve">     （C.1）</w:t>
            </w:r>
          </w:p>
          <w:p w14:paraId="642FCCE5">
            <w:pPr>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——每种危险物质的最大存在总量，t；</w:t>
            </w:r>
          </w:p>
          <w:p w14:paraId="6B73344B">
            <w:pPr>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14:paraId="6089D25F">
            <w:pPr>
              <w:spacing w:line="360" w:lineRule="auto"/>
              <w:ind w:firstLine="480" w:firstLineChars="200"/>
              <w:rPr>
                <w:sz w:val="24"/>
              </w:rPr>
            </w:pPr>
            <w:r>
              <w:rPr>
                <w:sz w:val="24"/>
              </w:rPr>
              <w:t>当Q＜1时，该项目环境风险潜势为Ⅰ。</w:t>
            </w:r>
          </w:p>
          <w:p w14:paraId="20F676FA">
            <w:pPr>
              <w:spacing w:line="360" w:lineRule="auto"/>
              <w:ind w:firstLine="480" w:firstLineChars="200"/>
              <w:rPr>
                <w:sz w:val="24"/>
              </w:rPr>
            </w:pPr>
            <w:r>
              <w:rPr>
                <w:sz w:val="24"/>
              </w:rPr>
              <w:t>当Q≥1时，将Q值划分为：（1）1≤Q＜10；（2）10≤Q＜100；（3）Q≥100。</w:t>
            </w:r>
          </w:p>
          <w:p w14:paraId="7EB179CF">
            <w:pPr>
              <w:spacing w:line="360" w:lineRule="auto"/>
              <w:ind w:firstLine="480" w:firstLineChars="200"/>
              <w:rPr>
                <w:sz w:val="24"/>
              </w:rPr>
            </w:pPr>
            <w:r>
              <w:rPr>
                <w:sz w:val="24"/>
              </w:rPr>
              <w:t>根据参照《建设项目环境风险评价技术导则》（HJ/T169-2018）附录B“重点关注的危险物质及临界量”中相关内容，本项目存在的危险物质为：</w:t>
            </w:r>
            <w:r>
              <w:rPr>
                <w:kern w:val="0"/>
                <w:sz w:val="24"/>
              </w:rPr>
              <w:t>废机油。</w:t>
            </w:r>
            <w:r>
              <w:rPr>
                <w:sz w:val="24"/>
              </w:rPr>
              <w:t>其Q值计算结果见下表：</w:t>
            </w:r>
          </w:p>
          <w:p w14:paraId="2DC64C12">
            <w:pPr>
              <w:adjustRightInd w:val="0"/>
              <w:snapToGrid w:val="0"/>
              <w:ind w:firstLine="422" w:firstLineChars="200"/>
              <w:jc w:val="center"/>
              <w:rPr>
                <w:b/>
                <w:bCs/>
                <w:kern w:val="0"/>
                <w:szCs w:val="21"/>
              </w:rPr>
            </w:pPr>
            <w:r>
              <w:rPr>
                <w:b/>
                <w:bCs/>
                <w:szCs w:val="21"/>
              </w:rPr>
              <w:t>表4-</w:t>
            </w:r>
            <w:r>
              <w:rPr>
                <w:rFonts w:hint="eastAsia"/>
                <w:b/>
                <w:bCs/>
                <w:szCs w:val="21"/>
              </w:rPr>
              <w:t>1</w:t>
            </w:r>
            <w:r>
              <w:rPr>
                <w:b/>
                <w:bCs/>
                <w:szCs w:val="21"/>
              </w:rPr>
              <w:t>3  主要原料环境风险物质判别表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728"/>
              <w:gridCol w:w="1200"/>
              <w:gridCol w:w="1163"/>
              <w:gridCol w:w="799"/>
              <w:gridCol w:w="1163"/>
              <w:gridCol w:w="2862"/>
            </w:tblGrid>
            <w:tr w14:paraId="7B9F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323"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322CFC9">
                  <w:pPr>
                    <w:adjustRightInd w:val="0"/>
                    <w:snapToGrid w:val="0"/>
                    <w:jc w:val="center"/>
                    <w:rPr>
                      <w:b/>
                      <w:bCs/>
                      <w:szCs w:val="21"/>
                    </w:rPr>
                  </w:pPr>
                  <w:r>
                    <w:rPr>
                      <w:b/>
                      <w:bCs/>
                      <w:szCs w:val="21"/>
                    </w:rPr>
                    <w:t>序号</w:t>
                  </w:r>
                </w:p>
              </w:tc>
              <w:tc>
                <w:tcPr>
                  <w:tcW w:w="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F8711">
                  <w:pPr>
                    <w:adjustRightInd w:val="0"/>
                    <w:snapToGrid w:val="0"/>
                    <w:jc w:val="center"/>
                    <w:rPr>
                      <w:b/>
                      <w:bCs/>
                      <w:szCs w:val="21"/>
                    </w:rPr>
                  </w:pPr>
                  <w:r>
                    <w:rPr>
                      <w:b/>
                      <w:bCs/>
                      <w:szCs w:val="21"/>
                    </w:rPr>
                    <w:t>物质名称</w:t>
                  </w:r>
                </w:p>
              </w:tc>
              <w:tc>
                <w:tcPr>
                  <w:tcW w:w="7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3C5C3">
                  <w:pPr>
                    <w:adjustRightInd w:val="0"/>
                    <w:snapToGrid w:val="0"/>
                    <w:jc w:val="center"/>
                    <w:rPr>
                      <w:b/>
                      <w:bCs/>
                      <w:szCs w:val="21"/>
                    </w:rPr>
                  </w:pPr>
                  <w:r>
                    <w:rPr>
                      <w:b/>
                      <w:bCs/>
                      <w:szCs w:val="21"/>
                    </w:rPr>
                    <w:t>CAS号</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172E43">
                  <w:pPr>
                    <w:pStyle w:val="87"/>
                    <w:rPr>
                      <w:b/>
                      <w:bCs/>
                      <w:szCs w:val="21"/>
                      <w:lang w:val="de-DE"/>
                    </w:rPr>
                  </w:pPr>
                  <w:r>
                    <w:rPr>
                      <w:b/>
                      <w:bCs/>
                      <w:szCs w:val="21"/>
                    </w:rPr>
                    <w:t>最大储存量</w:t>
                  </w:r>
                  <w:r>
                    <w:rPr>
                      <w:b/>
                      <w:bCs/>
                      <w:szCs w:val="21"/>
                      <w:lang w:val="de-DE"/>
                    </w:rPr>
                    <w:t>q（t）</w:t>
                  </w:r>
                </w:p>
              </w:tc>
              <w:tc>
                <w:tcPr>
                  <w:tcW w:w="4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1F2FD">
                  <w:pPr>
                    <w:pStyle w:val="87"/>
                    <w:rPr>
                      <w:b/>
                      <w:bCs/>
                      <w:szCs w:val="21"/>
                    </w:rPr>
                  </w:pPr>
                  <w:r>
                    <w:rPr>
                      <w:b/>
                      <w:bCs/>
                      <w:szCs w:val="21"/>
                      <w:lang w:val="de-DE"/>
                    </w:rPr>
                    <w:t>临界量</w:t>
                  </w:r>
                </w:p>
                <w:p w14:paraId="3C40ED4A">
                  <w:pPr>
                    <w:pStyle w:val="87"/>
                    <w:rPr>
                      <w:b/>
                      <w:bCs/>
                      <w:szCs w:val="21"/>
                    </w:rPr>
                  </w:pPr>
                  <w:r>
                    <w:rPr>
                      <w:b/>
                      <w:bCs/>
                      <w:szCs w:val="21"/>
                    </w:rPr>
                    <w:t>Q（t）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C358E">
                  <w:pPr>
                    <w:pStyle w:val="87"/>
                    <w:rPr>
                      <w:b/>
                      <w:bCs/>
                      <w:szCs w:val="21"/>
                    </w:rPr>
                  </w:pPr>
                  <w:r>
                    <w:rPr>
                      <w:b/>
                      <w:bCs/>
                      <w:szCs w:val="21"/>
                    </w:rPr>
                    <w:t>q/Q</w:t>
                  </w:r>
                </w:p>
              </w:tc>
              <w:tc>
                <w:tcPr>
                  <w:tcW w:w="16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0C9E4">
                  <w:pPr>
                    <w:pStyle w:val="87"/>
                    <w:rPr>
                      <w:b/>
                      <w:bCs/>
                      <w:szCs w:val="21"/>
                    </w:rPr>
                  </w:pPr>
                  <w:r>
                    <w:rPr>
                      <w:b/>
                      <w:bCs/>
                      <w:szCs w:val="21"/>
                    </w:rPr>
                    <w:t>危险分类</w:t>
                  </w:r>
                </w:p>
              </w:tc>
            </w:tr>
            <w:tr w14:paraId="4CF0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648EB1">
                  <w:pPr>
                    <w:adjustRightInd w:val="0"/>
                    <w:snapToGrid w:val="0"/>
                    <w:jc w:val="center"/>
                    <w:rPr>
                      <w:position w:val="-28"/>
                      <w:szCs w:val="21"/>
                    </w:rPr>
                  </w:pPr>
                  <w:r>
                    <w:rPr>
                      <w:rFonts w:hint="eastAsia"/>
                      <w:position w:val="-28"/>
                      <w:szCs w:val="21"/>
                    </w:rPr>
                    <w:t>1</w:t>
                  </w:r>
                </w:p>
              </w:tc>
              <w:tc>
                <w:tcPr>
                  <w:tcW w:w="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FD73F">
                  <w:pPr>
                    <w:adjustRightInd w:val="0"/>
                    <w:snapToGrid w:val="0"/>
                    <w:jc w:val="center"/>
                    <w:rPr>
                      <w:position w:val="-28"/>
                      <w:szCs w:val="21"/>
                    </w:rPr>
                  </w:pPr>
                  <w:r>
                    <w:rPr>
                      <w:position w:val="-28"/>
                      <w:szCs w:val="21"/>
                    </w:rPr>
                    <w:t>废矿物油</w:t>
                  </w:r>
                </w:p>
              </w:tc>
              <w:tc>
                <w:tcPr>
                  <w:tcW w:w="7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715F4B">
                  <w:pPr>
                    <w:adjustRightInd w:val="0"/>
                    <w:snapToGrid w:val="0"/>
                    <w:jc w:val="center"/>
                    <w:rPr>
                      <w:position w:val="-28"/>
                      <w:szCs w:val="21"/>
                    </w:rPr>
                  </w:pPr>
                  <w:r>
                    <w:rPr>
                      <w:position w:val="-28"/>
                      <w:szCs w:val="21"/>
                    </w:rPr>
                    <w: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50C29">
                  <w:pPr>
                    <w:adjustRightInd w:val="0"/>
                    <w:snapToGrid w:val="0"/>
                    <w:jc w:val="center"/>
                    <w:rPr>
                      <w:position w:val="-28"/>
                      <w:szCs w:val="21"/>
                    </w:rPr>
                  </w:pPr>
                  <w:r>
                    <w:rPr>
                      <w:position w:val="-28"/>
                      <w:szCs w:val="21"/>
                    </w:rPr>
                    <w:t>0.</w:t>
                  </w:r>
                  <w:r>
                    <w:rPr>
                      <w:rFonts w:hint="eastAsia"/>
                      <w:position w:val="-28"/>
                      <w:szCs w:val="21"/>
                    </w:rPr>
                    <w:t>5</w:t>
                  </w:r>
                </w:p>
              </w:tc>
              <w:tc>
                <w:tcPr>
                  <w:tcW w:w="4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84B8A">
                  <w:pPr>
                    <w:adjustRightInd w:val="0"/>
                    <w:snapToGrid w:val="0"/>
                    <w:jc w:val="center"/>
                    <w:rPr>
                      <w:position w:val="-28"/>
                      <w:szCs w:val="21"/>
                    </w:rPr>
                  </w:pPr>
                  <w:r>
                    <w:rPr>
                      <w:position w:val="-28"/>
                      <w:szCs w:val="21"/>
                    </w:rPr>
                    <w:t>2500</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24D70">
                  <w:pPr>
                    <w:adjustRightInd w:val="0"/>
                    <w:snapToGrid w:val="0"/>
                    <w:jc w:val="center"/>
                    <w:rPr>
                      <w:position w:val="-28"/>
                      <w:szCs w:val="21"/>
                    </w:rPr>
                  </w:pPr>
                  <w:r>
                    <w:rPr>
                      <w:position w:val="-28"/>
                      <w:szCs w:val="21"/>
                    </w:rPr>
                    <w:t>0.000</w:t>
                  </w:r>
                  <w:r>
                    <w:rPr>
                      <w:rFonts w:hint="eastAsia"/>
                      <w:position w:val="-28"/>
                      <w:szCs w:val="21"/>
                    </w:rPr>
                    <w:t>2</w:t>
                  </w:r>
                </w:p>
              </w:tc>
              <w:tc>
                <w:tcPr>
                  <w:tcW w:w="16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2077E">
                  <w:pPr>
                    <w:adjustRightInd w:val="0"/>
                    <w:snapToGrid w:val="0"/>
                    <w:jc w:val="center"/>
                    <w:rPr>
                      <w:position w:val="-28"/>
                      <w:szCs w:val="21"/>
                    </w:rPr>
                  </w:pPr>
                  <w:r>
                    <w:rPr>
                      <w:position w:val="-28"/>
                      <w:szCs w:val="21"/>
                    </w:rPr>
                    <w:t>《企业突发环境事件风险分级方法》（HJ941-2018）附录A（突发环境事件风险物质及临界量清单）中第八部分：其他类物质及污染物</w:t>
                  </w:r>
                </w:p>
              </w:tc>
            </w:tr>
            <w:tr w14:paraId="16DB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5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FC3572">
                  <w:pPr>
                    <w:adjustRightInd w:val="0"/>
                    <w:snapToGrid w:val="0"/>
                    <w:jc w:val="center"/>
                    <w:rPr>
                      <w:position w:val="-28"/>
                      <w:szCs w:val="21"/>
                    </w:rPr>
                  </w:pPr>
                  <w:r>
                    <w:rPr>
                      <w:position w:val="-28"/>
                      <w:szCs w:val="21"/>
                    </w:rPr>
                    <w:t>合计</w:t>
                  </w:r>
                </w:p>
              </w:tc>
              <w:tc>
                <w:tcPr>
                  <w:tcW w:w="7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327F68">
                  <w:pPr>
                    <w:adjustRightInd w:val="0"/>
                    <w:snapToGrid w:val="0"/>
                    <w:jc w:val="center"/>
                    <w:rPr>
                      <w:position w:val="-28"/>
                      <w:szCs w:val="21"/>
                    </w:rPr>
                  </w:pPr>
                  <w:r>
                    <w:rPr>
                      <w:position w:val="-28"/>
                      <w:szCs w:val="21"/>
                    </w:rPr>
                    <w: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2AF3F">
                  <w:pPr>
                    <w:adjustRightInd w:val="0"/>
                    <w:snapToGrid w:val="0"/>
                    <w:jc w:val="center"/>
                    <w:rPr>
                      <w:position w:val="-28"/>
                      <w:szCs w:val="21"/>
                    </w:rPr>
                  </w:pPr>
                  <w:r>
                    <w:rPr>
                      <w:position w:val="-28"/>
                      <w:szCs w:val="21"/>
                    </w:rPr>
                    <w:t>/</w:t>
                  </w:r>
                </w:p>
              </w:tc>
              <w:tc>
                <w:tcPr>
                  <w:tcW w:w="4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35831">
                  <w:pPr>
                    <w:adjustRightInd w:val="0"/>
                    <w:snapToGrid w:val="0"/>
                    <w:jc w:val="center"/>
                    <w:rPr>
                      <w:position w:val="-28"/>
                      <w:szCs w:val="21"/>
                    </w:rPr>
                  </w:pPr>
                  <w:r>
                    <w:rPr>
                      <w:position w:val="-28"/>
                      <w:szCs w:val="21"/>
                    </w:rPr>
                    <w: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81B40">
                  <w:pPr>
                    <w:adjustRightInd w:val="0"/>
                    <w:snapToGrid w:val="0"/>
                    <w:jc w:val="center"/>
                    <w:rPr>
                      <w:position w:val="-28"/>
                      <w:szCs w:val="21"/>
                    </w:rPr>
                  </w:pPr>
                  <w:r>
                    <w:rPr>
                      <w:rFonts w:hint="eastAsia"/>
                      <w:position w:val="-28"/>
                      <w:szCs w:val="21"/>
                    </w:rPr>
                    <w:t>0.0002</w:t>
                  </w:r>
                </w:p>
              </w:tc>
              <w:tc>
                <w:tcPr>
                  <w:tcW w:w="16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A7304">
                  <w:pPr>
                    <w:adjustRightInd w:val="0"/>
                    <w:snapToGrid w:val="0"/>
                    <w:jc w:val="center"/>
                    <w:rPr>
                      <w:position w:val="-28"/>
                      <w:szCs w:val="21"/>
                    </w:rPr>
                  </w:pPr>
                  <w:r>
                    <w:rPr>
                      <w:position w:val="-28"/>
                      <w:szCs w:val="21"/>
                    </w:rPr>
                    <w:t>/</w:t>
                  </w:r>
                </w:p>
              </w:tc>
            </w:tr>
          </w:tbl>
          <w:p w14:paraId="0EB5F2D1">
            <w:pPr>
              <w:spacing w:line="360" w:lineRule="auto"/>
              <w:ind w:firstLine="480" w:firstLineChars="200"/>
              <w:rPr>
                <w:sz w:val="24"/>
              </w:rPr>
            </w:pPr>
            <w:r>
              <w:rPr>
                <w:sz w:val="24"/>
              </w:rPr>
              <w:t>本项目风险物质与临界值的比值Q=</w:t>
            </w:r>
            <w:r>
              <w:rPr>
                <w:rFonts w:hint="eastAsia"/>
                <w:sz w:val="24"/>
              </w:rPr>
              <w:t>0.0002</w:t>
            </w:r>
            <w:r>
              <w:rPr>
                <w:sz w:val="24"/>
              </w:rPr>
              <w:t>＜1，项目环境风险潜势为I，不设置评价等级，仅进行简要分析。</w:t>
            </w:r>
          </w:p>
          <w:p w14:paraId="26AD9CC4">
            <w:pPr>
              <w:adjustRightInd w:val="0"/>
              <w:snapToGrid w:val="0"/>
              <w:spacing w:line="360" w:lineRule="auto"/>
              <w:ind w:firstLine="482" w:firstLineChars="200"/>
              <w:rPr>
                <w:b/>
                <w:bCs/>
                <w:kern w:val="0"/>
                <w:sz w:val="24"/>
              </w:rPr>
            </w:pPr>
            <w:r>
              <w:rPr>
                <w:b/>
                <w:bCs/>
                <w:kern w:val="0"/>
                <w:sz w:val="24"/>
              </w:rPr>
              <w:t>3、评价等级</w:t>
            </w:r>
          </w:p>
          <w:p w14:paraId="6A2CCE0B">
            <w:pPr>
              <w:adjustRightInd w:val="0"/>
              <w:snapToGrid w:val="0"/>
              <w:spacing w:line="360" w:lineRule="auto"/>
              <w:ind w:firstLine="480" w:firstLineChars="200"/>
              <w:rPr>
                <w:kern w:val="0"/>
                <w:sz w:val="24"/>
              </w:rPr>
            </w:pPr>
            <w:r>
              <w:rPr>
                <w:kern w:val="0"/>
                <w:sz w:val="24"/>
              </w:rPr>
              <w:t>根据《建设项目环境风险评价技术导则》（HJ169-2018）表1评价工作等级的划分见下表：</w:t>
            </w:r>
          </w:p>
          <w:p w14:paraId="2A6C8D8A">
            <w:pPr>
              <w:pStyle w:val="11"/>
              <w:adjustRightInd w:val="0"/>
              <w:ind w:right="-45"/>
              <w:jc w:val="center"/>
              <w:rPr>
                <w:rFonts w:ascii="Times New Roman" w:hAnsi="Times New Roman"/>
                <w:b/>
                <w:szCs w:val="21"/>
              </w:rPr>
            </w:pPr>
            <w:r>
              <w:rPr>
                <w:rFonts w:ascii="Times New Roman" w:hAnsi="Times New Roman"/>
                <w:b/>
                <w:szCs w:val="21"/>
              </w:rPr>
              <w:t>表4-</w:t>
            </w:r>
            <w:r>
              <w:rPr>
                <w:rFonts w:hint="eastAsia" w:ascii="Times New Roman" w:hAnsi="Times New Roman"/>
                <w:b/>
                <w:szCs w:val="21"/>
              </w:rPr>
              <w:t>1</w:t>
            </w:r>
            <w:r>
              <w:rPr>
                <w:rFonts w:ascii="Times New Roman" w:hAnsi="Times New Roman"/>
                <w:b/>
                <w:szCs w:val="21"/>
              </w:rPr>
              <w:t>4  环境风险评价等级的确定依据</w:t>
            </w:r>
          </w:p>
          <w:tbl>
            <w:tblPr>
              <w:tblStyle w:val="23"/>
              <w:tblW w:w="5000" w:type="pct"/>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90"/>
              <w:gridCol w:w="1690"/>
              <w:gridCol w:w="1691"/>
              <w:gridCol w:w="1691"/>
              <w:gridCol w:w="1695"/>
            </w:tblGrid>
            <w:tr w14:paraId="019D5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999" w:type="pct"/>
                </w:tcPr>
                <w:p w14:paraId="49413E6C">
                  <w:pPr>
                    <w:widowControl/>
                    <w:autoSpaceDE w:val="0"/>
                    <w:autoSpaceDN w:val="0"/>
                    <w:ind w:left="105" w:leftChars="50" w:right="105" w:rightChars="50"/>
                    <w:jc w:val="center"/>
                    <w:rPr>
                      <w:kern w:val="0"/>
                      <w:szCs w:val="21"/>
                    </w:rPr>
                  </w:pPr>
                  <w:r>
                    <w:rPr>
                      <w:kern w:val="0"/>
                      <w:szCs w:val="21"/>
                    </w:rPr>
                    <w:t>环境风险潜势</w:t>
                  </w:r>
                </w:p>
              </w:tc>
              <w:tc>
                <w:tcPr>
                  <w:tcW w:w="999" w:type="pct"/>
                </w:tcPr>
                <w:p w14:paraId="575C1888">
                  <w:pPr>
                    <w:widowControl/>
                    <w:autoSpaceDE w:val="0"/>
                    <w:autoSpaceDN w:val="0"/>
                    <w:ind w:left="105" w:leftChars="50" w:right="105" w:rightChars="50"/>
                    <w:jc w:val="center"/>
                    <w:rPr>
                      <w:kern w:val="0"/>
                      <w:szCs w:val="21"/>
                    </w:rPr>
                  </w:pPr>
                  <w:r>
                    <w:rPr>
                      <w:kern w:val="0"/>
                      <w:szCs w:val="21"/>
                    </w:rPr>
                    <w:t>Ⅳ、Ⅳ*</w:t>
                  </w:r>
                </w:p>
              </w:tc>
              <w:tc>
                <w:tcPr>
                  <w:tcW w:w="1000" w:type="pct"/>
                </w:tcPr>
                <w:p w14:paraId="67582820">
                  <w:pPr>
                    <w:widowControl/>
                    <w:autoSpaceDE w:val="0"/>
                    <w:autoSpaceDN w:val="0"/>
                    <w:ind w:left="105" w:leftChars="50" w:right="105" w:rightChars="50"/>
                    <w:jc w:val="center"/>
                    <w:rPr>
                      <w:kern w:val="0"/>
                      <w:szCs w:val="21"/>
                    </w:rPr>
                  </w:pPr>
                  <w:r>
                    <w:rPr>
                      <w:kern w:val="0"/>
                      <w:szCs w:val="21"/>
                    </w:rPr>
                    <w:t>Ⅲ</w:t>
                  </w:r>
                </w:p>
              </w:tc>
              <w:tc>
                <w:tcPr>
                  <w:tcW w:w="1000" w:type="pct"/>
                </w:tcPr>
                <w:p w14:paraId="0B9B9899">
                  <w:pPr>
                    <w:widowControl/>
                    <w:autoSpaceDE w:val="0"/>
                    <w:autoSpaceDN w:val="0"/>
                    <w:ind w:left="105" w:leftChars="50" w:right="105" w:rightChars="50"/>
                    <w:jc w:val="center"/>
                    <w:rPr>
                      <w:kern w:val="0"/>
                      <w:szCs w:val="21"/>
                    </w:rPr>
                  </w:pPr>
                  <w:r>
                    <w:rPr>
                      <w:kern w:val="0"/>
                      <w:szCs w:val="21"/>
                    </w:rPr>
                    <w:t>Ⅱ</w:t>
                  </w:r>
                </w:p>
              </w:tc>
              <w:tc>
                <w:tcPr>
                  <w:tcW w:w="1000" w:type="pct"/>
                </w:tcPr>
                <w:p w14:paraId="3C8246AC">
                  <w:pPr>
                    <w:widowControl/>
                    <w:autoSpaceDE w:val="0"/>
                    <w:autoSpaceDN w:val="0"/>
                    <w:ind w:left="105" w:leftChars="50" w:right="105" w:rightChars="50"/>
                    <w:jc w:val="center"/>
                    <w:rPr>
                      <w:kern w:val="0"/>
                      <w:szCs w:val="21"/>
                    </w:rPr>
                  </w:pPr>
                  <w:r>
                    <w:rPr>
                      <w:kern w:val="0"/>
                      <w:szCs w:val="21"/>
                    </w:rPr>
                    <w:t>Ⅰ</w:t>
                  </w:r>
                </w:p>
              </w:tc>
            </w:tr>
            <w:tr w14:paraId="6EF470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999" w:type="pct"/>
                </w:tcPr>
                <w:p w14:paraId="29F56222">
                  <w:pPr>
                    <w:widowControl/>
                    <w:autoSpaceDE w:val="0"/>
                    <w:autoSpaceDN w:val="0"/>
                    <w:ind w:left="105" w:leftChars="50" w:right="105" w:rightChars="50"/>
                    <w:jc w:val="center"/>
                    <w:rPr>
                      <w:kern w:val="0"/>
                      <w:szCs w:val="21"/>
                    </w:rPr>
                  </w:pPr>
                  <w:r>
                    <w:rPr>
                      <w:kern w:val="0"/>
                      <w:szCs w:val="21"/>
                    </w:rPr>
                    <w:t>评价工作等级</w:t>
                  </w:r>
                </w:p>
              </w:tc>
              <w:tc>
                <w:tcPr>
                  <w:tcW w:w="999" w:type="pct"/>
                </w:tcPr>
                <w:p w14:paraId="023387F9">
                  <w:pPr>
                    <w:widowControl/>
                    <w:autoSpaceDE w:val="0"/>
                    <w:autoSpaceDN w:val="0"/>
                    <w:ind w:left="105" w:leftChars="50" w:right="105" w:rightChars="50"/>
                    <w:jc w:val="center"/>
                    <w:rPr>
                      <w:kern w:val="0"/>
                      <w:szCs w:val="21"/>
                    </w:rPr>
                  </w:pPr>
                  <w:r>
                    <w:rPr>
                      <w:kern w:val="0"/>
                      <w:szCs w:val="21"/>
                    </w:rPr>
                    <w:t>一</w:t>
                  </w:r>
                </w:p>
              </w:tc>
              <w:tc>
                <w:tcPr>
                  <w:tcW w:w="1000" w:type="pct"/>
                </w:tcPr>
                <w:p w14:paraId="75083571">
                  <w:pPr>
                    <w:widowControl/>
                    <w:autoSpaceDE w:val="0"/>
                    <w:autoSpaceDN w:val="0"/>
                    <w:ind w:left="105" w:leftChars="50" w:right="105" w:rightChars="50"/>
                    <w:jc w:val="center"/>
                    <w:rPr>
                      <w:kern w:val="0"/>
                      <w:szCs w:val="21"/>
                    </w:rPr>
                  </w:pPr>
                  <w:r>
                    <w:rPr>
                      <w:kern w:val="0"/>
                      <w:szCs w:val="21"/>
                    </w:rPr>
                    <w:t>二</w:t>
                  </w:r>
                </w:p>
              </w:tc>
              <w:tc>
                <w:tcPr>
                  <w:tcW w:w="1000" w:type="pct"/>
                </w:tcPr>
                <w:p w14:paraId="6D538C96">
                  <w:pPr>
                    <w:widowControl/>
                    <w:autoSpaceDE w:val="0"/>
                    <w:autoSpaceDN w:val="0"/>
                    <w:ind w:left="105" w:leftChars="50" w:right="105" w:rightChars="50"/>
                    <w:jc w:val="center"/>
                    <w:rPr>
                      <w:kern w:val="0"/>
                      <w:szCs w:val="21"/>
                    </w:rPr>
                  </w:pPr>
                  <w:r>
                    <w:rPr>
                      <w:kern w:val="0"/>
                      <w:szCs w:val="21"/>
                    </w:rPr>
                    <w:t>三</w:t>
                  </w:r>
                </w:p>
              </w:tc>
              <w:tc>
                <w:tcPr>
                  <w:tcW w:w="1000" w:type="pct"/>
                </w:tcPr>
                <w:p w14:paraId="3A080392">
                  <w:pPr>
                    <w:widowControl/>
                    <w:autoSpaceDE w:val="0"/>
                    <w:autoSpaceDN w:val="0"/>
                    <w:ind w:left="105" w:leftChars="50" w:right="105" w:rightChars="50"/>
                    <w:jc w:val="center"/>
                    <w:rPr>
                      <w:kern w:val="0"/>
                      <w:szCs w:val="21"/>
                    </w:rPr>
                  </w:pPr>
                  <w:r>
                    <w:rPr>
                      <w:kern w:val="0"/>
                      <w:szCs w:val="21"/>
                    </w:rPr>
                    <w:t>简单分析</w:t>
                  </w:r>
                </w:p>
              </w:tc>
            </w:tr>
            <w:tr w14:paraId="2738D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5000" w:type="pct"/>
                  <w:gridSpan w:val="5"/>
                </w:tcPr>
                <w:p w14:paraId="17A0C67A">
                  <w:pPr>
                    <w:widowControl/>
                    <w:autoSpaceDE w:val="0"/>
                    <w:autoSpaceDN w:val="0"/>
                    <w:ind w:left="105" w:leftChars="50" w:right="105" w:rightChars="50"/>
                    <w:jc w:val="left"/>
                    <w:rPr>
                      <w:kern w:val="0"/>
                      <w:szCs w:val="21"/>
                    </w:rPr>
                  </w:pPr>
                  <w:r>
                    <w:rPr>
                      <w:kern w:val="0"/>
                      <w:szCs w:val="21"/>
                    </w:rPr>
                    <w:t>简单分析是相对于详细评价工作内容而言，在描述危险物质、环境影响途径、环境危害后果、风险防范措施等方面给出定性的说明。详见 HJ169-2018 附录 A</w:t>
                  </w:r>
                </w:p>
              </w:tc>
            </w:tr>
          </w:tbl>
          <w:p w14:paraId="33EE3395">
            <w:pPr>
              <w:adjustRightInd w:val="0"/>
              <w:snapToGrid w:val="0"/>
              <w:spacing w:line="360" w:lineRule="auto"/>
              <w:ind w:firstLine="480" w:firstLineChars="200"/>
              <w:rPr>
                <w:kern w:val="0"/>
                <w:sz w:val="24"/>
              </w:rPr>
            </w:pPr>
            <w:r>
              <w:rPr>
                <w:kern w:val="0"/>
                <w:sz w:val="24"/>
              </w:rPr>
              <w:t>依据上表中所规定的判定原则，本次环境风险评价工作等级判定为</w:t>
            </w:r>
            <w:r>
              <w:rPr>
                <w:b/>
                <w:bCs/>
                <w:kern w:val="0"/>
                <w:sz w:val="24"/>
              </w:rPr>
              <w:t>简单分析</w:t>
            </w:r>
            <w:r>
              <w:rPr>
                <w:kern w:val="0"/>
                <w:sz w:val="24"/>
              </w:rPr>
              <w:t>。</w:t>
            </w:r>
          </w:p>
          <w:p w14:paraId="60FF45EE">
            <w:pPr>
              <w:adjustRightInd w:val="0"/>
              <w:snapToGrid w:val="0"/>
              <w:spacing w:line="360" w:lineRule="auto"/>
              <w:ind w:firstLine="482" w:firstLineChars="200"/>
              <w:rPr>
                <w:b/>
                <w:bCs/>
                <w:kern w:val="0"/>
                <w:sz w:val="24"/>
              </w:rPr>
            </w:pPr>
            <w:r>
              <w:rPr>
                <w:rFonts w:hint="eastAsia"/>
                <w:b/>
                <w:bCs/>
                <w:kern w:val="0"/>
                <w:sz w:val="24"/>
              </w:rPr>
              <w:t>4</w:t>
            </w:r>
            <w:r>
              <w:rPr>
                <w:b/>
                <w:bCs/>
                <w:kern w:val="0"/>
                <w:sz w:val="24"/>
              </w:rPr>
              <w:t>、环境敏感目标概况</w:t>
            </w:r>
          </w:p>
          <w:p w14:paraId="287E85A6">
            <w:pPr>
              <w:adjustRightInd w:val="0"/>
              <w:snapToGrid w:val="0"/>
              <w:spacing w:line="360" w:lineRule="auto"/>
              <w:ind w:firstLine="480" w:firstLineChars="200"/>
              <w:rPr>
                <w:kern w:val="0"/>
                <w:sz w:val="24"/>
              </w:rPr>
            </w:pPr>
            <w:r>
              <w:rPr>
                <w:kern w:val="0"/>
                <w:sz w:val="24"/>
              </w:rPr>
              <w:t>评价区可能受影响的环境保护目标见下表：</w:t>
            </w:r>
          </w:p>
          <w:p w14:paraId="2744F6D1">
            <w:pPr>
              <w:pStyle w:val="11"/>
              <w:adjustRightInd w:val="0"/>
              <w:ind w:right="-45"/>
              <w:jc w:val="center"/>
              <w:rPr>
                <w:rFonts w:ascii="Times New Roman" w:hAnsi="Times New Roman"/>
                <w:b/>
                <w:szCs w:val="21"/>
              </w:rPr>
            </w:pPr>
            <w:r>
              <w:rPr>
                <w:rFonts w:ascii="Times New Roman" w:hAnsi="Times New Roman"/>
                <w:b/>
                <w:szCs w:val="21"/>
              </w:rPr>
              <w:t>表4-</w:t>
            </w:r>
            <w:r>
              <w:rPr>
                <w:rFonts w:hint="eastAsia" w:ascii="Times New Roman" w:hAnsi="Times New Roman"/>
                <w:b/>
                <w:szCs w:val="21"/>
              </w:rPr>
              <w:t>1</w:t>
            </w:r>
            <w:r>
              <w:rPr>
                <w:rFonts w:ascii="Times New Roman" w:hAnsi="Times New Roman"/>
                <w:b/>
                <w:szCs w:val="21"/>
              </w:rPr>
              <w:t>5  评价区可能受影响的主要环境保护目标</w:t>
            </w:r>
          </w:p>
          <w:tbl>
            <w:tblPr>
              <w:tblStyle w:val="23"/>
              <w:tblW w:w="499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52"/>
              <w:gridCol w:w="1438"/>
              <w:gridCol w:w="4157"/>
              <w:gridCol w:w="1805"/>
            </w:tblGrid>
            <w:tr w14:paraId="4BD59F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Align w:val="center"/>
                </w:tcPr>
                <w:p w14:paraId="2518ACBE">
                  <w:pPr>
                    <w:widowControl/>
                    <w:autoSpaceDE w:val="0"/>
                    <w:autoSpaceDN w:val="0"/>
                    <w:ind w:left="105" w:leftChars="50" w:right="105" w:rightChars="50"/>
                    <w:jc w:val="center"/>
                    <w:rPr>
                      <w:b/>
                      <w:bCs/>
                      <w:kern w:val="0"/>
                      <w:szCs w:val="21"/>
                    </w:rPr>
                  </w:pPr>
                  <w:r>
                    <w:rPr>
                      <w:b/>
                      <w:bCs/>
                      <w:kern w:val="0"/>
                      <w:szCs w:val="21"/>
                    </w:rPr>
                    <w:t>保护对象</w:t>
                  </w:r>
                </w:p>
              </w:tc>
              <w:tc>
                <w:tcPr>
                  <w:tcW w:w="850" w:type="pct"/>
                  <w:vAlign w:val="center"/>
                </w:tcPr>
                <w:p w14:paraId="47A597F6">
                  <w:pPr>
                    <w:widowControl/>
                    <w:autoSpaceDE w:val="0"/>
                    <w:autoSpaceDN w:val="0"/>
                    <w:ind w:left="105" w:leftChars="50" w:right="105" w:rightChars="50"/>
                    <w:jc w:val="center"/>
                    <w:rPr>
                      <w:b/>
                      <w:bCs/>
                      <w:kern w:val="0"/>
                      <w:szCs w:val="21"/>
                    </w:rPr>
                  </w:pPr>
                  <w:r>
                    <w:rPr>
                      <w:b/>
                      <w:bCs/>
                      <w:kern w:val="0"/>
                      <w:szCs w:val="21"/>
                    </w:rPr>
                    <w:t>保护类别</w:t>
                  </w:r>
                </w:p>
              </w:tc>
              <w:tc>
                <w:tcPr>
                  <w:tcW w:w="2458" w:type="pct"/>
                  <w:vAlign w:val="center"/>
                </w:tcPr>
                <w:p w14:paraId="04B97175">
                  <w:pPr>
                    <w:widowControl/>
                    <w:autoSpaceDE w:val="0"/>
                    <w:autoSpaceDN w:val="0"/>
                    <w:ind w:left="105" w:leftChars="50" w:right="105" w:rightChars="50"/>
                    <w:jc w:val="center"/>
                    <w:rPr>
                      <w:b/>
                      <w:bCs/>
                      <w:kern w:val="0"/>
                      <w:szCs w:val="21"/>
                    </w:rPr>
                  </w:pPr>
                  <w:r>
                    <w:rPr>
                      <w:b/>
                      <w:bCs/>
                      <w:kern w:val="0"/>
                      <w:szCs w:val="21"/>
                    </w:rPr>
                    <w:t>保护目标</w:t>
                  </w:r>
                </w:p>
              </w:tc>
              <w:tc>
                <w:tcPr>
                  <w:tcW w:w="1068" w:type="pct"/>
                  <w:vAlign w:val="center"/>
                </w:tcPr>
                <w:p w14:paraId="7FD5018C">
                  <w:pPr>
                    <w:widowControl/>
                    <w:autoSpaceDE w:val="0"/>
                    <w:autoSpaceDN w:val="0"/>
                    <w:ind w:left="105" w:leftChars="50" w:right="105" w:rightChars="50"/>
                    <w:jc w:val="center"/>
                    <w:rPr>
                      <w:b/>
                      <w:bCs/>
                      <w:kern w:val="0"/>
                      <w:szCs w:val="21"/>
                    </w:rPr>
                  </w:pPr>
                  <w:r>
                    <w:rPr>
                      <w:b/>
                      <w:bCs/>
                      <w:kern w:val="0"/>
                      <w:szCs w:val="21"/>
                    </w:rPr>
                    <w:t>备注</w:t>
                  </w:r>
                </w:p>
              </w:tc>
            </w:tr>
            <w:tr w14:paraId="53FA6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Align w:val="center"/>
                </w:tcPr>
                <w:p w14:paraId="2DBDACEE">
                  <w:pPr>
                    <w:widowControl/>
                    <w:autoSpaceDE w:val="0"/>
                    <w:autoSpaceDN w:val="0"/>
                    <w:ind w:left="105" w:leftChars="50" w:right="105" w:rightChars="50"/>
                    <w:jc w:val="center"/>
                    <w:rPr>
                      <w:kern w:val="0"/>
                      <w:szCs w:val="21"/>
                    </w:rPr>
                  </w:pPr>
                  <w:r>
                    <w:rPr>
                      <w:kern w:val="0"/>
                      <w:szCs w:val="21"/>
                    </w:rPr>
                    <w:t>大气环境</w:t>
                  </w:r>
                </w:p>
              </w:tc>
              <w:tc>
                <w:tcPr>
                  <w:tcW w:w="850" w:type="pct"/>
                  <w:vAlign w:val="center"/>
                </w:tcPr>
                <w:p w14:paraId="5DD81C22">
                  <w:pPr>
                    <w:widowControl/>
                    <w:autoSpaceDE w:val="0"/>
                    <w:autoSpaceDN w:val="0"/>
                    <w:ind w:left="105" w:leftChars="50" w:right="105" w:rightChars="50"/>
                    <w:jc w:val="center"/>
                    <w:rPr>
                      <w:kern w:val="0"/>
                      <w:szCs w:val="21"/>
                    </w:rPr>
                  </w:pPr>
                  <w:r>
                    <w:rPr>
                      <w:kern w:val="0"/>
                      <w:szCs w:val="21"/>
                    </w:rPr>
                    <w:t>空气质量、人群健康</w:t>
                  </w:r>
                </w:p>
              </w:tc>
              <w:tc>
                <w:tcPr>
                  <w:tcW w:w="2458" w:type="pct"/>
                  <w:vAlign w:val="center"/>
                </w:tcPr>
                <w:p w14:paraId="66647BBF">
                  <w:pPr>
                    <w:widowControl/>
                    <w:autoSpaceDE w:val="0"/>
                    <w:autoSpaceDN w:val="0"/>
                    <w:ind w:left="105" w:leftChars="50" w:right="105" w:rightChars="50"/>
                    <w:jc w:val="center"/>
                    <w:rPr>
                      <w:kern w:val="0"/>
                      <w:szCs w:val="21"/>
                    </w:rPr>
                  </w:pPr>
                  <w:r>
                    <w:rPr>
                      <w:kern w:val="0"/>
                      <w:szCs w:val="21"/>
                    </w:rPr>
                    <w:t>《环境空气质量标准》（GB3095-20</w:t>
                  </w:r>
                  <w:r>
                    <w:rPr>
                      <w:rFonts w:hint="eastAsia"/>
                      <w:kern w:val="0"/>
                      <w:szCs w:val="21"/>
                    </w:rPr>
                    <w:t>26</w:t>
                  </w:r>
                  <w:r>
                    <w:rPr>
                      <w:kern w:val="0"/>
                      <w:szCs w:val="21"/>
                    </w:rPr>
                    <w:t>）二级标准</w:t>
                  </w:r>
                </w:p>
              </w:tc>
              <w:tc>
                <w:tcPr>
                  <w:tcW w:w="1068" w:type="pct"/>
                  <w:vAlign w:val="center"/>
                </w:tcPr>
                <w:p w14:paraId="1C981738">
                  <w:pPr>
                    <w:widowControl/>
                    <w:autoSpaceDE w:val="0"/>
                    <w:autoSpaceDN w:val="0"/>
                    <w:ind w:left="105" w:leftChars="50" w:right="105" w:rightChars="50"/>
                    <w:jc w:val="center"/>
                    <w:rPr>
                      <w:kern w:val="0"/>
                      <w:szCs w:val="21"/>
                    </w:rPr>
                  </w:pPr>
                  <w:r>
                    <w:rPr>
                      <w:kern w:val="0"/>
                      <w:szCs w:val="21"/>
                    </w:rPr>
                    <w:t>拟建地附近人群</w:t>
                  </w:r>
                </w:p>
              </w:tc>
            </w:tr>
            <w:tr w14:paraId="327DE2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Align w:val="center"/>
                </w:tcPr>
                <w:p w14:paraId="0D8FDE66">
                  <w:pPr>
                    <w:widowControl/>
                    <w:autoSpaceDE w:val="0"/>
                    <w:autoSpaceDN w:val="0"/>
                    <w:ind w:left="105" w:leftChars="50" w:right="105" w:rightChars="50"/>
                    <w:jc w:val="center"/>
                    <w:rPr>
                      <w:kern w:val="0"/>
                      <w:szCs w:val="21"/>
                    </w:rPr>
                  </w:pPr>
                  <w:r>
                    <w:rPr>
                      <w:kern w:val="0"/>
                      <w:szCs w:val="21"/>
                    </w:rPr>
                    <w:t>地下水</w:t>
                  </w:r>
                </w:p>
              </w:tc>
              <w:tc>
                <w:tcPr>
                  <w:tcW w:w="850" w:type="pct"/>
                  <w:vAlign w:val="center"/>
                </w:tcPr>
                <w:p w14:paraId="5232E1EA">
                  <w:pPr>
                    <w:widowControl/>
                    <w:autoSpaceDE w:val="0"/>
                    <w:autoSpaceDN w:val="0"/>
                    <w:ind w:left="105" w:leftChars="50" w:right="105" w:rightChars="50"/>
                    <w:jc w:val="center"/>
                    <w:rPr>
                      <w:kern w:val="0"/>
                      <w:szCs w:val="21"/>
                    </w:rPr>
                  </w:pPr>
                  <w:r>
                    <w:rPr>
                      <w:kern w:val="0"/>
                      <w:szCs w:val="21"/>
                    </w:rPr>
                    <w:t>地下水</w:t>
                  </w:r>
                </w:p>
              </w:tc>
              <w:tc>
                <w:tcPr>
                  <w:tcW w:w="2458" w:type="pct"/>
                  <w:vAlign w:val="center"/>
                </w:tcPr>
                <w:p w14:paraId="06CAFBDD">
                  <w:pPr>
                    <w:widowControl/>
                    <w:autoSpaceDE w:val="0"/>
                    <w:autoSpaceDN w:val="0"/>
                    <w:ind w:left="105" w:leftChars="50" w:right="105" w:rightChars="50"/>
                    <w:jc w:val="center"/>
                    <w:rPr>
                      <w:kern w:val="0"/>
                      <w:szCs w:val="21"/>
                    </w:rPr>
                  </w:pPr>
                  <w:r>
                    <w:rPr>
                      <w:kern w:val="0"/>
                      <w:szCs w:val="21"/>
                    </w:rPr>
                    <w:t>《地下水质量标准》（GB/T14848-2017）Ⅲ类标准</w:t>
                  </w:r>
                </w:p>
              </w:tc>
              <w:tc>
                <w:tcPr>
                  <w:tcW w:w="1068" w:type="pct"/>
                  <w:vAlign w:val="center"/>
                </w:tcPr>
                <w:p w14:paraId="77CF1179">
                  <w:pPr>
                    <w:widowControl/>
                    <w:autoSpaceDE w:val="0"/>
                    <w:autoSpaceDN w:val="0"/>
                    <w:ind w:left="105" w:leftChars="50" w:right="105" w:rightChars="50"/>
                    <w:jc w:val="center"/>
                    <w:rPr>
                      <w:kern w:val="0"/>
                      <w:szCs w:val="21"/>
                    </w:rPr>
                  </w:pPr>
                  <w:r>
                    <w:rPr>
                      <w:kern w:val="0"/>
                      <w:szCs w:val="21"/>
                    </w:rPr>
                    <w:t>拟建地及周边地区</w:t>
                  </w:r>
                </w:p>
              </w:tc>
            </w:tr>
            <w:tr w14:paraId="4B115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Merge w:val="restart"/>
                  <w:vAlign w:val="center"/>
                </w:tcPr>
                <w:p w14:paraId="4FE186CD">
                  <w:pPr>
                    <w:widowControl/>
                    <w:autoSpaceDE w:val="0"/>
                    <w:autoSpaceDN w:val="0"/>
                    <w:ind w:left="105" w:leftChars="50" w:right="105" w:rightChars="50"/>
                    <w:jc w:val="center"/>
                    <w:rPr>
                      <w:kern w:val="0"/>
                      <w:szCs w:val="21"/>
                    </w:rPr>
                  </w:pPr>
                  <w:r>
                    <w:rPr>
                      <w:kern w:val="0"/>
                      <w:szCs w:val="21"/>
                    </w:rPr>
                    <w:t>生态环境</w:t>
                  </w:r>
                </w:p>
              </w:tc>
              <w:tc>
                <w:tcPr>
                  <w:tcW w:w="850" w:type="pct"/>
                  <w:vMerge w:val="restart"/>
                  <w:vAlign w:val="center"/>
                </w:tcPr>
                <w:p w14:paraId="6EDC3EBA">
                  <w:pPr>
                    <w:widowControl/>
                    <w:autoSpaceDE w:val="0"/>
                    <w:autoSpaceDN w:val="0"/>
                    <w:ind w:left="105" w:leftChars="50" w:right="105" w:rightChars="50"/>
                    <w:jc w:val="center"/>
                    <w:rPr>
                      <w:kern w:val="0"/>
                      <w:szCs w:val="21"/>
                    </w:rPr>
                  </w:pPr>
                  <w:r>
                    <w:rPr>
                      <w:kern w:val="0"/>
                      <w:szCs w:val="21"/>
                    </w:rPr>
                    <w:t>土壤</w:t>
                  </w:r>
                </w:p>
              </w:tc>
              <w:tc>
                <w:tcPr>
                  <w:tcW w:w="2458" w:type="pct"/>
                  <w:vAlign w:val="center"/>
                </w:tcPr>
                <w:p w14:paraId="3F7E093B">
                  <w:pPr>
                    <w:widowControl/>
                    <w:autoSpaceDE w:val="0"/>
                    <w:autoSpaceDN w:val="0"/>
                    <w:ind w:left="105" w:leftChars="50" w:right="105" w:rightChars="50"/>
                    <w:jc w:val="center"/>
                    <w:rPr>
                      <w:kern w:val="0"/>
                      <w:szCs w:val="21"/>
                    </w:rPr>
                  </w:pPr>
                  <w:r>
                    <w:rPr>
                      <w:kern w:val="0"/>
                      <w:szCs w:val="21"/>
                    </w:rPr>
                    <w:t>《土壤环境质量 农用地土壤污染风险管控标准（试行）》（GB 15618-2018）</w:t>
                  </w:r>
                </w:p>
              </w:tc>
              <w:tc>
                <w:tcPr>
                  <w:tcW w:w="1068" w:type="pct"/>
                  <w:vAlign w:val="center"/>
                </w:tcPr>
                <w:p w14:paraId="7536392F">
                  <w:pPr>
                    <w:widowControl/>
                    <w:autoSpaceDE w:val="0"/>
                    <w:autoSpaceDN w:val="0"/>
                    <w:ind w:left="105" w:leftChars="50" w:right="105" w:rightChars="50"/>
                    <w:jc w:val="center"/>
                    <w:rPr>
                      <w:kern w:val="0"/>
                      <w:szCs w:val="21"/>
                    </w:rPr>
                  </w:pPr>
                  <w:r>
                    <w:rPr>
                      <w:kern w:val="0"/>
                      <w:szCs w:val="21"/>
                    </w:rPr>
                    <w:t>拟建地周边地区</w:t>
                  </w:r>
                </w:p>
              </w:tc>
            </w:tr>
            <w:tr w14:paraId="1B7530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Merge w:val="continue"/>
                  <w:vAlign w:val="center"/>
                </w:tcPr>
                <w:p w14:paraId="178B3E95">
                  <w:pPr>
                    <w:widowControl/>
                    <w:autoSpaceDE w:val="0"/>
                    <w:autoSpaceDN w:val="0"/>
                    <w:ind w:left="105" w:leftChars="50" w:right="105" w:rightChars="50"/>
                    <w:jc w:val="center"/>
                  </w:pPr>
                </w:p>
              </w:tc>
              <w:tc>
                <w:tcPr>
                  <w:tcW w:w="850" w:type="pct"/>
                  <w:vMerge w:val="continue"/>
                  <w:vAlign w:val="center"/>
                </w:tcPr>
                <w:p w14:paraId="54C66647">
                  <w:pPr>
                    <w:widowControl/>
                    <w:autoSpaceDE w:val="0"/>
                    <w:autoSpaceDN w:val="0"/>
                    <w:ind w:left="105" w:leftChars="50" w:right="105" w:rightChars="50"/>
                    <w:jc w:val="center"/>
                  </w:pPr>
                </w:p>
              </w:tc>
              <w:tc>
                <w:tcPr>
                  <w:tcW w:w="2458" w:type="pct"/>
                  <w:vAlign w:val="center"/>
                </w:tcPr>
                <w:p w14:paraId="6EEC5923">
                  <w:pPr>
                    <w:widowControl/>
                    <w:autoSpaceDE w:val="0"/>
                    <w:autoSpaceDN w:val="0"/>
                    <w:ind w:left="105" w:leftChars="50" w:right="105" w:rightChars="50"/>
                    <w:jc w:val="center"/>
                    <w:rPr>
                      <w:kern w:val="0"/>
                      <w:szCs w:val="21"/>
                    </w:rPr>
                  </w:pPr>
                  <w:r>
                    <w:rPr>
                      <w:kern w:val="0"/>
                      <w:szCs w:val="21"/>
                    </w:rPr>
                    <w:t>《土壤环境质量 建设用地土壤污染风险管控标准（试行）》（GB36600-2018）</w:t>
                  </w:r>
                </w:p>
              </w:tc>
              <w:tc>
                <w:tcPr>
                  <w:tcW w:w="1068" w:type="pct"/>
                  <w:vAlign w:val="center"/>
                </w:tcPr>
                <w:p w14:paraId="46B3B3B7">
                  <w:pPr>
                    <w:widowControl/>
                    <w:autoSpaceDE w:val="0"/>
                    <w:autoSpaceDN w:val="0"/>
                    <w:ind w:left="105" w:leftChars="50" w:right="105" w:rightChars="50"/>
                    <w:jc w:val="center"/>
                    <w:rPr>
                      <w:kern w:val="0"/>
                      <w:szCs w:val="21"/>
                    </w:rPr>
                  </w:pPr>
                  <w:r>
                    <w:rPr>
                      <w:kern w:val="0"/>
                      <w:szCs w:val="21"/>
                    </w:rPr>
                    <w:t>拟建地</w:t>
                  </w:r>
                </w:p>
              </w:tc>
            </w:tr>
          </w:tbl>
          <w:p w14:paraId="7A16DEAD">
            <w:pPr>
              <w:adjustRightInd w:val="0"/>
              <w:snapToGrid w:val="0"/>
              <w:spacing w:line="360" w:lineRule="auto"/>
              <w:ind w:firstLine="480" w:firstLineChars="200"/>
              <w:rPr>
                <w:kern w:val="0"/>
                <w:sz w:val="24"/>
              </w:rPr>
            </w:pPr>
            <w:r>
              <w:rPr>
                <w:kern w:val="0"/>
                <w:sz w:val="24"/>
              </w:rPr>
              <w:t>本评价主要采用资料收集及现场调查的方法对评价区域内的环境状况进行了解，本次评价对风险源周围</w:t>
            </w:r>
            <w:r>
              <w:rPr>
                <w:rFonts w:hint="eastAsia"/>
                <w:kern w:val="0"/>
                <w:sz w:val="24"/>
              </w:rPr>
              <w:t>500</w:t>
            </w:r>
            <w:r>
              <w:rPr>
                <w:kern w:val="0"/>
                <w:sz w:val="24"/>
              </w:rPr>
              <w:t>m范围内的环境敏感点进行了调查，</w:t>
            </w:r>
            <w:r>
              <w:rPr>
                <w:rFonts w:hint="eastAsia"/>
                <w:kern w:val="0"/>
                <w:sz w:val="24"/>
              </w:rPr>
              <w:t>500</w:t>
            </w:r>
            <w:r>
              <w:rPr>
                <w:kern w:val="0"/>
                <w:sz w:val="24"/>
              </w:rPr>
              <w:t>m范围内环境敏感目标如下。</w:t>
            </w:r>
          </w:p>
          <w:p w14:paraId="7400B8BD">
            <w:pPr>
              <w:adjustRightInd w:val="0"/>
              <w:snapToGrid w:val="0"/>
              <w:jc w:val="center"/>
              <w:rPr>
                <w:b/>
                <w:bCs/>
                <w:szCs w:val="21"/>
              </w:rPr>
            </w:pPr>
            <w:r>
              <w:rPr>
                <w:b/>
                <w:bCs/>
                <w:szCs w:val="21"/>
              </w:rPr>
              <w:t>表4-</w:t>
            </w:r>
            <w:r>
              <w:rPr>
                <w:rFonts w:hint="eastAsia"/>
                <w:b/>
                <w:bCs/>
                <w:szCs w:val="21"/>
              </w:rPr>
              <w:t>1</w:t>
            </w:r>
            <w:r>
              <w:rPr>
                <w:b/>
                <w:bCs/>
                <w:szCs w:val="21"/>
              </w:rPr>
              <w:t xml:space="preserve">6  </w:t>
            </w:r>
            <w:r>
              <w:rPr>
                <w:rFonts w:hint="eastAsia"/>
                <w:b/>
                <w:bCs/>
                <w:szCs w:val="21"/>
              </w:rPr>
              <w:t>500</w:t>
            </w:r>
            <w:r>
              <w:rPr>
                <w:b/>
                <w:bCs/>
                <w:szCs w:val="21"/>
              </w:rPr>
              <w:t>m范围内环境敏感目标一览表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526"/>
              <w:gridCol w:w="1037"/>
              <w:gridCol w:w="942"/>
              <w:gridCol w:w="716"/>
              <w:gridCol w:w="708"/>
              <w:gridCol w:w="845"/>
              <w:gridCol w:w="901"/>
              <w:gridCol w:w="1163"/>
            </w:tblGrid>
            <w:tr w14:paraId="2191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4ECBC71B">
                  <w:pPr>
                    <w:autoSpaceDE w:val="0"/>
                    <w:autoSpaceDN w:val="0"/>
                    <w:adjustRightInd w:val="0"/>
                    <w:jc w:val="center"/>
                    <w:rPr>
                      <w:szCs w:val="21"/>
                    </w:rPr>
                  </w:pPr>
                  <w:r>
                    <w:rPr>
                      <w:b/>
                      <w:spacing w:val="-10"/>
                      <w:szCs w:val="21"/>
                    </w:rPr>
                    <w:t>环境要素</w:t>
                  </w:r>
                </w:p>
              </w:tc>
              <w:tc>
                <w:tcPr>
                  <w:tcW w:w="900" w:type="pct"/>
                  <w:vMerge w:val="restart"/>
                  <w:vAlign w:val="center"/>
                </w:tcPr>
                <w:p w14:paraId="4C0EF615">
                  <w:pPr>
                    <w:autoSpaceDE w:val="0"/>
                    <w:autoSpaceDN w:val="0"/>
                    <w:adjustRightInd w:val="0"/>
                    <w:jc w:val="center"/>
                    <w:rPr>
                      <w:szCs w:val="21"/>
                    </w:rPr>
                  </w:pPr>
                  <w:r>
                    <w:rPr>
                      <w:b/>
                      <w:spacing w:val="-10"/>
                      <w:szCs w:val="21"/>
                    </w:rPr>
                    <w:t>名称</w:t>
                  </w:r>
                </w:p>
              </w:tc>
              <w:tc>
                <w:tcPr>
                  <w:tcW w:w="1168" w:type="pct"/>
                  <w:gridSpan w:val="2"/>
                  <w:vAlign w:val="center"/>
                </w:tcPr>
                <w:p w14:paraId="78041A31">
                  <w:pPr>
                    <w:jc w:val="center"/>
                    <w:rPr>
                      <w:b/>
                      <w:spacing w:val="-10"/>
                      <w:szCs w:val="21"/>
                    </w:rPr>
                  </w:pPr>
                  <w:r>
                    <w:rPr>
                      <w:b/>
                      <w:snapToGrid w:val="0"/>
                      <w:kern w:val="0"/>
                      <w:szCs w:val="21"/>
                    </w:rPr>
                    <w:t>经纬度</w:t>
                  </w:r>
                </w:p>
              </w:tc>
              <w:tc>
                <w:tcPr>
                  <w:tcW w:w="423" w:type="pct"/>
                  <w:vMerge w:val="restart"/>
                  <w:vAlign w:val="center"/>
                </w:tcPr>
                <w:p w14:paraId="7E5C7543">
                  <w:pPr>
                    <w:autoSpaceDE w:val="0"/>
                    <w:autoSpaceDN w:val="0"/>
                    <w:adjustRightInd w:val="0"/>
                    <w:jc w:val="center"/>
                    <w:rPr>
                      <w:szCs w:val="21"/>
                    </w:rPr>
                  </w:pPr>
                  <w:r>
                    <w:rPr>
                      <w:b/>
                      <w:bCs/>
                      <w:szCs w:val="21"/>
                    </w:rPr>
                    <w:t>保护内容</w:t>
                  </w:r>
                </w:p>
              </w:tc>
              <w:tc>
                <w:tcPr>
                  <w:tcW w:w="418" w:type="pct"/>
                  <w:vMerge w:val="restart"/>
                  <w:vAlign w:val="center"/>
                </w:tcPr>
                <w:p w14:paraId="5D093683">
                  <w:pPr>
                    <w:autoSpaceDE w:val="0"/>
                    <w:autoSpaceDN w:val="0"/>
                    <w:adjustRightInd w:val="0"/>
                    <w:jc w:val="center"/>
                    <w:rPr>
                      <w:b/>
                      <w:spacing w:val="-10"/>
                      <w:szCs w:val="21"/>
                    </w:rPr>
                  </w:pPr>
                  <w:r>
                    <w:rPr>
                      <w:b/>
                      <w:spacing w:val="-10"/>
                      <w:szCs w:val="21"/>
                    </w:rPr>
                    <w:t>保护</w:t>
                  </w:r>
                </w:p>
                <w:p w14:paraId="595891D3">
                  <w:pPr>
                    <w:autoSpaceDE w:val="0"/>
                    <w:autoSpaceDN w:val="0"/>
                    <w:adjustRightInd w:val="0"/>
                    <w:jc w:val="center"/>
                    <w:rPr>
                      <w:szCs w:val="21"/>
                    </w:rPr>
                  </w:pPr>
                  <w:r>
                    <w:rPr>
                      <w:b/>
                      <w:spacing w:val="-10"/>
                      <w:szCs w:val="21"/>
                    </w:rPr>
                    <w:t>对象</w:t>
                  </w:r>
                </w:p>
              </w:tc>
              <w:tc>
                <w:tcPr>
                  <w:tcW w:w="499" w:type="pct"/>
                  <w:vMerge w:val="restart"/>
                  <w:vAlign w:val="center"/>
                </w:tcPr>
                <w:p w14:paraId="54ED5584">
                  <w:pPr>
                    <w:autoSpaceDE w:val="0"/>
                    <w:autoSpaceDN w:val="0"/>
                    <w:adjustRightInd w:val="0"/>
                    <w:jc w:val="center"/>
                    <w:rPr>
                      <w:b/>
                      <w:spacing w:val="-10"/>
                      <w:szCs w:val="21"/>
                    </w:rPr>
                  </w:pPr>
                  <w:r>
                    <w:rPr>
                      <w:b/>
                      <w:spacing w:val="-10"/>
                      <w:szCs w:val="21"/>
                    </w:rPr>
                    <w:t>相对厂址方向</w:t>
                  </w:r>
                </w:p>
              </w:tc>
              <w:tc>
                <w:tcPr>
                  <w:tcW w:w="532" w:type="pct"/>
                  <w:vMerge w:val="restart"/>
                  <w:vAlign w:val="center"/>
                </w:tcPr>
                <w:p w14:paraId="0FE15318">
                  <w:pPr>
                    <w:autoSpaceDE w:val="0"/>
                    <w:autoSpaceDN w:val="0"/>
                    <w:adjustRightInd w:val="0"/>
                    <w:jc w:val="center"/>
                    <w:rPr>
                      <w:b/>
                      <w:spacing w:val="-10"/>
                      <w:szCs w:val="21"/>
                    </w:rPr>
                  </w:pPr>
                  <w:r>
                    <w:rPr>
                      <w:b/>
                      <w:spacing w:val="-10"/>
                      <w:szCs w:val="21"/>
                    </w:rPr>
                    <w:t>相对厂界距离</w:t>
                  </w:r>
                </w:p>
              </w:tc>
              <w:tc>
                <w:tcPr>
                  <w:tcW w:w="687" w:type="pct"/>
                  <w:vMerge w:val="restart"/>
                  <w:vAlign w:val="center"/>
                </w:tcPr>
                <w:p w14:paraId="73266BDD">
                  <w:pPr>
                    <w:autoSpaceDE w:val="0"/>
                    <w:autoSpaceDN w:val="0"/>
                    <w:adjustRightInd w:val="0"/>
                    <w:jc w:val="center"/>
                    <w:rPr>
                      <w:b/>
                      <w:spacing w:val="-10"/>
                      <w:szCs w:val="21"/>
                    </w:rPr>
                  </w:pPr>
                  <w:r>
                    <w:rPr>
                      <w:b/>
                      <w:spacing w:val="-10"/>
                      <w:szCs w:val="21"/>
                    </w:rPr>
                    <w:t>保护级别</w:t>
                  </w:r>
                </w:p>
              </w:tc>
            </w:tr>
            <w:tr w14:paraId="261C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8E46BE6">
                  <w:pPr>
                    <w:autoSpaceDE w:val="0"/>
                    <w:autoSpaceDN w:val="0"/>
                    <w:adjustRightInd w:val="0"/>
                    <w:jc w:val="center"/>
                    <w:rPr>
                      <w:szCs w:val="21"/>
                    </w:rPr>
                  </w:pPr>
                </w:p>
              </w:tc>
              <w:tc>
                <w:tcPr>
                  <w:tcW w:w="900" w:type="pct"/>
                  <w:vMerge w:val="continue"/>
                  <w:vAlign w:val="center"/>
                </w:tcPr>
                <w:p w14:paraId="630D7994">
                  <w:pPr>
                    <w:autoSpaceDE w:val="0"/>
                    <w:autoSpaceDN w:val="0"/>
                    <w:adjustRightInd w:val="0"/>
                    <w:jc w:val="center"/>
                    <w:rPr>
                      <w:szCs w:val="21"/>
                    </w:rPr>
                  </w:pPr>
                </w:p>
              </w:tc>
              <w:tc>
                <w:tcPr>
                  <w:tcW w:w="612" w:type="pct"/>
                  <w:vAlign w:val="center"/>
                </w:tcPr>
                <w:p w14:paraId="10E2C87E">
                  <w:pPr>
                    <w:jc w:val="center"/>
                    <w:rPr>
                      <w:b/>
                      <w:i/>
                      <w:iCs/>
                      <w:spacing w:val="-10"/>
                      <w:szCs w:val="21"/>
                    </w:rPr>
                  </w:pPr>
                  <w:r>
                    <w:rPr>
                      <w:b/>
                      <w:snapToGrid w:val="0"/>
                      <w:kern w:val="0"/>
                      <w:szCs w:val="21"/>
                    </w:rPr>
                    <w:t>经度</w:t>
                  </w:r>
                </w:p>
              </w:tc>
              <w:tc>
                <w:tcPr>
                  <w:tcW w:w="555" w:type="pct"/>
                  <w:vAlign w:val="center"/>
                </w:tcPr>
                <w:p w14:paraId="364E6417">
                  <w:pPr>
                    <w:jc w:val="center"/>
                    <w:rPr>
                      <w:b/>
                      <w:i/>
                      <w:iCs/>
                      <w:spacing w:val="-10"/>
                      <w:szCs w:val="21"/>
                    </w:rPr>
                  </w:pPr>
                  <w:r>
                    <w:rPr>
                      <w:b/>
                      <w:snapToGrid w:val="0"/>
                      <w:kern w:val="0"/>
                      <w:szCs w:val="21"/>
                    </w:rPr>
                    <w:t>纬度</w:t>
                  </w:r>
                </w:p>
              </w:tc>
              <w:tc>
                <w:tcPr>
                  <w:tcW w:w="423" w:type="pct"/>
                  <w:vMerge w:val="continue"/>
                  <w:vAlign w:val="center"/>
                </w:tcPr>
                <w:p w14:paraId="254987BD">
                  <w:pPr>
                    <w:autoSpaceDE w:val="0"/>
                    <w:autoSpaceDN w:val="0"/>
                    <w:adjustRightInd w:val="0"/>
                    <w:jc w:val="center"/>
                    <w:rPr>
                      <w:b/>
                      <w:spacing w:val="-10"/>
                      <w:szCs w:val="21"/>
                    </w:rPr>
                  </w:pPr>
                </w:p>
              </w:tc>
              <w:tc>
                <w:tcPr>
                  <w:tcW w:w="418" w:type="pct"/>
                  <w:vMerge w:val="continue"/>
                  <w:vAlign w:val="center"/>
                </w:tcPr>
                <w:p w14:paraId="67959430">
                  <w:pPr>
                    <w:autoSpaceDE w:val="0"/>
                    <w:autoSpaceDN w:val="0"/>
                    <w:adjustRightInd w:val="0"/>
                    <w:jc w:val="center"/>
                    <w:rPr>
                      <w:b/>
                      <w:spacing w:val="-10"/>
                      <w:szCs w:val="21"/>
                    </w:rPr>
                  </w:pPr>
                </w:p>
              </w:tc>
              <w:tc>
                <w:tcPr>
                  <w:tcW w:w="499" w:type="pct"/>
                  <w:vMerge w:val="continue"/>
                  <w:vAlign w:val="center"/>
                </w:tcPr>
                <w:p w14:paraId="52C4B525">
                  <w:pPr>
                    <w:autoSpaceDE w:val="0"/>
                    <w:autoSpaceDN w:val="0"/>
                    <w:adjustRightInd w:val="0"/>
                    <w:jc w:val="center"/>
                    <w:rPr>
                      <w:b/>
                      <w:spacing w:val="-10"/>
                      <w:szCs w:val="21"/>
                    </w:rPr>
                  </w:pPr>
                </w:p>
              </w:tc>
              <w:tc>
                <w:tcPr>
                  <w:tcW w:w="532" w:type="pct"/>
                  <w:vMerge w:val="continue"/>
                  <w:vAlign w:val="center"/>
                </w:tcPr>
                <w:p w14:paraId="16481075">
                  <w:pPr>
                    <w:autoSpaceDE w:val="0"/>
                    <w:autoSpaceDN w:val="0"/>
                    <w:adjustRightInd w:val="0"/>
                    <w:jc w:val="center"/>
                    <w:rPr>
                      <w:b/>
                      <w:spacing w:val="-10"/>
                      <w:szCs w:val="21"/>
                    </w:rPr>
                  </w:pPr>
                </w:p>
              </w:tc>
              <w:tc>
                <w:tcPr>
                  <w:tcW w:w="687" w:type="pct"/>
                  <w:vMerge w:val="continue"/>
                  <w:vAlign w:val="center"/>
                </w:tcPr>
                <w:p w14:paraId="65F58ADD">
                  <w:pPr>
                    <w:autoSpaceDE w:val="0"/>
                    <w:autoSpaceDN w:val="0"/>
                    <w:adjustRightInd w:val="0"/>
                    <w:jc w:val="center"/>
                    <w:rPr>
                      <w:b/>
                      <w:spacing w:val="-10"/>
                      <w:szCs w:val="21"/>
                    </w:rPr>
                  </w:pPr>
                </w:p>
              </w:tc>
            </w:tr>
            <w:tr w14:paraId="2858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0" w:type="pct"/>
                  <w:vMerge w:val="restart"/>
                  <w:vAlign w:val="center"/>
                </w:tcPr>
                <w:p w14:paraId="0F9AA463">
                  <w:pPr>
                    <w:autoSpaceDE w:val="0"/>
                    <w:autoSpaceDN w:val="0"/>
                    <w:adjustRightInd w:val="0"/>
                    <w:jc w:val="center"/>
                    <w:rPr>
                      <w:spacing w:val="-10"/>
                      <w:szCs w:val="21"/>
                    </w:rPr>
                  </w:pPr>
                  <w:r>
                    <w:rPr>
                      <w:spacing w:val="-10"/>
                      <w:szCs w:val="21"/>
                    </w:rPr>
                    <w:t>大气环境</w:t>
                  </w:r>
                </w:p>
              </w:tc>
              <w:tc>
                <w:tcPr>
                  <w:tcW w:w="900" w:type="pct"/>
                  <w:vAlign w:val="center"/>
                </w:tcPr>
                <w:p w14:paraId="2227A97E">
                  <w:pPr>
                    <w:jc w:val="center"/>
                    <w:rPr>
                      <w:snapToGrid w:val="0"/>
                      <w:kern w:val="0"/>
                      <w:szCs w:val="21"/>
                    </w:rPr>
                  </w:pPr>
                  <w:r>
                    <w:rPr>
                      <w:rFonts w:hint="eastAsia"/>
                      <w:szCs w:val="21"/>
                    </w:rPr>
                    <w:t>散户1</w:t>
                  </w:r>
                </w:p>
              </w:tc>
              <w:tc>
                <w:tcPr>
                  <w:tcW w:w="612" w:type="pct"/>
                  <w:vAlign w:val="center"/>
                </w:tcPr>
                <w:p w14:paraId="721241A6">
                  <w:pPr>
                    <w:jc w:val="center"/>
                    <w:rPr>
                      <w:spacing w:val="-10"/>
                      <w:szCs w:val="21"/>
                    </w:rPr>
                  </w:pPr>
                  <w:r>
                    <w:rPr>
                      <w:szCs w:val="21"/>
                    </w:rPr>
                    <w:t>10</w:t>
                  </w:r>
                  <w:r>
                    <w:rPr>
                      <w:rFonts w:hint="eastAsia"/>
                      <w:szCs w:val="21"/>
                    </w:rPr>
                    <w:t>3.112485</w:t>
                  </w:r>
                </w:p>
              </w:tc>
              <w:tc>
                <w:tcPr>
                  <w:tcW w:w="555" w:type="pct"/>
                  <w:vAlign w:val="center"/>
                </w:tcPr>
                <w:p w14:paraId="20264866">
                  <w:pPr>
                    <w:jc w:val="center"/>
                    <w:rPr>
                      <w:spacing w:val="-10"/>
                      <w:szCs w:val="21"/>
                    </w:rPr>
                  </w:pPr>
                  <w:r>
                    <w:rPr>
                      <w:szCs w:val="21"/>
                    </w:rPr>
                    <w:t>2</w:t>
                  </w:r>
                  <w:r>
                    <w:rPr>
                      <w:rFonts w:hint="eastAsia"/>
                      <w:szCs w:val="21"/>
                    </w:rPr>
                    <w:t>5.3404</w:t>
                  </w:r>
                </w:p>
              </w:tc>
              <w:tc>
                <w:tcPr>
                  <w:tcW w:w="423" w:type="pct"/>
                  <w:vAlign w:val="center"/>
                </w:tcPr>
                <w:p w14:paraId="608169D3">
                  <w:pPr>
                    <w:autoSpaceDE w:val="0"/>
                    <w:autoSpaceDN w:val="0"/>
                    <w:adjustRightInd w:val="0"/>
                    <w:jc w:val="center"/>
                    <w:rPr>
                      <w:szCs w:val="21"/>
                    </w:rPr>
                  </w:pPr>
                  <w:r>
                    <w:rPr>
                      <w:rFonts w:hint="eastAsia"/>
                      <w:szCs w:val="21"/>
                    </w:rPr>
                    <w:t>7人</w:t>
                  </w:r>
                </w:p>
              </w:tc>
              <w:tc>
                <w:tcPr>
                  <w:tcW w:w="418" w:type="pct"/>
                  <w:vAlign w:val="center"/>
                </w:tcPr>
                <w:p w14:paraId="11E14662">
                  <w:pPr>
                    <w:autoSpaceDE w:val="0"/>
                    <w:autoSpaceDN w:val="0"/>
                    <w:adjustRightInd w:val="0"/>
                    <w:jc w:val="center"/>
                    <w:rPr>
                      <w:szCs w:val="21"/>
                    </w:rPr>
                  </w:pPr>
                  <w:r>
                    <w:rPr>
                      <w:szCs w:val="21"/>
                    </w:rPr>
                    <w:t>居住区</w:t>
                  </w:r>
                </w:p>
              </w:tc>
              <w:tc>
                <w:tcPr>
                  <w:tcW w:w="846" w:type="dxa"/>
                  <w:vAlign w:val="center"/>
                </w:tcPr>
                <w:p w14:paraId="5633A89C">
                  <w:pPr>
                    <w:jc w:val="center"/>
                    <w:rPr>
                      <w:spacing w:val="-10"/>
                      <w:szCs w:val="21"/>
                    </w:rPr>
                  </w:pPr>
                  <w:r>
                    <w:rPr>
                      <w:rFonts w:hint="eastAsia"/>
                      <w:szCs w:val="21"/>
                    </w:rPr>
                    <w:t>西</w:t>
                  </w:r>
                  <w:r>
                    <w:rPr>
                      <w:szCs w:val="21"/>
                    </w:rPr>
                    <w:t>北面</w:t>
                  </w:r>
                </w:p>
              </w:tc>
              <w:tc>
                <w:tcPr>
                  <w:tcW w:w="901" w:type="dxa"/>
                  <w:vAlign w:val="center"/>
                </w:tcPr>
                <w:p w14:paraId="0F7E2AE8">
                  <w:pPr>
                    <w:jc w:val="center"/>
                    <w:rPr>
                      <w:spacing w:val="-10"/>
                      <w:szCs w:val="21"/>
                    </w:rPr>
                  </w:pPr>
                  <w:r>
                    <w:rPr>
                      <w:rFonts w:hint="eastAsia"/>
                      <w:szCs w:val="21"/>
                    </w:rPr>
                    <w:t>330</w:t>
                  </w:r>
                </w:p>
              </w:tc>
              <w:tc>
                <w:tcPr>
                  <w:tcW w:w="687" w:type="pct"/>
                  <w:vMerge w:val="restart"/>
                  <w:vAlign w:val="center"/>
                </w:tcPr>
                <w:p w14:paraId="6FABCEFF">
                  <w:pPr>
                    <w:autoSpaceDE w:val="0"/>
                    <w:autoSpaceDN w:val="0"/>
                    <w:adjustRightInd w:val="0"/>
                    <w:jc w:val="center"/>
                    <w:rPr>
                      <w:szCs w:val="21"/>
                    </w:rPr>
                  </w:pPr>
                  <w:r>
                    <w:rPr>
                      <w:szCs w:val="21"/>
                    </w:rPr>
                    <w:t>《环境空气质量标准》（GB3095-20</w:t>
                  </w:r>
                  <w:r>
                    <w:rPr>
                      <w:rFonts w:hint="eastAsia"/>
                      <w:szCs w:val="21"/>
                    </w:rPr>
                    <w:t>26</w:t>
                  </w:r>
                  <w:r>
                    <w:rPr>
                      <w:szCs w:val="21"/>
                    </w:rPr>
                    <w:t>）二级标准</w:t>
                  </w:r>
                </w:p>
              </w:tc>
            </w:tr>
            <w:tr w14:paraId="3EB4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0" w:type="pct"/>
                  <w:vMerge w:val="continue"/>
                  <w:vAlign w:val="center"/>
                </w:tcPr>
                <w:p w14:paraId="0C4BCC3E">
                  <w:pPr>
                    <w:autoSpaceDE w:val="0"/>
                    <w:autoSpaceDN w:val="0"/>
                    <w:adjustRightInd w:val="0"/>
                    <w:jc w:val="center"/>
                    <w:rPr>
                      <w:spacing w:val="-10"/>
                      <w:szCs w:val="21"/>
                    </w:rPr>
                  </w:pPr>
                </w:p>
              </w:tc>
              <w:tc>
                <w:tcPr>
                  <w:tcW w:w="900" w:type="pct"/>
                  <w:vAlign w:val="center"/>
                </w:tcPr>
                <w:p w14:paraId="4A944428">
                  <w:pPr>
                    <w:jc w:val="center"/>
                    <w:rPr>
                      <w:snapToGrid w:val="0"/>
                      <w:kern w:val="0"/>
                      <w:szCs w:val="21"/>
                    </w:rPr>
                  </w:pPr>
                  <w:r>
                    <w:rPr>
                      <w:rFonts w:hint="eastAsia"/>
                      <w:szCs w:val="21"/>
                    </w:rPr>
                    <w:t>散户2</w:t>
                  </w:r>
                </w:p>
              </w:tc>
              <w:tc>
                <w:tcPr>
                  <w:tcW w:w="612" w:type="pct"/>
                  <w:vAlign w:val="center"/>
                </w:tcPr>
                <w:p w14:paraId="5730968B">
                  <w:pPr>
                    <w:jc w:val="center"/>
                    <w:rPr>
                      <w:spacing w:val="-10"/>
                      <w:szCs w:val="21"/>
                    </w:rPr>
                  </w:pPr>
                  <w:r>
                    <w:rPr>
                      <w:szCs w:val="21"/>
                    </w:rPr>
                    <w:t>10</w:t>
                  </w:r>
                  <w:r>
                    <w:rPr>
                      <w:rFonts w:hint="eastAsia"/>
                      <w:szCs w:val="21"/>
                    </w:rPr>
                    <w:t>3.113970</w:t>
                  </w:r>
                  <w:r>
                    <w:rPr>
                      <w:szCs w:val="21"/>
                    </w:rPr>
                    <w:t>E</w:t>
                  </w:r>
                </w:p>
              </w:tc>
              <w:tc>
                <w:tcPr>
                  <w:tcW w:w="555" w:type="pct"/>
                  <w:vAlign w:val="center"/>
                </w:tcPr>
                <w:p w14:paraId="41CEBB09">
                  <w:pPr>
                    <w:jc w:val="center"/>
                    <w:rPr>
                      <w:spacing w:val="-10"/>
                      <w:szCs w:val="21"/>
                    </w:rPr>
                  </w:pPr>
                  <w:r>
                    <w:rPr>
                      <w:szCs w:val="21"/>
                    </w:rPr>
                    <w:t>2</w:t>
                  </w:r>
                  <w:r>
                    <w:rPr>
                      <w:rFonts w:hint="eastAsia"/>
                      <w:szCs w:val="21"/>
                    </w:rPr>
                    <w:t>5.3349</w:t>
                  </w:r>
                  <w:r>
                    <w:rPr>
                      <w:szCs w:val="21"/>
                    </w:rPr>
                    <w:t>N</w:t>
                  </w:r>
                </w:p>
              </w:tc>
              <w:tc>
                <w:tcPr>
                  <w:tcW w:w="423" w:type="pct"/>
                  <w:vAlign w:val="center"/>
                </w:tcPr>
                <w:p w14:paraId="46760363">
                  <w:pPr>
                    <w:autoSpaceDE w:val="0"/>
                    <w:autoSpaceDN w:val="0"/>
                    <w:adjustRightInd w:val="0"/>
                    <w:jc w:val="center"/>
                    <w:rPr>
                      <w:szCs w:val="21"/>
                    </w:rPr>
                  </w:pPr>
                  <w:r>
                    <w:rPr>
                      <w:rFonts w:hint="eastAsia"/>
                      <w:szCs w:val="21"/>
                    </w:rPr>
                    <w:t>7人</w:t>
                  </w:r>
                </w:p>
              </w:tc>
              <w:tc>
                <w:tcPr>
                  <w:tcW w:w="418" w:type="pct"/>
                  <w:vAlign w:val="center"/>
                </w:tcPr>
                <w:p w14:paraId="145ED962">
                  <w:pPr>
                    <w:autoSpaceDE w:val="0"/>
                    <w:autoSpaceDN w:val="0"/>
                    <w:adjustRightInd w:val="0"/>
                    <w:jc w:val="center"/>
                    <w:rPr>
                      <w:szCs w:val="21"/>
                    </w:rPr>
                  </w:pPr>
                  <w:r>
                    <w:rPr>
                      <w:rFonts w:hint="eastAsia"/>
                      <w:szCs w:val="21"/>
                    </w:rPr>
                    <w:t>居住区</w:t>
                  </w:r>
                </w:p>
              </w:tc>
              <w:tc>
                <w:tcPr>
                  <w:tcW w:w="846" w:type="dxa"/>
                  <w:vAlign w:val="center"/>
                </w:tcPr>
                <w:p w14:paraId="7A1AC720">
                  <w:pPr>
                    <w:jc w:val="center"/>
                    <w:rPr>
                      <w:spacing w:val="-10"/>
                      <w:szCs w:val="21"/>
                    </w:rPr>
                  </w:pPr>
                  <w:r>
                    <w:rPr>
                      <w:rFonts w:hint="eastAsia"/>
                      <w:szCs w:val="21"/>
                    </w:rPr>
                    <w:t>东</w:t>
                  </w:r>
                  <w:r>
                    <w:rPr>
                      <w:szCs w:val="21"/>
                    </w:rPr>
                    <w:t>面</w:t>
                  </w:r>
                </w:p>
              </w:tc>
              <w:tc>
                <w:tcPr>
                  <w:tcW w:w="901" w:type="dxa"/>
                  <w:vAlign w:val="center"/>
                </w:tcPr>
                <w:p w14:paraId="5A3D836E">
                  <w:pPr>
                    <w:jc w:val="center"/>
                    <w:rPr>
                      <w:spacing w:val="-10"/>
                      <w:szCs w:val="21"/>
                    </w:rPr>
                  </w:pPr>
                  <w:r>
                    <w:rPr>
                      <w:rFonts w:hint="eastAsia"/>
                      <w:szCs w:val="21"/>
                    </w:rPr>
                    <w:t>257</w:t>
                  </w:r>
                </w:p>
              </w:tc>
              <w:tc>
                <w:tcPr>
                  <w:tcW w:w="687" w:type="pct"/>
                  <w:vMerge w:val="continue"/>
                  <w:vAlign w:val="center"/>
                </w:tcPr>
                <w:p w14:paraId="4B9971AC">
                  <w:pPr>
                    <w:autoSpaceDE w:val="0"/>
                    <w:autoSpaceDN w:val="0"/>
                    <w:adjustRightInd w:val="0"/>
                    <w:jc w:val="center"/>
                    <w:rPr>
                      <w:szCs w:val="21"/>
                    </w:rPr>
                  </w:pPr>
                </w:p>
              </w:tc>
            </w:tr>
            <w:tr w14:paraId="67B6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0" w:type="pct"/>
                  <w:vMerge w:val="continue"/>
                  <w:vAlign w:val="center"/>
                </w:tcPr>
                <w:p w14:paraId="3147533B">
                  <w:pPr>
                    <w:autoSpaceDE w:val="0"/>
                    <w:autoSpaceDN w:val="0"/>
                    <w:adjustRightInd w:val="0"/>
                    <w:jc w:val="center"/>
                    <w:rPr>
                      <w:spacing w:val="-10"/>
                      <w:szCs w:val="21"/>
                    </w:rPr>
                  </w:pPr>
                </w:p>
              </w:tc>
              <w:tc>
                <w:tcPr>
                  <w:tcW w:w="900" w:type="pct"/>
                  <w:vAlign w:val="center"/>
                </w:tcPr>
                <w:p w14:paraId="2039F482">
                  <w:pPr>
                    <w:jc w:val="center"/>
                    <w:rPr>
                      <w:snapToGrid w:val="0"/>
                      <w:kern w:val="0"/>
                      <w:szCs w:val="21"/>
                    </w:rPr>
                  </w:pPr>
                  <w:r>
                    <w:rPr>
                      <w:rFonts w:hint="eastAsia"/>
                      <w:szCs w:val="21"/>
                    </w:rPr>
                    <w:t>竹沟</w:t>
                  </w:r>
                  <w:r>
                    <w:rPr>
                      <w:szCs w:val="21"/>
                    </w:rPr>
                    <w:t>村</w:t>
                  </w:r>
                </w:p>
              </w:tc>
              <w:tc>
                <w:tcPr>
                  <w:tcW w:w="612" w:type="pct"/>
                  <w:vAlign w:val="center"/>
                </w:tcPr>
                <w:p w14:paraId="7184F4C2">
                  <w:pPr>
                    <w:jc w:val="center"/>
                    <w:rPr>
                      <w:spacing w:val="-10"/>
                      <w:szCs w:val="21"/>
                    </w:rPr>
                  </w:pPr>
                  <w:r>
                    <w:rPr>
                      <w:szCs w:val="21"/>
                    </w:rPr>
                    <w:t>10</w:t>
                  </w:r>
                  <w:r>
                    <w:rPr>
                      <w:rFonts w:hint="eastAsia"/>
                      <w:szCs w:val="21"/>
                    </w:rPr>
                    <w:t>3.113325</w:t>
                  </w:r>
                  <w:r>
                    <w:rPr>
                      <w:szCs w:val="21"/>
                    </w:rPr>
                    <w:t>E</w:t>
                  </w:r>
                </w:p>
              </w:tc>
              <w:tc>
                <w:tcPr>
                  <w:tcW w:w="555" w:type="pct"/>
                  <w:vAlign w:val="center"/>
                </w:tcPr>
                <w:p w14:paraId="17CFFE80">
                  <w:pPr>
                    <w:jc w:val="center"/>
                    <w:rPr>
                      <w:spacing w:val="-10"/>
                      <w:szCs w:val="21"/>
                    </w:rPr>
                  </w:pPr>
                  <w:r>
                    <w:rPr>
                      <w:rFonts w:hint="eastAsia"/>
                      <w:szCs w:val="21"/>
                    </w:rPr>
                    <w:t>25.3407</w:t>
                  </w:r>
                  <w:r>
                    <w:rPr>
                      <w:szCs w:val="21"/>
                    </w:rPr>
                    <w:t>N</w:t>
                  </w:r>
                </w:p>
              </w:tc>
              <w:tc>
                <w:tcPr>
                  <w:tcW w:w="423" w:type="pct"/>
                  <w:vAlign w:val="center"/>
                </w:tcPr>
                <w:p w14:paraId="53111652">
                  <w:pPr>
                    <w:autoSpaceDE w:val="0"/>
                    <w:autoSpaceDN w:val="0"/>
                    <w:adjustRightInd w:val="0"/>
                    <w:jc w:val="center"/>
                    <w:rPr>
                      <w:szCs w:val="21"/>
                    </w:rPr>
                  </w:pPr>
                  <w:r>
                    <w:rPr>
                      <w:rFonts w:hint="eastAsia"/>
                      <w:szCs w:val="21"/>
                    </w:rPr>
                    <w:t>300人</w:t>
                  </w:r>
                </w:p>
              </w:tc>
              <w:tc>
                <w:tcPr>
                  <w:tcW w:w="418" w:type="pct"/>
                  <w:vAlign w:val="center"/>
                </w:tcPr>
                <w:p w14:paraId="75654846">
                  <w:pPr>
                    <w:autoSpaceDE w:val="0"/>
                    <w:autoSpaceDN w:val="0"/>
                    <w:adjustRightInd w:val="0"/>
                    <w:jc w:val="center"/>
                    <w:rPr>
                      <w:szCs w:val="21"/>
                    </w:rPr>
                  </w:pPr>
                  <w:r>
                    <w:rPr>
                      <w:rFonts w:hint="eastAsia"/>
                      <w:szCs w:val="21"/>
                    </w:rPr>
                    <w:t>居住区</w:t>
                  </w:r>
                </w:p>
              </w:tc>
              <w:tc>
                <w:tcPr>
                  <w:tcW w:w="846" w:type="dxa"/>
                  <w:vAlign w:val="center"/>
                </w:tcPr>
                <w:p w14:paraId="3598D2BC">
                  <w:pPr>
                    <w:jc w:val="center"/>
                    <w:rPr>
                      <w:spacing w:val="-10"/>
                      <w:szCs w:val="21"/>
                    </w:rPr>
                  </w:pPr>
                  <w:r>
                    <w:rPr>
                      <w:rFonts w:hint="eastAsia"/>
                      <w:szCs w:val="21"/>
                    </w:rPr>
                    <w:t>北</w:t>
                  </w:r>
                  <w:r>
                    <w:rPr>
                      <w:szCs w:val="21"/>
                    </w:rPr>
                    <w:t>面</w:t>
                  </w:r>
                </w:p>
              </w:tc>
              <w:tc>
                <w:tcPr>
                  <w:tcW w:w="901" w:type="dxa"/>
                  <w:vAlign w:val="center"/>
                </w:tcPr>
                <w:p w14:paraId="0ECB7DB8">
                  <w:pPr>
                    <w:jc w:val="center"/>
                    <w:rPr>
                      <w:spacing w:val="-10"/>
                      <w:szCs w:val="21"/>
                    </w:rPr>
                  </w:pPr>
                  <w:r>
                    <w:rPr>
                      <w:rFonts w:hint="eastAsia"/>
                      <w:szCs w:val="21"/>
                    </w:rPr>
                    <w:t>430</w:t>
                  </w:r>
                </w:p>
              </w:tc>
              <w:tc>
                <w:tcPr>
                  <w:tcW w:w="687" w:type="pct"/>
                  <w:vMerge w:val="continue"/>
                  <w:vAlign w:val="center"/>
                </w:tcPr>
                <w:p w14:paraId="3188EE9A">
                  <w:pPr>
                    <w:autoSpaceDE w:val="0"/>
                    <w:autoSpaceDN w:val="0"/>
                    <w:adjustRightInd w:val="0"/>
                    <w:jc w:val="center"/>
                    <w:rPr>
                      <w:szCs w:val="21"/>
                    </w:rPr>
                  </w:pPr>
                </w:p>
              </w:tc>
            </w:tr>
          </w:tbl>
          <w:p w14:paraId="4FA52D9C">
            <w:pPr>
              <w:adjustRightInd w:val="0"/>
              <w:snapToGrid w:val="0"/>
              <w:spacing w:before="120" w:beforeLines="50" w:line="360" w:lineRule="auto"/>
              <w:ind w:firstLine="482" w:firstLineChars="200"/>
              <w:rPr>
                <w:b/>
                <w:bCs/>
                <w:kern w:val="0"/>
                <w:sz w:val="24"/>
              </w:rPr>
            </w:pPr>
            <w:r>
              <w:rPr>
                <w:rFonts w:hint="eastAsia"/>
                <w:b/>
                <w:bCs/>
                <w:kern w:val="0"/>
                <w:sz w:val="24"/>
              </w:rPr>
              <w:t>5</w:t>
            </w:r>
            <w:r>
              <w:rPr>
                <w:b/>
                <w:bCs/>
                <w:kern w:val="0"/>
                <w:sz w:val="24"/>
              </w:rPr>
              <w:t>、环境风险分析</w:t>
            </w:r>
          </w:p>
          <w:p w14:paraId="5279ECAF">
            <w:pPr>
              <w:adjustRightInd w:val="0"/>
              <w:snapToGrid w:val="0"/>
              <w:spacing w:line="360" w:lineRule="auto"/>
              <w:ind w:firstLine="482" w:firstLineChars="200"/>
              <w:rPr>
                <w:b/>
                <w:bCs/>
                <w:kern w:val="0"/>
                <w:sz w:val="24"/>
              </w:rPr>
            </w:pPr>
            <w:r>
              <w:rPr>
                <w:b/>
                <w:bCs/>
                <w:kern w:val="0"/>
                <w:sz w:val="24"/>
              </w:rPr>
              <w:t>（1）大气环境风险分析</w:t>
            </w:r>
          </w:p>
          <w:p w14:paraId="022582D0">
            <w:pPr>
              <w:topLinePunct/>
              <w:adjustRightInd w:val="0"/>
              <w:snapToGrid w:val="0"/>
              <w:spacing w:line="348" w:lineRule="auto"/>
              <w:ind w:firstLine="480" w:firstLineChars="200"/>
              <w:rPr>
                <w:sz w:val="24"/>
              </w:rPr>
            </w:pPr>
            <w:r>
              <w:rPr>
                <w:sz w:val="24"/>
              </w:rPr>
              <w:t>①</w:t>
            </w:r>
            <w:r>
              <w:rPr>
                <w:rFonts w:hint="eastAsia"/>
                <w:sz w:val="24"/>
              </w:rPr>
              <w:t>危废暂存库</w:t>
            </w:r>
            <w:r>
              <w:rPr>
                <w:sz w:val="24"/>
              </w:rPr>
              <w:t>发生泄漏风险分析</w:t>
            </w:r>
          </w:p>
          <w:p w14:paraId="0E2E0633">
            <w:pPr>
              <w:spacing w:line="360" w:lineRule="auto"/>
              <w:ind w:firstLine="480" w:firstLineChars="200"/>
              <w:rPr>
                <w:sz w:val="24"/>
              </w:rPr>
            </w:pPr>
            <w:r>
              <w:rPr>
                <w:sz w:val="24"/>
              </w:rPr>
              <w:t>本项目</w:t>
            </w:r>
            <w:r>
              <w:rPr>
                <w:rFonts w:hint="eastAsia"/>
                <w:sz w:val="24"/>
              </w:rPr>
              <w:t>危废暂存库</w:t>
            </w:r>
            <w:r>
              <w:rPr>
                <w:sz w:val="24"/>
              </w:rPr>
              <w:t>油类物质发生泄漏事故后，一方面会有一定量烃类物质挥发到空气中，可能造成空气中非甲烷总烃超标，另一方面作为人体吸入烃类物质会出现可乏力、头晕、头痛、恶心，严重者可致死。此外，油类物质泄漏还可能应发火灾、爆炸事故，若渗入土壤，改变土壤酸碱度，影响植物生长，造成植物死亡，对地下水、土壤、大气环境造成影响。</w:t>
            </w:r>
          </w:p>
          <w:p w14:paraId="0573BBF6">
            <w:pPr>
              <w:spacing w:line="360" w:lineRule="auto"/>
              <w:ind w:firstLine="480" w:firstLineChars="200"/>
              <w:rPr>
                <w:sz w:val="24"/>
              </w:rPr>
            </w:pPr>
            <w:r>
              <w:rPr>
                <w:sz w:val="24"/>
              </w:rPr>
              <w:t>②</w:t>
            </w:r>
            <w:r>
              <w:rPr>
                <w:rFonts w:hint="eastAsia"/>
                <w:sz w:val="24"/>
              </w:rPr>
              <w:t>雾炮机</w:t>
            </w:r>
            <w:r>
              <w:rPr>
                <w:sz w:val="24"/>
              </w:rPr>
              <w:t>发生故障，</w:t>
            </w:r>
            <w:r>
              <w:rPr>
                <w:rFonts w:hint="eastAsia"/>
                <w:sz w:val="24"/>
              </w:rPr>
              <w:t>颗粒物</w:t>
            </w:r>
            <w:r>
              <w:rPr>
                <w:sz w:val="24"/>
              </w:rPr>
              <w:t>未经处理超标排放，造成大气环境污染。</w:t>
            </w:r>
          </w:p>
          <w:p w14:paraId="5E794BEC">
            <w:pPr>
              <w:adjustRightInd w:val="0"/>
              <w:snapToGrid w:val="0"/>
              <w:spacing w:line="360" w:lineRule="auto"/>
              <w:ind w:firstLine="482" w:firstLineChars="200"/>
              <w:rPr>
                <w:b/>
                <w:bCs/>
                <w:kern w:val="0"/>
                <w:sz w:val="24"/>
              </w:rPr>
            </w:pPr>
            <w:r>
              <w:rPr>
                <w:rFonts w:hint="eastAsia"/>
                <w:b/>
                <w:bCs/>
                <w:kern w:val="0"/>
                <w:sz w:val="24"/>
              </w:rPr>
              <w:t>6</w:t>
            </w:r>
            <w:r>
              <w:rPr>
                <w:b/>
                <w:bCs/>
                <w:kern w:val="0"/>
                <w:sz w:val="24"/>
              </w:rPr>
              <w:t>、环境风险防范措施及应急要求</w:t>
            </w:r>
          </w:p>
          <w:p w14:paraId="61726F75">
            <w:pPr>
              <w:adjustRightInd w:val="0"/>
              <w:snapToGrid w:val="0"/>
              <w:spacing w:line="360" w:lineRule="auto"/>
              <w:ind w:firstLine="482" w:firstLineChars="200"/>
              <w:rPr>
                <w:b/>
                <w:bCs/>
                <w:kern w:val="0"/>
                <w:sz w:val="24"/>
              </w:rPr>
            </w:pPr>
            <w:r>
              <w:rPr>
                <w:rFonts w:hint="eastAsia"/>
                <w:b/>
                <w:bCs/>
                <w:kern w:val="0"/>
                <w:sz w:val="24"/>
              </w:rPr>
              <w:t>6</w:t>
            </w:r>
            <w:r>
              <w:rPr>
                <w:b/>
                <w:bCs/>
                <w:kern w:val="0"/>
                <w:sz w:val="24"/>
              </w:rPr>
              <w:t>.1、环境风险防范措施</w:t>
            </w:r>
          </w:p>
          <w:p w14:paraId="7DBB5B7B">
            <w:pPr>
              <w:adjustRightInd w:val="0"/>
              <w:snapToGrid w:val="0"/>
              <w:spacing w:line="360" w:lineRule="auto"/>
              <w:ind w:firstLine="482" w:firstLineChars="200"/>
              <w:rPr>
                <w:b/>
                <w:bCs/>
                <w:kern w:val="0"/>
                <w:sz w:val="24"/>
              </w:rPr>
            </w:pPr>
            <w:r>
              <w:rPr>
                <w:b/>
                <w:bCs/>
                <w:kern w:val="0"/>
                <w:sz w:val="24"/>
              </w:rPr>
              <w:t>（1）泄漏事故风险防范措施</w:t>
            </w:r>
          </w:p>
          <w:p w14:paraId="26510BD3">
            <w:pPr>
              <w:spacing w:line="360" w:lineRule="auto"/>
              <w:ind w:firstLine="480" w:firstLineChars="200"/>
              <w:rPr>
                <w:sz w:val="24"/>
              </w:rPr>
            </w:pPr>
            <w:r>
              <w:rPr>
                <w:rFonts w:hint="eastAsia"/>
                <w:sz w:val="24"/>
              </w:rPr>
              <w:t>1、</w:t>
            </w:r>
            <w:r>
              <w:rPr>
                <w:sz w:val="24"/>
              </w:rPr>
              <w:t>废矿物油收集桶发生渗漏，应及时将收集桶内的废矿物油抽到备用油桶内，防止废矿物油漫流，现场抢险组应及时清除泄漏区内可能引起火灾的物品，同时投加沙土或锯末覆盖泄漏区，将吸附后的废物收集于容器内后，按有关规定作为危险废物交由资质单位回收处置。</w:t>
            </w:r>
          </w:p>
          <w:p w14:paraId="75EABD62">
            <w:pPr>
              <w:spacing w:line="360" w:lineRule="auto"/>
              <w:ind w:firstLine="480" w:firstLineChars="200"/>
              <w:jc w:val="left"/>
              <w:rPr>
                <w:sz w:val="24"/>
              </w:rPr>
            </w:pPr>
            <w:r>
              <w:rPr>
                <w:rFonts w:hint="eastAsia"/>
                <w:sz w:val="24"/>
              </w:rPr>
              <w:t>2、</w:t>
            </w:r>
            <w:r>
              <w:rPr>
                <w:sz w:val="24"/>
              </w:rPr>
              <w:t xml:space="preserve">加强废气治理设施巡查，做好废气定期监测工作，防止因故障导致的环境污染问题。           </w:t>
            </w:r>
          </w:p>
          <w:p w14:paraId="58470379">
            <w:pPr>
              <w:spacing w:line="360" w:lineRule="auto"/>
              <w:ind w:firstLine="480" w:firstLineChars="200"/>
              <w:jc w:val="left"/>
              <w:rPr>
                <w:sz w:val="24"/>
              </w:rPr>
            </w:pPr>
            <w:r>
              <w:rPr>
                <w:rFonts w:hint="eastAsia"/>
                <w:sz w:val="24"/>
              </w:rPr>
              <w:t>3、</w:t>
            </w:r>
            <w:r>
              <w:rPr>
                <w:sz w:val="24"/>
              </w:rPr>
              <w:t>严格按照施工质量控制标准要求施工，防止防渗膜破损；</w:t>
            </w:r>
          </w:p>
          <w:p w14:paraId="576E5B8C">
            <w:pPr>
              <w:adjustRightInd w:val="0"/>
              <w:snapToGrid w:val="0"/>
              <w:spacing w:line="360" w:lineRule="auto"/>
              <w:ind w:firstLine="480" w:firstLineChars="200"/>
              <w:rPr>
                <w:kern w:val="0"/>
                <w:sz w:val="24"/>
              </w:rPr>
            </w:pPr>
            <w:r>
              <w:rPr>
                <w:rFonts w:hint="eastAsia"/>
                <w:kern w:val="0"/>
                <w:sz w:val="24"/>
              </w:rPr>
              <w:t>4</w:t>
            </w:r>
            <w:r>
              <w:rPr>
                <w:kern w:val="0"/>
                <w:sz w:val="24"/>
              </w:rPr>
              <w:t>、废机油设置单独的储存容器，并定期将废机油交由有资质单位进行处理。</w:t>
            </w:r>
          </w:p>
          <w:p w14:paraId="5C8CF753">
            <w:pPr>
              <w:adjustRightInd w:val="0"/>
              <w:snapToGrid w:val="0"/>
              <w:spacing w:line="360" w:lineRule="auto"/>
              <w:ind w:firstLine="480" w:firstLineChars="200"/>
              <w:rPr>
                <w:kern w:val="0"/>
                <w:sz w:val="24"/>
              </w:rPr>
            </w:pPr>
            <w:r>
              <w:rPr>
                <w:rFonts w:hint="eastAsia"/>
                <w:kern w:val="0"/>
                <w:sz w:val="24"/>
              </w:rPr>
              <w:t>5</w:t>
            </w:r>
            <w:r>
              <w:rPr>
                <w:kern w:val="0"/>
                <w:sz w:val="24"/>
              </w:rPr>
              <w:t>、危险废物暂存间需满足“三防”（防渗漏、防雨淋、防流失）要求，并设置标识牌。</w:t>
            </w:r>
          </w:p>
          <w:p w14:paraId="5656F45A">
            <w:pPr>
              <w:adjustRightInd w:val="0"/>
              <w:snapToGrid w:val="0"/>
              <w:spacing w:line="360" w:lineRule="auto"/>
              <w:ind w:firstLine="480" w:firstLineChars="200"/>
              <w:rPr>
                <w:kern w:val="0"/>
                <w:sz w:val="24"/>
              </w:rPr>
            </w:pPr>
            <w:r>
              <w:rPr>
                <w:rFonts w:hint="eastAsia"/>
                <w:kern w:val="0"/>
                <w:sz w:val="24"/>
              </w:rPr>
              <w:t>6</w:t>
            </w:r>
            <w:r>
              <w:rPr>
                <w:kern w:val="0"/>
                <w:sz w:val="24"/>
              </w:rPr>
              <w:t>、废机油产生及处置须记录有台账，废矿物油到一定量时应及时委托有资质单位处置。</w:t>
            </w:r>
          </w:p>
          <w:p w14:paraId="7CE719BA">
            <w:pPr>
              <w:adjustRightInd w:val="0"/>
              <w:snapToGrid w:val="0"/>
              <w:spacing w:line="360" w:lineRule="auto"/>
              <w:ind w:firstLine="482" w:firstLineChars="200"/>
              <w:rPr>
                <w:b/>
                <w:bCs/>
                <w:kern w:val="0"/>
                <w:sz w:val="24"/>
              </w:rPr>
            </w:pPr>
            <w:r>
              <w:rPr>
                <w:b/>
                <w:bCs/>
                <w:kern w:val="0"/>
                <w:sz w:val="24"/>
              </w:rPr>
              <w:t>（2）火灾事故风险防范措施</w:t>
            </w:r>
          </w:p>
          <w:p w14:paraId="53D97633">
            <w:pPr>
              <w:adjustRightInd w:val="0"/>
              <w:snapToGrid w:val="0"/>
              <w:spacing w:line="360" w:lineRule="auto"/>
              <w:ind w:firstLine="480" w:firstLineChars="200"/>
              <w:rPr>
                <w:kern w:val="0"/>
                <w:sz w:val="24"/>
              </w:rPr>
            </w:pPr>
            <w:r>
              <w:rPr>
                <w:kern w:val="0"/>
                <w:sz w:val="24"/>
              </w:rPr>
              <w:t>①按规范使用各类电器设备，避免漏电、短路、过流、过载、过热等而造成的绝缘失效或线路着火，定期检查厂房内的电源、线路，对老化电线及时更换。</w:t>
            </w:r>
          </w:p>
          <w:p w14:paraId="09535E9D">
            <w:pPr>
              <w:adjustRightInd w:val="0"/>
              <w:snapToGrid w:val="0"/>
              <w:spacing w:line="360" w:lineRule="auto"/>
              <w:ind w:firstLine="480" w:firstLineChars="200"/>
              <w:rPr>
                <w:kern w:val="0"/>
                <w:sz w:val="24"/>
              </w:rPr>
            </w:pPr>
            <w:r>
              <w:rPr>
                <w:kern w:val="0"/>
                <w:sz w:val="24"/>
              </w:rPr>
              <w:t>②禁止在废机油等存放处有明火、吸烟、焊接等，</w:t>
            </w:r>
            <w:r>
              <w:rPr>
                <w:rFonts w:hint="eastAsia"/>
                <w:kern w:val="0"/>
                <w:sz w:val="24"/>
              </w:rPr>
              <w:t>危废暂存库</w:t>
            </w:r>
            <w:r>
              <w:rPr>
                <w:kern w:val="0"/>
                <w:sz w:val="24"/>
              </w:rPr>
              <w:t>应在显眼位置设置禁火标识。</w:t>
            </w:r>
          </w:p>
          <w:p w14:paraId="580A2885">
            <w:pPr>
              <w:adjustRightInd w:val="0"/>
              <w:snapToGrid w:val="0"/>
              <w:spacing w:line="360" w:lineRule="auto"/>
              <w:ind w:firstLine="480" w:firstLineChars="200"/>
              <w:rPr>
                <w:kern w:val="0"/>
                <w:sz w:val="24"/>
              </w:rPr>
            </w:pPr>
            <w:r>
              <w:rPr>
                <w:kern w:val="0"/>
                <w:sz w:val="24"/>
              </w:rPr>
              <w:t>③定期对操作人员进行安全生产与安全知识培训，并制定严格的安全操作规程，切实加强生产过程中的安全控制，保证劳动安全，防止意外事故的发生。</w:t>
            </w:r>
          </w:p>
          <w:p w14:paraId="4A4B2E56">
            <w:pPr>
              <w:adjustRightInd w:val="0"/>
              <w:snapToGrid w:val="0"/>
              <w:spacing w:line="360" w:lineRule="auto"/>
              <w:ind w:firstLine="482" w:firstLineChars="200"/>
              <w:rPr>
                <w:b/>
                <w:bCs/>
                <w:kern w:val="0"/>
                <w:sz w:val="24"/>
              </w:rPr>
            </w:pPr>
            <w:r>
              <w:rPr>
                <w:b/>
                <w:bCs/>
                <w:kern w:val="0"/>
                <w:sz w:val="24"/>
              </w:rPr>
              <w:t>（3）废气处置设施防损措施</w:t>
            </w:r>
          </w:p>
          <w:p w14:paraId="09C28873">
            <w:pPr>
              <w:adjustRightInd w:val="0"/>
              <w:snapToGrid w:val="0"/>
              <w:spacing w:line="360" w:lineRule="auto"/>
              <w:ind w:firstLine="480" w:firstLineChars="200"/>
              <w:rPr>
                <w:kern w:val="0"/>
                <w:sz w:val="24"/>
              </w:rPr>
            </w:pPr>
            <w:r>
              <w:rPr>
                <w:kern w:val="0"/>
                <w:sz w:val="24"/>
              </w:rPr>
              <w:t>①加强设备日常的维护和管理，定期对废气处置设施的各类设备进行保养、检查和维修。</w:t>
            </w:r>
          </w:p>
          <w:p w14:paraId="60364CF0">
            <w:pPr>
              <w:adjustRightInd w:val="0"/>
              <w:snapToGrid w:val="0"/>
              <w:spacing w:line="360" w:lineRule="auto"/>
              <w:ind w:firstLine="480" w:firstLineChars="200"/>
              <w:rPr>
                <w:kern w:val="0"/>
                <w:sz w:val="24"/>
              </w:rPr>
            </w:pPr>
            <w:r>
              <w:rPr>
                <w:kern w:val="0"/>
                <w:sz w:val="24"/>
              </w:rPr>
              <w:t>②进行安全化管理来改善设备的安全性、改进工艺的安全性；完善标准及操作规程，定期进行安全检查。</w:t>
            </w:r>
          </w:p>
          <w:p w14:paraId="2F84FBAB">
            <w:pPr>
              <w:adjustRightInd w:val="0"/>
              <w:snapToGrid w:val="0"/>
              <w:spacing w:line="360" w:lineRule="auto"/>
              <w:ind w:firstLine="480" w:firstLineChars="200"/>
              <w:rPr>
                <w:kern w:val="0"/>
                <w:sz w:val="24"/>
              </w:rPr>
            </w:pPr>
            <w:r>
              <w:rPr>
                <w:kern w:val="0"/>
                <w:sz w:val="24"/>
              </w:rPr>
              <w:t>③进一步加强职工的岗位操作培训，提高职工的安全意识和风险防范能力，规范操作，将安全隐患降到最低。</w:t>
            </w:r>
          </w:p>
          <w:p w14:paraId="061324E5">
            <w:pPr>
              <w:adjustRightInd w:val="0"/>
              <w:snapToGrid w:val="0"/>
              <w:spacing w:line="360" w:lineRule="auto"/>
              <w:ind w:firstLine="482" w:firstLineChars="200"/>
              <w:rPr>
                <w:b/>
                <w:bCs/>
                <w:kern w:val="0"/>
                <w:sz w:val="24"/>
              </w:rPr>
            </w:pPr>
            <w:r>
              <w:rPr>
                <w:b/>
                <w:bCs/>
                <w:kern w:val="0"/>
                <w:sz w:val="24"/>
              </w:rPr>
              <w:t>（</w:t>
            </w:r>
            <w:r>
              <w:rPr>
                <w:rFonts w:hint="eastAsia"/>
                <w:b/>
                <w:bCs/>
                <w:kern w:val="0"/>
                <w:sz w:val="24"/>
              </w:rPr>
              <w:t>4</w:t>
            </w:r>
            <w:r>
              <w:rPr>
                <w:b/>
                <w:bCs/>
                <w:kern w:val="0"/>
                <w:sz w:val="24"/>
              </w:rPr>
              <w:t>）</w:t>
            </w:r>
            <w:r>
              <w:rPr>
                <w:rFonts w:hint="eastAsia"/>
                <w:b/>
                <w:bCs/>
                <w:kern w:val="0"/>
                <w:sz w:val="24"/>
              </w:rPr>
              <w:t>废水</w:t>
            </w:r>
            <w:r>
              <w:rPr>
                <w:b/>
                <w:bCs/>
                <w:kern w:val="0"/>
                <w:sz w:val="24"/>
              </w:rPr>
              <w:t>处置</w:t>
            </w:r>
            <w:r>
              <w:rPr>
                <w:rFonts w:hint="eastAsia"/>
                <w:b/>
                <w:bCs/>
                <w:kern w:val="0"/>
                <w:sz w:val="24"/>
              </w:rPr>
              <w:t>防治</w:t>
            </w:r>
            <w:r>
              <w:rPr>
                <w:b/>
                <w:bCs/>
                <w:kern w:val="0"/>
                <w:sz w:val="24"/>
              </w:rPr>
              <w:t>措施</w:t>
            </w:r>
          </w:p>
          <w:p w14:paraId="62C16479">
            <w:pPr>
              <w:adjustRightInd w:val="0"/>
              <w:snapToGrid w:val="0"/>
              <w:spacing w:line="360" w:lineRule="auto"/>
              <w:ind w:firstLine="480" w:firstLineChars="200"/>
              <w:rPr>
                <w:kern w:val="0"/>
                <w:sz w:val="24"/>
              </w:rPr>
            </w:pPr>
            <w:r>
              <w:rPr>
                <w:rFonts w:hint="eastAsia"/>
                <w:kern w:val="0"/>
                <w:sz w:val="24"/>
              </w:rPr>
              <w:t>①废水收集、储存设施进行防渗措施，定期安排专人负责收集池的管理；</w:t>
            </w:r>
          </w:p>
          <w:p w14:paraId="23B0A572">
            <w:pPr>
              <w:adjustRightInd w:val="0"/>
              <w:snapToGrid w:val="0"/>
              <w:spacing w:line="360" w:lineRule="auto"/>
              <w:ind w:firstLine="480" w:firstLineChars="200"/>
              <w:rPr>
                <w:kern w:val="0"/>
                <w:sz w:val="24"/>
              </w:rPr>
            </w:pPr>
            <w:r>
              <w:rPr>
                <w:rFonts w:hint="eastAsia"/>
                <w:kern w:val="0"/>
                <w:sz w:val="24"/>
              </w:rPr>
              <w:t>②废水收集后及时回用于生产，禁止外排。</w:t>
            </w:r>
          </w:p>
          <w:p w14:paraId="253215CE">
            <w:pPr>
              <w:adjustRightInd w:val="0"/>
              <w:snapToGrid w:val="0"/>
              <w:spacing w:line="360" w:lineRule="auto"/>
              <w:ind w:firstLine="482" w:firstLineChars="200"/>
              <w:rPr>
                <w:b/>
                <w:bCs/>
                <w:kern w:val="0"/>
                <w:sz w:val="24"/>
              </w:rPr>
            </w:pPr>
            <w:r>
              <w:rPr>
                <w:rFonts w:hint="eastAsia"/>
                <w:b/>
                <w:bCs/>
                <w:kern w:val="0"/>
                <w:sz w:val="24"/>
              </w:rPr>
              <w:t>6</w:t>
            </w:r>
            <w:r>
              <w:rPr>
                <w:b/>
                <w:bCs/>
                <w:kern w:val="0"/>
                <w:sz w:val="24"/>
              </w:rPr>
              <w:t>.2、应急措施</w:t>
            </w:r>
          </w:p>
          <w:p w14:paraId="2CA712E3">
            <w:pPr>
              <w:adjustRightInd w:val="0"/>
              <w:snapToGrid w:val="0"/>
              <w:spacing w:line="360" w:lineRule="auto"/>
              <w:ind w:firstLine="482" w:firstLineChars="200"/>
              <w:rPr>
                <w:b/>
                <w:bCs/>
                <w:kern w:val="0"/>
                <w:sz w:val="24"/>
              </w:rPr>
            </w:pPr>
            <w:r>
              <w:rPr>
                <w:b/>
                <w:bCs/>
                <w:kern w:val="0"/>
                <w:sz w:val="24"/>
              </w:rPr>
              <w:t>（1）泄漏事故应急措施</w:t>
            </w:r>
          </w:p>
          <w:p w14:paraId="48F67CA7">
            <w:pPr>
              <w:spacing w:line="360" w:lineRule="auto"/>
              <w:ind w:firstLine="480" w:firstLineChars="200"/>
              <w:rPr>
                <w:sz w:val="24"/>
              </w:rPr>
            </w:pPr>
            <w:r>
              <w:rPr>
                <w:sz w:val="24"/>
              </w:rPr>
              <w:t>A、对废矿物油储存场所发生的泄漏，可采取倒桶等方法，尽量将发生泄漏的桶体内的物料转移，在此基础上堵漏。</w:t>
            </w:r>
          </w:p>
          <w:p w14:paraId="125D874F">
            <w:pPr>
              <w:spacing w:line="360" w:lineRule="auto"/>
              <w:ind w:firstLine="480" w:firstLineChars="200"/>
              <w:rPr>
                <w:sz w:val="24"/>
              </w:rPr>
            </w:pPr>
            <w:r>
              <w:rPr>
                <w:sz w:val="24"/>
              </w:rPr>
              <w:t>B、若桶体发生泄漏、火灾、爆炸等事故，在做好堵漏、灭火的同时，应做好临近桶体的保护工作，避免连锁效应。</w:t>
            </w:r>
          </w:p>
          <w:p w14:paraId="102E10D1">
            <w:pPr>
              <w:spacing w:line="360" w:lineRule="auto"/>
              <w:ind w:firstLine="480" w:firstLineChars="200"/>
              <w:rPr>
                <w:sz w:val="24"/>
              </w:rPr>
            </w:pPr>
            <w:r>
              <w:rPr>
                <w:sz w:val="24"/>
              </w:rPr>
              <w:t>C、堵漏过程中使用的堵漏材料，应妥善收集、暂存于</w:t>
            </w:r>
            <w:r>
              <w:rPr>
                <w:rFonts w:hint="eastAsia"/>
                <w:sz w:val="24"/>
              </w:rPr>
              <w:t>危险废物贮存库</w:t>
            </w:r>
            <w:r>
              <w:rPr>
                <w:sz w:val="24"/>
              </w:rPr>
              <w:t>，定期委托有资质的单位回收处置，禁止随意丢弃、排放，对环境产生二次污染。</w:t>
            </w:r>
          </w:p>
          <w:p w14:paraId="07F38F1B">
            <w:pPr>
              <w:adjustRightInd w:val="0"/>
              <w:snapToGrid w:val="0"/>
              <w:spacing w:line="360" w:lineRule="auto"/>
              <w:ind w:firstLine="482" w:firstLineChars="200"/>
              <w:rPr>
                <w:b/>
                <w:bCs/>
                <w:kern w:val="0"/>
                <w:sz w:val="24"/>
              </w:rPr>
            </w:pPr>
            <w:r>
              <w:rPr>
                <w:b/>
                <w:bCs/>
                <w:kern w:val="0"/>
                <w:sz w:val="24"/>
              </w:rPr>
              <w:t>（2）火灾事故应急措施</w:t>
            </w:r>
          </w:p>
          <w:p w14:paraId="015EFF35">
            <w:pPr>
              <w:adjustRightInd w:val="0"/>
              <w:snapToGrid w:val="0"/>
              <w:spacing w:line="360" w:lineRule="auto"/>
              <w:ind w:firstLine="480" w:firstLineChars="200"/>
              <w:rPr>
                <w:kern w:val="0"/>
                <w:sz w:val="24"/>
              </w:rPr>
            </w:pPr>
            <w:r>
              <w:rPr>
                <w:kern w:val="0"/>
                <w:sz w:val="24"/>
              </w:rPr>
              <w:t>①在保证安全情况下将人员转移至安全地带，并将其他易燃易爆物品及时转移到安全位置。并第一时间通知周边村民，必要时让村民疏散至安全地带。</w:t>
            </w:r>
          </w:p>
          <w:p w14:paraId="2E8D1B43">
            <w:pPr>
              <w:adjustRightInd w:val="0"/>
              <w:snapToGrid w:val="0"/>
              <w:spacing w:line="360" w:lineRule="auto"/>
              <w:ind w:firstLine="480" w:firstLineChars="200"/>
              <w:rPr>
                <w:kern w:val="0"/>
                <w:sz w:val="24"/>
              </w:rPr>
            </w:pPr>
            <w:r>
              <w:rPr>
                <w:kern w:val="0"/>
                <w:sz w:val="24"/>
              </w:rPr>
              <w:t>②使用厂区消防器材进行灭火，尽量将火势控制在一定范围内，防止其蔓延。</w:t>
            </w:r>
          </w:p>
          <w:p w14:paraId="46FA09A5">
            <w:pPr>
              <w:adjustRightInd w:val="0"/>
              <w:snapToGrid w:val="0"/>
              <w:spacing w:line="360" w:lineRule="auto"/>
              <w:ind w:firstLine="480" w:firstLineChars="200"/>
              <w:rPr>
                <w:kern w:val="0"/>
                <w:sz w:val="24"/>
              </w:rPr>
            </w:pPr>
            <w:r>
              <w:rPr>
                <w:kern w:val="0"/>
                <w:sz w:val="24"/>
              </w:rPr>
              <w:t>③事故处理过程中对事故区域设置围堰收容泄漏的消防废水和废物，采用抽水泵、水管联合作业将围堵的消防废水收集引流或收集至应急事故池内。</w:t>
            </w:r>
          </w:p>
          <w:p w14:paraId="39FC5E1C">
            <w:pPr>
              <w:adjustRightInd w:val="0"/>
              <w:snapToGrid w:val="0"/>
              <w:spacing w:line="360" w:lineRule="auto"/>
              <w:ind w:firstLine="480" w:firstLineChars="200"/>
              <w:rPr>
                <w:kern w:val="0"/>
                <w:sz w:val="24"/>
              </w:rPr>
            </w:pPr>
            <w:r>
              <w:rPr>
                <w:kern w:val="0"/>
                <w:sz w:val="24"/>
              </w:rPr>
              <w:t>④事故处置完毕后，对处置过程中产生的消防废水、废物进行收集存储，后期交由资质单位进行集中处置。</w:t>
            </w:r>
          </w:p>
          <w:p w14:paraId="6713E602">
            <w:pPr>
              <w:spacing w:line="360" w:lineRule="auto"/>
              <w:ind w:firstLine="480" w:firstLineChars="200"/>
              <w:rPr>
                <w:sz w:val="24"/>
              </w:rPr>
            </w:pPr>
            <w:r>
              <w:rPr>
                <w:rFonts w:hint="eastAsia"/>
                <w:sz w:val="24"/>
              </w:rPr>
              <w:t>⑤</w:t>
            </w:r>
            <w:r>
              <w:rPr>
                <w:sz w:val="24"/>
              </w:rPr>
              <w:t>迅速撤离火灾污染区人员至上风处，并立即进行隔离。应急处理人员戴自给正压式呼吸器，穿防毒服。尽可能切断泄漏源。</w:t>
            </w:r>
          </w:p>
          <w:p w14:paraId="1C8530ED">
            <w:pPr>
              <w:spacing w:line="360" w:lineRule="auto"/>
              <w:ind w:firstLine="480" w:firstLineChars="200"/>
              <w:rPr>
                <w:sz w:val="24"/>
              </w:rPr>
            </w:pPr>
            <w:r>
              <w:rPr>
                <w:rFonts w:hint="eastAsia"/>
                <w:sz w:val="24"/>
              </w:rPr>
              <w:t>⑥</w:t>
            </w:r>
            <w:r>
              <w:rPr>
                <w:sz w:val="24"/>
              </w:rPr>
              <w:t>应急处理人员用灭火器紧急处理，及时报告，根据情况向厂内应急中心求救或拨打119。</w:t>
            </w:r>
          </w:p>
          <w:p w14:paraId="2CA321D5">
            <w:pPr>
              <w:spacing w:line="360" w:lineRule="auto"/>
              <w:ind w:firstLine="480" w:firstLineChars="200"/>
              <w:rPr>
                <w:sz w:val="24"/>
              </w:rPr>
            </w:pPr>
            <w:r>
              <w:rPr>
                <w:rFonts w:hint="eastAsia"/>
                <w:sz w:val="24"/>
              </w:rPr>
              <w:t>⑦</w:t>
            </w:r>
            <w:r>
              <w:rPr>
                <w:sz w:val="24"/>
              </w:rPr>
              <w:t>切断火势蔓延的途径，冷却和疏散受火势威胁的密闭容器和可燃物，控制燃烧范围，并积极抢救受伤和被困人员。合理通风，加速扩散。</w:t>
            </w:r>
          </w:p>
          <w:p w14:paraId="65C87957">
            <w:pPr>
              <w:spacing w:line="360" w:lineRule="auto"/>
              <w:ind w:firstLine="480" w:firstLineChars="200"/>
              <w:rPr>
                <w:sz w:val="24"/>
              </w:rPr>
            </w:pPr>
            <w:r>
              <w:rPr>
                <w:rFonts w:hint="eastAsia"/>
                <w:sz w:val="24"/>
              </w:rPr>
              <w:t>⑧</w:t>
            </w:r>
            <w:r>
              <w:rPr>
                <w:sz w:val="24"/>
              </w:rPr>
              <w:t>当人体吸入有毒气体引起中毒，须迅速脱离现场至空气新鲜处，情节严重的要立即就医。</w:t>
            </w:r>
          </w:p>
          <w:p w14:paraId="683B6880">
            <w:pPr>
              <w:spacing w:line="360" w:lineRule="auto"/>
              <w:ind w:firstLine="482" w:firstLineChars="200"/>
              <w:rPr>
                <w:b/>
                <w:bCs/>
                <w:sz w:val="24"/>
              </w:rPr>
            </w:pPr>
            <w:r>
              <w:rPr>
                <w:rFonts w:hint="eastAsia"/>
                <w:b/>
                <w:bCs/>
                <w:kern w:val="0"/>
                <w:sz w:val="24"/>
              </w:rPr>
              <w:t>（3）</w:t>
            </w:r>
            <w:r>
              <w:rPr>
                <w:b/>
                <w:bCs/>
                <w:sz w:val="24"/>
              </w:rPr>
              <w:t>应急预案及措施</w:t>
            </w:r>
          </w:p>
          <w:p w14:paraId="1F2294B9">
            <w:pPr>
              <w:spacing w:line="360" w:lineRule="auto"/>
              <w:ind w:firstLine="480" w:firstLineChars="200"/>
              <w:rPr>
                <w:sz w:val="24"/>
              </w:rPr>
            </w:pPr>
            <w:r>
              <w:rPr>
                <w:sz w:val="24"/>
              </w:rPr>
              <w:t>为保证企业及人民生命财产的安全，防止重大火灾事故或危险废物泄漏事故的发生，并在发生事故时，能迅速有序地开展救援工作，尽最大努力减少事故的危害和损失，企业应根据环境保护部印发的《突发环境事件应急管理办法》（部令第34号）、《企业突发环境事件风险分级方法》（HJ941-2018）、《企业事业单位突发环境事件应急预案评审工作指南（试行）（环办应急〔2018〕8号），以及《云南省企业单位突发环境事件应急预案指导目录和编制要点》（试行）（云环应发〔2013〕12号）的要求编制相关的应急预案，并报</w:t>
            </w:r>
            <w:r>
              <w:rPr>
                <w:rFonts w:hint="eastAsia"/>
                <w:sz w:val="24"/>
              </w:rPr>
              <w:t>昆明市生态环境局寻甸分局</w:t>
            </w:r>
            <w:r>
              <w:rPr>
                <w:sz w:val="24"/>
              </w:rPr>
              <w:t>备案。</w:t>
            </w:r>
          </w:p>
          <w:p w14:paraId="3C0E8FA3">
            <w:pPr>
              <w:adjustRightInd w:val="0"/>
              <w:snapToGrid w:val="0"/>
              <w:spacing w:line="360" w:lineRule="auto"/>
              <w:ind w:firstLine="482" w:firstLineChars="200"/>
              <w:rPr>
                <w:b/>
                <w:bCs/>
                <w:kern w:val="0"/>
                <w:sz w:val="24"/>
              </w:rPr>
            </w:pPr>
            <w:r>
              <w:rPr>
                <w:rFonts w:hint="eastAsia"/>
                <w:b/>
                <w:bCs/>
                <w:kern w:val="0"/>
                <w:sz w:val="24"/>
              </w:rPr>
              <w:t>7</w:t>
            </w:r>
            <w:r>
              <w:rPr>
                <w:b/>
                <w:bCs/>
                <w:kern w:val="0"/>
                <w:sz w:val="24"/>
              </w:rPr>
              <w:t>、分析结论</w:t>
            </w:r>
          </w:p>
          <w:p w14:paraId="7C5A85E7">
            <w:pPr>
              <w:adjustRightInd w:val="0"/>
              <w:snapToGrid w:val="0"/>
              <w:spacing w:line="360" w:lineRule="auto"/>
              <w:ind w:firstLine="480" w:firstLineChars="200"/>
              <w:rPr>
                <w:kern w:val="0"/>
                <w:sz w:val="24"/>
              </w:rPr>
            </w:pPr>
            <w:r>
              <w:rPr>
                <w:kern w:val="0"/>
                <w:sz w:val="24"/>
              </w:rPr>
              <w:t>本项目存在的危险物质数量较小，对环境造成污染的风险较小。通过对风险物质的存储、使用进行严格管控，对风险源进行监控，同时配备相应的应急物资，设置应急池等风险防范措施后，可以有效减少风险事故的发生，并有效控制环境风险事故发生后对外环境的影响。</w:t>
            </w:r>
          </w:p>
          <w:p w14:paraId="7D8F82D4">
            <w:pPr>
              <w:pStyle w:val="15"/>
              <w:adjustRightInd w:val="0"/>
              <w:spacing w:line="360" w:lineRule="auto"/>
              <w:ind w:firstLine="480" w:firstLineChars="200"/>
              <w:rPr>
                <w:sz w:val="24"/>
                <w:szCs w:val="24"/>
              </w:rPr>
            </w:pPr>
          </w:p>
          <w:p w14:paraId="2C880D47">
            <w:pPr>
              <w:pStyle w:val="15"/>
              <w:adjustRightInd w:val="0"/>
              <w:spacing w:line="360" w:lineRule="auto"/>
              <w:ind w:firstLine="480" w:firstLineChars="200"/>
              <w:rPr>
                <w:sz w:val="24"/>
                <w:szCs w:val="24"/>
              </w:rPr>
            </w:pPr>
          </w:p>
          <w:p w14:paraId="451D9E20">
            <w:pPr>
              <w:pStyle w:val="15"/>
              <w:adjustRightInd w:val="0"/>
              <w:spacing w:line="360" w:lineRule="auto"/>
              <w:rPr>
                <w:bCs/>
                <w:sz w:val="24"/>
              </w:rPr>
            </w:pPr>
          </w:p>
        </w:tc>
      </w:tr>
      <w:tr w14:paraId="247C8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9" w:hRule="atLeast"/>
          <w:jc w:val="center"/>
        </w:trPr>
        <w:tc>
          <w:tcPr>
            <w:tcW w:w="288" w:type="dxa"/>
            <w:tcMar>
              <w:left w:w="28" w:type="dxa"/>
              <w:right w:w="28" w:type="dxa"/>
            </w:tcMar>
            <w:vAlign w:val="center"/>
          </w:tcPr>
          <w:p w14:paraId="216EAB74">
            <w:pPr>
              <w:adjustRightInd w:val="0"/>
              <w:snapToGrid w:val="0"/>
              <w:jc w:val="center"/>
              <w:rPr>
                <w:bCs/>
                <w:sz w:val="24"/>
              </w:rPr>
            </w:pPr>
            <w:r>
              <w:rPr>
                <w:bCs/>
                <w:sz w:val="24"/>
              </w:rPr>
              <w:t>运营</w:t>
            </w:r>
          </w:p>
          <w:p w14:paraId="7A4F2267">
            <w:pPr>
              <w:adjustRightInd w:val="0"/>
              <w:snapToGrid w:val="0"/>
              <w:jc w:val="center"/>
              <w:rPr>
                <w:bCs/>
                <w:sz w:val="24"/>
              </w:rPr>
            </w:pPr>
            <w:r>
              <w:rPr>
                <w:bCs/>
                <w:sz w:val="24"/>
              </w:rPr>
              <w:t>期环</w:t>
            </w:r>
          </w:p>
          <w:p w14:paraId="24EC133A">
            <w:pPr>
              <w:adjustRightInd w:val="0"/>
              <w:snapToGrid w:val="0"/>
              <w:jc w:val="center"/>
              <w:rPr>
                <w:bCs/>
                <w:sz w:val="24"/>
              </w:rPr>
            </w:pPr>
            <w:r>
              <w:rPr>
                <w:bCs/>
                <w:sz w:val="24"/>
              </w:rPr>
              <w:t>境影</w:t>
            </w:r>
          </w:p>
          <w:p w14:paraId="3A94900F">
            <w:pPr>
              <w:adjustRightInd w:val="0"/>
              <w:snapToGrid w:val="0"/>
              <w:jc w:val="center"/>
              <w:rPr>
                <w:bCs/>
                <w:sz w:val="24"/>
              </w:rPr>
            </w:pPr>
            <w:r>
              <w:rPr>
                <w:bCs/>
                <w:sz w:val="24"/>
              </w:rPr>
              <w:t>响和</w:t>
            </w:r>
          </w:p>
          <w:p w14:paraId="23416483">
            <w:pPr>
              <w:adjustRightInd w:val="0"/>
              <w:snapToGrid w:val="0"/>
              <w:jc w:val="center"/>
              <w:rPr>
                <w:bCs/>
                <w:sz w:val="24"/>
              </w:rPr>
            </w:pPr>
            <w:r>
              <w:rPr>
                <w:bCs/>
                <w:sz w:val="24"/>
              </w:rPr>
              <w:t>保护</w:t>
            </w:r>
          </w:p>
          <w:p w14:paraId="7574C616">
            <w:pPr>
              <w:pStyle w:val="19"/>
              <w:adjustRightInd w:val="0"/>
              <w:snapToGrid w:val="0"/>
              <w:spacing w:before="0" w:beforeAutospacing="0" w:after="0" w:afterAutospacing="0"/>
              <w:jc w:val="center"/>
              <w:rPr>
                <w:rFonts w:ascii="Times New Roman" w:hAnsi="Times New Roman"/>
                <w:bCs/>
                <w:szCs w:val="24"/>
              </w:rPr>
            </w:pPr>
            <w:r>
              <w:rPr>
                <w:rFonts w:ascii="Times New Roman" w:hAnsi="Times New Roman"/>
                <w:bCs/>
                <w:szCs w:val="24"/>
              </w:rPr>
              <w:t>措施</w:t>
            </w:r>
          </w:p>
        </w:tc>
        <w:tc>
          <w:tcPr>
            <w:tcW w:w="8693" w:type="dxa"/>
            <w:vMerge w:val="continue"/>
            <w:vAlign w:val="center"/>
          </w:tcPr>
          <w:p w14:paraId="4381FCD7">
            <w:pPr>
              <w:pStyle w:val="15"/>
              <w:adjustRightInd w:val="0"/>
              <w:spacing w:line="360" w:lineRule="auto"/>
              <w:rPr>
                <w:bCs/>
                <w:sz w:val="24"/>
              </w:rPr>
            </w:pPr>
          </w:p>
        </w:tc>
      </w:tr>
    </w:tbl>
    <w:p w14:paraId="0BE2D6D9">
      <w:pPr>
        <w:adjustRightInd w:val="0"/>
        <w:snapToGrid w:val="0"/>
        <w:spacing w:line="360" w:lineRule="auto"/>
        <w:rPr>
          <w:b/>
          <w:kern w:val="0"/>
          <w:sz w:val="28"/>
          <w:szCs w:val="28"/>
        </w:rPr>
        <w:sectPr>
          <w:pgSz w:w="11907" w:h="16840"/>
          <w:pgMar w:top="1701" w:right="1531" w:bottom="1418" w:left="1531" w:header="851" w:footer="851" w:gutter="0"/>
          <w:cols w:space="720" w:num="1"/>
          <w:docGrid w:linePitch="312" w:charSpace="0"/>
        </w:sectPr>
      </w:pPr>
    </w:p>
    <w:p w14:paraId="199C68B5">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35" w:name="_Toc11957"/>
      <w:r>
        <w:rPr>
          <w:rFonts w:ascii="Times New Roman" w:hAnsi="Times New Roman" w:eastAsia="黑体"/>
          <w:snapToGrid w:val="0"/>
          <w:sz w:val="30"/>
          <w:szCs w:val="30"/>
        </w:rPr>
        <w:t>五、</w:t>
      </w:r>
      <w:bookmarkStart w:id="36" w:name="_Hlk54167917"/>
      <w:r>
        <w:rPr>
          <w:rFonts w:ascii="Times New Roman" w:hAnsi="Times New Roman" w:eastAsia="黑体"/>
          <w:snapToGrid w:val="0"/>
          <w:sz w:val="30"/>
          <w:szCs w:val="30"/>
        </w:rPr>
        <w:t>环境保护措施监督检查清单</w:t>
      </w:r>
      <w:bookmarkEnd w:id="35"/>
      <w:bookmarkEnd w:id="36"/>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14:paraId="50BFF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tcBorders>
              <w:tl2br w:val="single" w:color="auto" w:sz="4" w:space="0"/>
            </w:tcBorders>
          </w:tcPr>
          <w:p w14:paraId="4D23913B">
            <w:pPr>
              <w:adjustRightInd w:val="0"/>
              <w:snapToGrid w:val="0"/>
              <w:ind w:firstLine="840"/>
              <w:rPr>
                <w:szCs w:val="21"/>
              </w:rPr>
            </w:pPr>
            <w:r>
              <w:rPr>
                <w:szCs w:val="21"/>
              </w:rPr>
              <w:t>内容</w:t>
            </w:r>
          </w:p>
          <w:p w14:paraId="22ABA949">
            <w:pPr>
              <w:adjustRightInd w:val="0"/>
              <w:snapToGrid w:val="0"/>
              <w:rPr>
                <w:szCs w:val="21"/>
              </w:rPr>
            </w:pPr>
            <w:r>
              <w:rPr>
                <w:szCs w:val="21"/>
              </w:rPr>
              <w:t>要素</w:t>
            </w:r>
          </w:p>
        </w:tc>
        <w:tc>
          <w:tcPr>
            <w:tcW w:w="1755" w:type="dxa"/>
            <w:vAlign w:val="center"/>
          </w:tcPr>
          <w:p w14:paraId="48E45A5A">
            <w:pPr>
              <w:adjustRightInd w:val="0"/>
              <w:snapToGrid w:val="0"/>
              <w:jc w:val="center"/>
              <w:rPr>
                <w:szCs w:val="21"/>
              </w:rPr>
            </w:pPr>
            <w:r>
              <w:rPr>
                <w:szCs w:val="21"/>
              </w:rPr>
              <w:t>排放口(编号、</w:t>
            </w:r>
          </w:p>
          <w:p w14:paraId="73B7AE70">
            <w:pPr>
              <w:adjustRightInd w:val="0"/>
              <w:snapToGrid w:val="0"/>
              <w:jc w:val="center"/>
              <w:rPr>
                <w:szCs w:val="21"/>
              </w:rPr>
            </w:pPr>
            <w:r>
              <w:rPr>
                <w:szCs w:val="21"/>
              </w:rPr>
              <w:t>名称)/污染源</w:t>
            </w:r>
          </w:p>
        </w:tc>
        <w:tc>
          <w:tcPr>
            <w:tcW w:w="1755" w:type="dxa"/>
            <w:vAlign w:val="center"/>
          </w:tcPr>
          <w:p w14:paraId="677835AD">
            <w:pPr>
              <w:adjustRightInd w:val="0"/>
              <w:snapToGrid w:val="0"/>
              <w:jc w:val="center"/>
              <w:rPr>
                <w:szCs w:val="21"/>
              </w:rPr>
            </w:pPr>
            <w:r>
              <w:rPr>
                <w:szCs w:val="21"/>
              </w:rPr>
              <w:t>污染物项目</w:t>
            </w:r>
          </w:p>
        </w:tc>
        <w:tc>
          <w:tcPr>
            <w:tcW w:w="1755" w:type="dxa"/>
            <w:vAlign w:val="center"/>
          </w:tcPr>
          <w:p w14:paraId="26C4204A">
            <w:pPr>
              <w:adjustRightInd w:val="0"/>
              <w:snapToGrid w:val="0"/>
              <w:jc w:val="center"/>
              <w:rPr>
                <w:szCs w:val="21"/>
              </w:rPr>
            </w:pPr>
            <w:r>
              <w:rPr>
                <w:szCs w:val="21"/>
              </w:rPr>
              <w:t>环境保护措施</w:t>
            </w:r>
          </w:p>
        </w:tc>
        <w:tc>
          <w:tcPr>
            <w:tcW w:w="1757" w:type="dxa"/>
            <w:vAlign w:val="center"/>
          </w:tcPr>
          <w:p w14:paraId="29AB531C">
            <w:pPr>
              <w:adjustRightInd w:val="0"/>
              <w:snapToGrid w:val="0"/>
              <w:jc w:val="center"/>
              <w:rPr>
                <w:szCs w:val="21"/>
              </w:rPr>
            </w:pPr>
            <w:r>
              <w:rPr>
                <w:szCs w:val="21"/>
              </w:rPr>
              <w:t>执行标准</w:t>
            </w:r>
          </w:p>
        </w:tc>
      </w:tr>
      <w:tr w14:paraId="3A096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Merge w:val="restart"/>
            <w:vAlign w:val="center"/>
          </w:tcPr>
          <w:p w14:paraId="60B38476">
            <w:pPr>
              <w:adjustRightInd w:val="0"/>
              <w:snapToGrid w:val="0"/>
              <w:jc w:val="center"/>
              <w:rPr>
                <w:szCs w:val="21"/>
              </w:rPr>
            </w:pPr>
            <w:r>
              <w:rPr>
                <w:rFonts w:hint="eastAsia"/>
                <w:szCs w:val="21"/>
              </w:rPr>
              <w:t>大气环境</w:t>
            </w:r>
          </w:p>
        </w:tc>
        <w:tc>
          <w:tcPr>
            <w:tcW w:w="1755" w:type="dxa"/>
            <w:vAlign w:val="center"/>
          </w:tcPr>
          <w:p w14:paraId="62560FE4">
            <w:pPr>
              <w:adjustRightInd w:val="0"/>
              <w:snapToGrid w:val="0"/>
              <w:jc w:val="center"/>
              <w:rPr>
                <w:szCs w:val="21"/>
              </w:rPr>
            </w:pPr>
            <w:r>
              <w:rPr>
                <w:szCs w:val="21"/>
              </w:rPr>
              <w:t>无组织粉尘</w:t>
            </w:r>
          </w:p>
        </w:tc>
        <w:tc>
          <w:tcPr>
            <w:tcW w:w="1755" w:type="dxa"/>
            <w:vAlign w:val="center"/>
          </w:tcPr>
          <w:p w14:paraId="1EF2A035">
            <w:pPr>
              <w:adjustRightInd w:val="0"/>
              <w:snapToGrid w:val="0"/>
              <w:jc w:val="center"/>
              <w:rPr>
                <w:szCs w:val="21"/>
              </w:rPr>
            </w:pPr>
            <w:r>
              <w:rPr>
                <w:szCs w:val="21"/>
              </w:rPr>
              <w:t>颗粒物</w:t>
            </w:r>
          </w:p>
        </w:tc>
        <w:tc>
          <w:tcPr>
            <w:tcW w:w="1755" w:type="dxa"/>
            <w:vAlign w:val="center"/>
          </w:tcPr>
          <w:p w14:paraId="5613F129">
            <w:pPr>
              <w:adjustRightInd w:val="0"/>
              <w:snapToGrid w:val="0"/>
              <w:jc w:val="center"/>
              <w:rPr>
                <w:szCs w:val="21"/>
              </w:rPr>
            </w:pPr>
            <w:r>
              <w:rPr>
                <w:rFonts w:hint="eastAsia"/>
                <w:szCs w:val="21"/>
              </w:rPr>
              <w:t>厂房密闭、移动式雾炮机喷雾除尘</w:t>
            </w:r>
          </w:p>
        </w:tc>
        <w:tc>
          <w:tcPr>
            <w:tcW w:w="1757" w:type="dxa"/>
            <w:vAlign w:val="center"/>
          </w:tcPr>
          <w:p w14:paraId="5321C86B">
            <w:pPr>
              <w:adjustRightInd w:val="0"/>
              <w:snapToGrid w:val="0"/>
              <w:jc w:val="center"/>
              <w:rPr>
                <w:szCs w:val="21"/>
              </w:rPr>
            </w:pPr>
            <w:r>
              <w:rPr>
                <w:szCs w:val="21"/>
              </w:rPr>
              <w:t>《大气污染物综合排放标准》（GB16297-1996）表2无组织排放限值要求</w:t>
            </w:r>
          </w:p>
        </w:tc>
      </w:tr>
      <w:tr w14:paraId="07147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778" w:type="dxa"/>
            <w:vMerge w:val="continue"/>
            <w:vAlign w:val="center"/>
          </w:tcPr>
          <w:p w14:paraId="61A186CC">
            <w:pPr>
              <w:adjustRightInd w:val="0"/>
              <w:snapToGrid w:val="0"/>
              <w:jc w:val="center"/>
              <w:rPr>
                <w:szCs w:val="21"/>
              </w:rPr>
            </w:pPr>
          </w:p>
        </w:tc>
        <w:tc>
          <w:tcPr>
            <w:tcW w:w="1755" w:type="dxa"/>
            <w:vAlign w:val="center"/>
          </w:tcPr>
          <w:p w14:paraId="5BAB2405">
            <w:pPr>
              <w:adjustRightInd w:val="0"/>
              <w:snapToGrid w:val="0"/>
              <w:jc w:val="center"/>
              <w:rPr>
                <w:szCs w:val="21"/>
              </w:rPr>
            </w:pPr>
            <w:r>
              <w:rPr>
                <w:rFonts w:hint="eastAsia"/>
                <w:szCs w:val="21"/>
              </w:rPr>
              <w:t>发酵异味</w:t>
            </w:r>
          </w:p>
        </w:tc>
        <w:tc>
          <w:tcPr>
            <w:tcW w:w="1755" w:type="dxa"/>
            <w:vAlign w:val="center"/>
          </w:tcPr>
          <w:p w14:paraId="0A21426E">
            <w:pPr>
              <w:adjustRightInd w:val="0"/>
              <w:snapToGrid w:val="0"/>
              <w:jc w:val="center"/>
              <w:rPr>
                <w:szCs w:val="21"/>
              </w:rPr>
            </w:pPr>
            <w:r>
              <w:rPr>
                <w:szCs w:val="21"/>
              </w:rPr>
              <w:t>臭气浓度</w:t>
            </w:r>
          </w:p>
        </w:tc>
        <w:tc>
          <w:tcPr>
            <w:tcW w:w="1755" w:type="dxa"/>
            <w:vMerge w:val="restart"/>
            <w:vAlign w:val="center"/>
          </w:tcPr>
          <w:p w14:paraId="51DE4298">
            <w:pPr>
              <w:adjustRightInd w:val="0"/>
              <w:snapToGrid w:val="0"/>
              <w:jc w:val="center"/>
              <w:rPr>
                <w:szCs w:val="21"/>
              </w:rPr>
            </w:pPr>
            <w:r>
              <w:rPr>
                <w:rFonts w:hint="eastAsia"/>
                <w:szCs w:val="21"/>
              </w:rPr>
              <w:t>厂房密闭、喷洒生物除臭剂、车间安装抽排风系统</w:t>
            </w:r>
          </w:p>
        </w:tc>
        <w:tc>
          <w:tcPr>
            <w:tcW w:w="1757" w:type="dxa"/>
            <w:vAlign w:val="center"/>
          </w:tcPr>
          <w:p w14:paraId="1F871278">
            <w:pPr>
              <w:adjustRightInd w:val="0"/>
              <w:snapToGrid w:val="0"/>
              <w:jc w:val="center"/>
              <w:rPr>
                <w:szCs w:val="21"/>
              </w:rPr>
            </w:pPr>
            <w:r>
              <w:rPr>
                <w:szCs w:val="21"/>
              </w:rPr>
              <w:t>达到《恶臭污染物排放标准》(GB14554-93)</w:t>
            </w:r>
            <w:r>
              <w:rPr>
                <w:rFonts w:hint="eastAsia"/>
                <w:szCs w:val="21"/>
              </w:rPr>
              <w:t>表1中二级</w:t>
            </w:r>
            <w:r>
              <w:rPr>
                <w:szCs w:val="21"/>
              </w:rPr>
              <w:t>标准</w:t>
            </w:r>
          </w:p>
        </w:tc>
      </w:tr>
      <w:tr w14:paraId="31028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78" w:type="dxa"/>
            <w:vMerge w:val="restart"/>
            <w:vAlign w:val="center"/>
          </w:tcPr>
          <w:p w14:paraId="608FAC8B">
            <w:pPr>
              <w:adjustRightInd w:val="0"/>
              <w:snapToGrid w:val="0"/>
              <w:jc w:val="center"/>
              <w:rPr>
                <w:szCs w:val="21"/>
              </w:rPr>
            </w:pPr>
            <w:r>
              <w:rPr>
                <w:szCs w:val="21"/>
              </w:rPr>
              <w:t>地表水环境</w:t>
            </w:r>
          </w:p>
        </w:tc>
        <w:tc>
          <w:tcPr>
            <w:tcW w:w="1755" w:type="dxa"/>
            <w:vAlign w:val="center"/>
          </w:tcPr>
          <w:p w14:paraId="152BD20B">
            <w:pPr>
              <w:adjustRightInd w:val="0"/>
              <w:snapToGrid w:val="0"/>
              <w:jc w:val="center"/>
              <w:rPr>
                <w:szCs w:val="21"/>
              </w:rPr>
            </w:pPr>
            <w:r>
              <w:rPr>
                <w:rFonts w:hint="eastAsia"/>
                <w:szCs w:val="21"/>
              </w:rPr>
              <w:t>生活污水</w:t>
            </w:r>
          </w:p>
        </w:tc>
        <w:tc>
          <w:tcPr>
            <w:tcW w:w="1755" w:type="dxa"/>
            <w:vAlign w:val="center"/>
          </w:tcPr>
          <w:p w14:paraId="7B691824">
            <w:pPr>
              <w:adjustRightInd w:val="0"/>
              <w:snapToGrid w:val="0"/>
              <w:jc w:val="center"/>
              <w:rPr>
                <w:szCs w:val="21"/>
              </w:rPr>
            </w:pPr>
            <w:r>
              <w:rPr>
                <w:szCs w:val="21"/>
              </w:rPr>
              <w:t>COD、SS、TP、TN、氨氮</w:t>
            </w:r>
            <w:r>
              <w:rPr>
                <w:rFonts w:hint="eastAsia"/>
                <w:szCs w:val="21"/>
              </w:rPr>
              <w:t>、动植物油</w:t>
            </w:r>
          </w:p>
        </w:tc>
        <w:tc>
          <w:tcPr>
            <w:tcW w:w="1755" w:type="dxa"/>
            <w:vAlign w:val="center"/>
          </w:tcPr>
          <w:p w14:paraId="742E9E03">
            <w:pPr>
              <w:adjustRightInd w:val="0"/>
              <w:snapToGrid w:val="0"/>
              <w:jc w:val="center"/>
              <w:rPr>
                <w:bCs/>
                <w:spacing w:val="-10"/>
                <w:szCs w:val="21"/>
              </w:rPr>
            </w:pPr>
            <w:r>
              <w:rPr>
                <w:rFonts w:hint="eastAsia"/>
                <w:bCs/>
                <w:spacing w:val="-10"/>
                <w:szCs w:val="21"/>
              </w:rPr>
              <w:t>依托已建化粪池、一体化污水处理设备处理后回用于绿化和洒水降尘</w:t>
            </w:r>
          </w:p>
        </w:tc>
        <w:tc>
          <w:tcPr>
            <w:tcW w:w="1757" w:type="dxa"/>
            <w:vAlign w:val="center"/>
          </w:tcPr>
          <w:p w14:paraId="62F4BD69">
            <w:pPr>
              <w:adjustRightInd w:val="0"/>
              <w:snapToGrid w:val="0"/>
              <w:jc w:val="center"/>
              <w:rPr>
                <w:bCs/>
                <w:spacing w:val="-10"/>
                <w:szCs w:val="21"/>
              </w:rPr>
            </w:pPr>
            <w:r>
              <w:rPr>
                <w:rFonts w:hint="eastAsia"/>
                <w:bCs/>
                <w:spacing w:val="-10"/>
                <w:szCs w:val="21"/>
              </w:rPr>
              <w:t>不外排</w:t>
            </w:r>
          </w:p>
        </w:tc>
      </w:tr>
      <w:tr w14:paraId="3A35C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78" w:type="dxa"/>
            <w:vMerge w:val="continue"/>
            <w:vAlign w:val="center"/>
          </w:tcPr>
          <w:p w14:paraId="1D99DB8A">
            <w:pPr>
              <w:adjustRightInd w:val="0"/>
              <w:snapToGrid w:val="0"/>
              <w:jc w:val="center"/>
              <w:rPr>
                <w:szCs w:val="21"/>
              </w:rPr>
            </w:pPr>
          </w:p>
        </w:tc>
        <w:tc>
          <w:tcPr>
            <w:tcW w:w="1755" w:type="dxa"/>
            <w:vAlign w:val="center"/>
          </w:tcPr>
          <w:p w14:paraId="779E64B6">
            <w:pPr>
              <w:adjustRightInd w:val="0"/>
              <w:snapToGrid w:val="0"/>
              <w:jc w:val="center"/>
              <w:rPr>
                <w:szCs w:val="21"/>
              </w:rPr>
            </w:pPr>
            <w:r>
              <w:rPr>
                <w:rFonts w:hint="eastAsia"/>
                <w:szCs w:val="21"/>
              </w:rPr>
              <w:t>生产废水</w:t>
            </w:r>
          </w:p>
        </w:tc>
        <w:tc>
          <w:tcPr>
            <w:tcW w:w="1755" w:type="dxa"/>
            <w:vAlign w:val="center"/>
          </w:tcPr>
          <w:p w14:paraId="1302B2EE">
            <w:pPr>
              <w:adjustRightInd w:val="0"/>
              <w:snapToGrid w:val="0"/>
              <w:jc w:val="center"/>
              <w:rPr>
                <w:szCs w:val="21"/>
              </w:rPr>
            </w:pPr>
            <w:r>
              <w:rPr>
                <w:rFonts w:hint="eastAsia"/>
                <w:szCs w:val="21"/>
              </w:rPr>
              <w:t>SS等</w:t>
            </w:r>
          </w:p>
        </w:tc>
        <w:tc>
          <w:tcPr>
            <w:tcW w:w="1755" w:type="dxa"/>
            <w:vAlign w:val="center"/>
          </w:tcPr>
          <w:p w14:paraId="7D470A74">
            <w:pPr>
              <w:adjustRightInd w:val="0"/>
              <w:snapToGrid w:val="0"/>
              <w:jc w:val="center"/>
              <w:rPr>
                <w:bCs/>
                <w:spacing w:val="-10"/>
                <w:szCs w:val="21"/>
              </w:rPr>
            </w:pPr>
            <w:r>
              <w:rPr>
                <w:rFonts w:hint="eastAsia"/>
              </w:rPr>
              <w:t>经收集沟（共60m）收集至</w:t>
            </w:r>
            <w:r>
              <w:rPr>
                <w:rFonts w:hint="eastAsia" w:eastAsiaTheme="minorEastAsia"/>
                <w:bCs/>
                <w:szCs w:val="21"/>
              </w:rPr>
              <w:t>1个容积为2</w:t>
            </w:r>
            <w:r>
              <w:rPr>
                <w:rFonts w:eastAsiaTheme="minorEastAsia"/>
                <w:bCs/>
                <w:szCs w:val="21"/>
              </w:rPr>
              <w:t>m</w:t>
            </w:r>
            <w:r>
              <w:rPr>
                <w:rFonts w:eastAsiaTheme="minorEastAsia"/>
                <w:bCs/>
                <w:szCs w:val="21"/>
                <w:vertAlign w:val="superscript"/>
              </w:rPr>
              <w:t>3</w:t>
            </w:r>
            <w:r>
              <w:rPr>
                <w:rFonts w:hint="eastAsia" w:eastAsiaTheme="minorEastAsia"/>
                <w:bCs/>
                <w:szCs w:val="21"/>
              </w:rPr>
              <w:t>的</w:t>
            </w:r>
            <w:r>
              <w:rPr>
                <w:rFonts w:hint="eastAsia"/>
              </w:rPr>
              <w:t>收集池暂存后回用于发酵过程</w:t>
            </w:r>
          </w:p>
        </w:tc>
        <w:tc>
          <w:tcPr>
            <w:tcW w:w="1757" w:type="dxa"/>
            <w:vAlign w:val="center"/>
          </w:tcPr>
          <w:p w14:paraId="22A90914">
            <w:pPr>
              <w:adjustRightInd w:val="0"/>
              <w:snapToGrid w:val="0"/>
              <w:jc w:val="center"/>
              <w:rPr>
                <w:bCs/>
                <w:spacing w:val="-10"/>
                <w:szCs w:val="21"/>
              </w:rPr>
            </w:pPr>
            <w:r>
              <w:rPr>
                <w:rFonts w:hint="eastAsia"/>
              </w:rPr>
              <w:t>不外排</w:t>
            </w:r>
          </w:p>
        </w:tc>
      </w:tr>
      <w:tr w14:paraId="3014D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6329D13C">
            <w:pPr>
              <w:adjustRightInd w:val="0"/>
              <w:snapToGrid w:val="0"/>
              <w:jc w:val="center"/>
              <w:rPr>
                <w:szCs w:val="21"/>
              </w:rPr>
            </w:pPr>
            <w:r>
              <w:rPr>
                <w:szCs w:val="21"/>
              </w:rPr>
              <w:t>声环境</w:t>
            </w:r>
          </w:p>
        </w:tc>
        <w:tc>
          <w:tcPr>
            <w:tcW w:w="1755" w:type="dxa"/>
            <w:vAlign w:val="center"/>
          </w:tcPr>
          <w:p w14:paraId="408199FC">
            <w:pPr>
              <w:adjustRightInd w:val="0"/>
              <w:snapToGrid w:val="0"/>
              <w:jc w:val="center"/>
              <w:rPr>
                <w:szCs w:val="21"/>
              </w:rPr>
            </w:pPr>
            <w:r>
              <w:rPr>
                <w:szCs w:val="21"/>
              </w:rPr>
              <w:t>风机、破碎机等机械设备</w:t>
            </w:r>
          </w:p>
        </w:tc>
        <w:tc>
          <w:tcPr>
            <w:tcW w:w="1755" w:type="dxa"/>
            <w:vAlign w:val="center"/>
          </w:tcPr>
          <w:p w14:paraId="6BCEBDA7">
            <w:pPr>
              <w:adjustRightInd w:val="0"/>
              <w:snapToGrid w:val="0"/>
              <w:jc w:val="center"/>
              <w:rPr>
                <w:szCs w:val="21"/>
              </w:rPr>
            </w:pPr>
            <w:r>
              <w:rPr>
                <w:szCs w:val="21"/>
              </w:rPr>
              <w:t>噪声</w:t>
            </w:r>
          </w:p>
        </w:tc>
        <w:tc>
          <w:tcPr>
            <w:tcW w:w="1755" w:type="dxa"/>
            <w:vAlign w:val="center"/>
          </w:tcPr>
          <w:p w14:paraId="687FEF8C">
            <w:pPr>
              <w:adjustRightInd w:val="0"/>
              <w:snapToGrid w:val="0"/>
              <w:jc w:val="center"/>
              <w:rPr>
                <w:szCs w:val="21"/>
              </w:rPr>
            </w:pPr>
            <w:r>
              <w:rPr>
                <w:szCs w:val="21"/>
              </w:rPr>
              <w:t>减震、厂房隔声</w:t>
            </w:r>
          </w:p>
        </w:tc>
        <w:tc>
          <w:tcPr>
            <w:tcW w:w="1757" w:type="dxa"/>
            <w:vAlign w:val="center"/>
          </w:tcPr>
          <w:p w14:paraId="196F0576">
            <w:pPr>
              <w:adjustRightInd w:val="0"/>
              <w:snapToGrid w:val="0"/>
              <w:jc w:val="center"/>
              <w:rPr>
                <w:szCs w:val="21"/>
              </w:rPr>
            </w:pPr>
            <w:r>
              <w:rPr>
                <w:szCs w:val="21"/>
              </w:rPr>
              <w:t>《工业企业厂界环境噪声排放标准》（GB12348-2008）</w:t>
            </w:r>
            <w:r>
              <w:rPr>
                <w:rFonts w:hint="eastAsia"/>
                <w:szCs w:val="21"/>
              </w:rPr>
              <w:t>3</w:t>
            </w:r>
            <w:r>
              <w:rPr>
                <w:szCs w:val="21"/>
              </w:rPr>
              <w:t>类标准</w:t>
            </w:r>
          </w:p>
        </w:tc>
      </w:tr>
      <w:tr w14:paraId="1840A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3BB511D5">
            <w:pPr>
              <w:adjustRightInd w:val="0"/>
              <w:snapToGrid w:val="0"/>
              <w:jc w:val="center"/>
              <w:rPr>
                <w:szCs w:val="21"/>
              </w:rPr>
            </w:pPr>
            <w:r>
              <w:rPr>
                <w:szCs w:val="21"/>
              </w:rPr>
              <w:t>电磁辐射</w:t>
            </w:r>
          </w:p>
        </w:tc>
        <w:tc>
          <w:tcPr>
            <w:tcW w:w="1755" w:type="dxa"/>
            <w:vAlign w:val="center"/>
          </w:tcPr>
          <w:p w14:paraId="67E6273E">
            <w:pPr>
              <w:adjustRightInd w:val="0"/>
              <w:snapToGrid w:val="0"/>
              <w:jc w:val="center"/>
              <w:rPr>
                <w:szCs w:val="21"/>
              </w:rPr>
            </w:pPr>
            <w:r>
              <w:rPr>
                <w:szCs w:val="21"/>
              </w:rPr>
              <w:t>/</w:t>
            </w:r>
          </w:p>
        </w:tc>
        <w:tc>
          <w:tcPr>
            <w:tcW w:w="1755" w:type="dxa"/>
            <w:vAlign w:val="center"/>
          </w:tcPr>
          <w:p w14:paraId="098D8160">
            <w:pPr>
              <w:adjustRightInd w:val="0"/>
              <w:snapToGrid w:val="0"/>
              <w:jc w:val="center"/>
              <w:rPr>
                <w:szCs w:val="21"/>
              </w:rPr>
            </w:pPr>
            <w:r>
              <w:rPr>
                <w:szCs w:val="21"/>
              </w:rPr>
              <w:t>/</w:t>
            </w:r>
          </w:p>
        </w:tc>
        <w:tc>
          <w:tcPr>
            <w:tcW w:w="1755" w:type="dxa"/>
            <w:vAlign w:val="center"/>
          </w:tcPr>
          <w:p w14:paraId="4F67CCF5">
            <w:pPr>
              <w:adjustRightInd w:val="0"/>
              <w:snapToGrid w:val="0"/>
              <w:jc w:val="center"/>
              <w:rPr>
                <w:szCs w:val="21"/>
              </w:rPr>
            </w:pPr>
            <w:r>
              <w:rPr>
                <w:szCs w:val="21"/>
              </w:rPr>
              <w:t>/</w:t>
            </w:r>
          </w:p>
        </w:tc>
        <w:tc>
          <w:tcPr>
            <w:tcW w:w="1757" w:type="dxa"/>
            <w:vAlign w:val="center"/>
          </w:tcPr>
          <w:p w14:paraId="174D129C">
            <w:pPr>
              <w:adjustRightInd w:val="0"/>
              <w:snapToGrid w:val="0"/>
              <w:jc w:val="center"/>
              <w:rPr>
                <w:szCs w:val="21"/>
              </w:rPr>
            </w:pPr>
            <w:r>
              <w:rPr>
                <w:szCs w:val="21"/>
              </w:rPr>
              <w:t>/</w:t>
            </w:r>
          </w:p>
        </w:tc>
      </w:tr>
      <w:tr w14:paraId="5A3FF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Merge w:val="restart"/>
            <w:vAlign w:val="center"/>
          </w:tcPr>
          <w:p w14:paraId="254AD4A6">
            <w:pPr>
              <w:adjustRightInd w:val="0"/>
              <w:snapToGrid w:val="0"/>
              <w:jc w:val="center"/>
              <w:rPr>
                <w:szCs w:val="21"/>
              </w:rPr>
            </w:pPr>
            <w:r>
              <w:rPr>
                <w:szCs w:val="21"/>
              </w:rPr>
              <w:t>固体废物</w:t>
            </w:r>
          </w:p>
        </w:tc>
        <w:tc>
          <w:tcPr>
            <w:tcW w:w="1755" w:type="dxa"/>
            <w:vMerge w:val="restart"/>
            <w:vAlign w:val="center"/>
          </w:tcPr>
          <w:p w14:paraId="14A92858">
            <w:pPr>
              <w:adjustRightInd w:val="0"/>
              <w:snapToGrid w:val="0"/>
              <w:jc w:val="center"/>
              <w:rPr>
                <w:szCs w:val="21"/>
              </w:rPr>
            </w:pPr>
            <w:r>
              <w:rPr>
                <w:rFonts w:hint="eastAsia"/>
                <w:szCs w:val="21"/>
              </w:rPr>
              <w:t>生产</w:t>
            </w:r>
          </w:p>
        </w:tc>
        <w:tc>
          <w:tcPr>
            <w:tcW w:w="1755" w:type="dxa"/>
            <w:vAlign w:val="center"/>
          </w:tcPr>
          <w:p w14:paraId="16AC9DE4">
            <w:pPr>
              <w:adjustRightInd w:val="0"/>
              <w:snapToGrid w:val="0"/>
              <w:jc w:val="center"/>
              <w:rPr>
                <w:szCs w:val="21"/>
              </w:rPr>
            </w:pPr>
            <w:r>
              <w:rPr>
                <w:rFonts w:hint="eastAsia"/>
                <w:szCs w:val="21"/>
              </w:rPr>
              <w:t>废包装袋</w:t>
            </w:r>
          </w:p>
        </w:tc>
        <w:tc>
          <w:tcPr>
            <w:tcW w:w="1755" w:type="dxa"/>
            <w:vAlign w:val="center"/>
          </w:tcPr>
          <w:p w14:paraId="00475B25">
            <w:pPr>
              <w:adjustRightInd w:val="0"/>
              <w:snapToGrid w:val="0"/>
              <w:jc w:val="center"/>
              <w:rPr>
                <w:szCs w:val="21"/>
              </w:rPr>
            </w:pPr>
            <w:r>
              <w:rPr>
                <w:bCs/>
                <w:spacing w:val="-10"/>
                <w:szCs w:val="21"/>
              </w:rPr>
              <w:t>定期外售资源回收公司</w:t>
            </w:r>
          </w:p>
        </w:tc>
        <w:tc>
          <w:tcPr>
            <w:tcW w:w="1757" w:type="dxa"/>
            <w:vMerge w:val="restart"/>
            <w:vAlign w:val="center"/>
          </w:tcPr>
          <w:p w14:paraId="54C8E426">
            <w:pPr>
              <w:adjustRightInd w:val="0"/>
              <w:snapToGrid w:val="0"/>
              <w:jc w:val="center"/>
              <w:rPr>
                <w:szCs w:val="21"/>
              </w:rPr>
            </w:pPr>
            <w:r>
              <w:rPr>
                <w:szCs w:val="21"/>
              </w:rPr>
              <w:t>处置率100%</w:t>
            </w:r>
          </w:p>
        </w:tc>
      </w:tr>
      <w:tr w14:paraId="34D45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778" w:type="dxa"/>
            <w:vMerge w:val="continue"/>
            <w:vAlign w:val="center"/>
          </w:tcPr>
          <w:p w14:paraId="77893494">
            <w:pPr>
              <w:adjustRightInd w:val="0"/>
              <w:snapToGrid w:val="0"/>
              <w:jc w:val="center"/>
            </w:pPr>
          </w:p>
        </w:tc>
        <w:tc>
          <w:tcPr>
            <w:tcW w:w="1755" w:type="dxa"/>
            <w:vMerge w:val="continue"/>
            <w:vAlign w:val="center"/>
          </w:tcPr>
          <w:p w14:paraId="07FA9FFF">
            <w:pPr>
              <w:adjustRightInd w:val="0"/>
              <w:snapToGrid w:val="0"/>
              <w:jc w:val="center"/>
            </w:pPr>
          </w:p>
        </w:tc>
        <w:tc>
          <w:tcPr>
            <w:tcW w:w="1755" w:type="dxa"/>
            <w:vAlign w:val="center"/>
          </w:tcPr>
          <w:p w14:paraId="2EA47C78">
            <w:pPr>
              <w:adjustRightInd w:val="0"/>
              <w:snapToGrid w:val="0"/>
              <w:jc w:val="center"/>
            </w:pPr>
            <w:r>
              <w:rPr>
                <w:rFonts w:hint="eastAsia"/>
              </w:rPr>
              <w:t>收尘灰</w:t>
            </w:r>
          </w:p>
        </w:tc>
        <w:tc>
          <w:tcPr>
            <w:tcW w:w="1755" w:type="dxa"/>
            <w:vAlign w:val="center"/>
          </w:tcPr>
          <w:p w14:paraId="582CB839">
            <w:pPr>
              <w:adjustRightInd w:val="0"/>
              <w:snapToGrid w:val="0"/>
              <w:jc w:val="center"/>
            </w:pPr>
            <w:r>
              <w:rPr>
                <w:rFonts w:hint="eastAsia"/>
              </w:rPr>
              <w:t>统一收集后回用于生产</w:t>
            </w:r>
          </w:p>
        </w:tc>
        <w:tc>
          <w:tcPr>
            <w:tcW w:w="1757" w:type="dxa"/>
            <w:vMerge w:val="continue"/>
            <w:vAlign w:val="center"/>
          </w:tcPr>
          <w:p w14:paraId="60F6846C">
            <w:pPr>
              <w:adjustRightInd w:val="0"/>
              <w:snapToGrid w:val="0"/>
              <w:jc w:val="center"/>
              <w:rPr>
                <w:szCs w:val="21"/>
              </w:rPr>
            </w:pPr>
          </w:p>
        </w:tc>
      </w:tr>
      <w:tr w14:paraId="0680D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778" w:type="dxa"/>
            <w:vMerge w:val="continue"/>
            <w:vAlign w:val="center"/>
          </w:tcPr>
          <w:p w14:paraId="41E960A9">
            <w:pPr>
              <w:adjustRightInd w:val="0"/>
              <w:snapToGrid w:val="0"/>
              <w:jc w:val="center"/>
              <w:rPr>
                <w:szCs w:val="21"/>
              </w:rPr>
            </w:pPr>
          </w:p>
        </w:tc>
        <w:tc>
          <w:tcPr>
            <w:tcW w:w="1755" w:type="dxa"/>
            <w:vAlign w:val="center"/>
          </w:tcPr>
          <w:p w14:paraId="6D9DA9AB">
            <w:pPr>
              <w:adjustRightInd w:val="0"/>
              <w:snapToGrid w:val="0"/>
              <w:jc w:val="center"/>
              <w:rPr>
                <w:szCs w:val="21"/>
              </w:rPr>
            </w:pPr>
            <w:r>
              <w:rPr>
                <w:rFonts w:hint="eastAsia"/>
                <w:szCs w:val="21"/>
              </w:rPr>
              <w:t>生活</w:t>
            </w:r>
          </w:p>
        </w:tc>
        <w:tc>
          <w:tcPr>
            <w:tcW w:w="1755" w:type="dxa"/>
            <w:vAlign w:val="center"/>
          </w:tcPr>
          <w:p w14:paraId="6A112AE1">
            <w:pPr>
              <w:adjustRightInd w:val="0"/>
              <w:snapToGrid w:val="0"/>
              <w:jc w:val="center"/>
              <w:rPr>
                <w:szCs w:val="21"/>
              </w:rPr>
            </w:pPr>
            <w:r>
              <w:rPr>
                <w:rFonts w:hint="eastAsia"/>
                <w:szCs w:val="21"/>
              </w:rPr>
              <w:t>生活垃圾</w:t>
            </w:r>
          </w:p>
        </w:tc>
        <w:tc>
          <w:tcPr>
            <w:tcW w:w="1755" w:type="dxa"/>
            <w:vMerge w:val="restart"/>
            <w:vAlign w:val="center"/>
          </w:tcPr>
          <w:p w14:paraId="6C950A21">
            <w:pPr>
              <w:adjustRightInd w:val="0"/>
              <w:snapToGrid w:val="0"/>
              <w:jc w:val="center"/>
              <w:rPr>
                <w:szCs w:val="21"/>
              </w:rPr>
            </w:pPr>
            <w:r>
              <w:rPr>
                <w:bCs/>
                <w:spacing w:val="-10"/>
                <w:szCs w:val="21"/>
              </w:rPr>
              <w:t>定期外售资源回收公司</w:t>
            </w:r>
          </w:p>
        </w:tc>
        <w:tc>
          <w:tcPr>
            <w:tcW w:w="1757" w:type="dxa"/>
            <w:vMerge w:val="continue"/>
            <w:vAlign w:val="center"/>
          </w:tcPr>
          <w:p w14:paraId="132D0168">
            <w:pPr>
              <w:adjustRightInd w:val="0"/>
              <w:snapToGrid w:val="0"/>
              <w:jc w:val="center"/>
              <w:rPr>
                <w:szCs w:val="21"/>
              </w:rPr>
            </w:pPr>
          </w:p>
        </w:tc>
      </w:tr>
      <w:tr w14:paraId="70263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778" w:type="dxa"/>
            <w:vMerge w:val="continue"/>
            <w:vAlign w:val="center"/>
          </w:tcPr>
          <w:p w14:paraId="275E1BAC">
            <w:pPr>
              <w:adjustRightInd w:val="0"/>
              <w:snapToGrid w:val="0"/>
              <w:jc w:val="center"/>
              <w:rPr>
                <w:szCs w:val="21"/>
              </w:rPr>
            </w:pPr>
          </w:p>
        </w:tc>
        <w:tc>
          <w:tcPr>
            <w:tcW w:w="1755" w:type="dxa"/>
            <w:vAlign w:val="center"/>
          </w:tcPr>
          <w:p w14:paraId="68E62B4F">
            <w:pPr>
              <w:adjustRightInd w:val="0"/>
              <w:snapToGrid w:val="0"/>
              <w:jc w:val="center"/>
              <w:rPr>
                <w:szCs w:val="21"/>
              </w:rPr>
            </w:pPr>
            <w:r>
              <w:rPr>
                <w:rFonts w:hint="eastAsia"/>
                <w:szCs w:val="21"/>
              </w:rPr>
              <w:t>机修</w:t>
            </w:r>
          </w:p>
        </w:tc>
        <w:tc>
          <w:tcPr>
            <w:tcW w:w="1755" w:type="dxa"/>
            <w:vAlign w:val="center"/>
          </w:tcPr>
          <w:p w14:paraId="11536533">
            <w:pPr>
              <w:adjustRightInd w:val="0"/>
              <w:snapToGrid w:val="0"/>
              <w:jc w:val="center"/>
              <w:rPr>
                <w:szCs w:val="21"/>
              </w:rPr>
            </w:pPr>
            <w:r>
              <w:rPr>
                <w:rFonts w:hint="eastAsia"/>
                <w:szCs w:val="21"/>
              </w:rPr>
              <w:t>废机油</w:t>
            </w:r>
          </w:p>
        </w:tc>
        <w:tc>
          <w:tcPr>
            <w:tcW w:w="1755" w:type="dxa"/>
            <w:vAlign w:val="center"/>
          </w:tcPr>
          <w:p w14:paraId="7A8DAD57">
            <w:pPr>
              <w:adjustRightInd w:val="0"/>
              <w:snapToGrid w:val="0"/>
              <w:jc w:val="center"/>
              <w:rPr>
                <w:szCs w:val="21"/>
              </w:rPr>
            </w:pPr>
            <w:r>
              <w:rPr>
                <w:rFonts w:hint="eastAsia"/>
                <w:szCs w:val="21"/>
              </w:rPr>
              <w:t>统一收集后暂存于危险废物暂存间，委托资质单位清运处置</w:t>
            </w:r>
          </w:p>
        </w:tc>
        <w:tc>
          <w:tcPr>
            <w:tcW w:w="1757" w:type="dxa"/>
            <w:vMerge w:val="continue"/>
            <w:vAlign w:val="center"/>
          </w:tcPr>
          <w:p w14:paraId="1D7260C9">
            <w:pPr>
              <w:adjustRightInd w:val="0"/>
              <w:snapToGrid w:val="0"/>
              <w:jc w:val="center"/>
              <w:rPr>
                <w:szCs w:val="21"/>
              </w:rPr>
            </w:pPr>
          </w:p>
        </w:tc>
      </w:tr>
      <w:tr w14:paraId="25FC0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6D36606F">
            <w:pPr>
              <w:adjustRightInd w:val="0"/>
              <w:snapToGrid w:val="0"/>
              <w:jc w:val="center"/>
              <w:rPr>
                <w:szCs w:val="21"/>
              </w:rPr>
            </w:pPr>
            <w:r>
              <w:rPr>
                <w:szCs w:val="21"/>
              </w:rPr>
              <w:t>土壤及地下水</w:t>
            </w:r>
          </w:p>
          <w:p w14:paraId="3ACD498A">
            <w:pPr>
              <w:adjustRightInd w:val="0"/>
              <w:snapToGrid w:val="0"/>
              <w:jc w:val="center"/>
              <w:rPr>
                <w:szCs w:val="21"/>
              </w:rPr>
            </w:pPr>
            <w:r>
              <w:rPr>
                <w:szCs w:val="21"/>
              </w:rPr>
              <w:t>污染防治措施</w:t>
            </w:r>
          </w:p>
        </w:tc>
        <w:tc>
          <w:tcPr>
            <w:tcW w:w="7022" w:type="dxa"/>
            <w:gridSpan w:val="4"/>
            <w:vAlign w:val="center"/>
          </w:tcPr>
          <w:p w14:paraId="16A7CB1D">
            <w:pPr>
              <w:rPr>
                <w:rFonts w:eastAsiaTheme="minorEastAsia"/>
              </w:rPr>
            </w:pPr>
            <w:r>
              <w:rPr>
                <w:rFonts w:eastAsiaTheme="minorEastAsia"/>
              </w:rPr>
              <w:t>简易防渗：</w:t>
            </w:r>
            <w:r>
              <w:rPr>
                <w:rFonts w:hint="eastAsia" w:eastAsiaTheme="minorEastAsia"/>
              </w:rPr>
              <w:t>除重点防渗区、一般防渗区外的其他区域</w:t>
            </w:r>
            <w:r>
              <w:rPr>
                <w:rFonts w:eastAsiaTheme="minorEastAsia"/>
              </w:rPr>
              <w:t>，进行地面硬化即可。</w:t>
            </w:r>
          </w:p>
          <w:p w14:paraId="6A68CB4F">
            <w:pPr>
              <w:rPr>
                <w:rFonts w:eastAsiaTheme="minorEastAsia"/>
              </w:rPr>
            </w:pPr>
            <w:r>
              <w:rPr>
                <w:rFonts w:eastAsiaTheme="minorEastAsia"/>
              </w:rPr>
              <w:t>一般防渗区：</w:t>
            </w:r>
            <w:r>
              <w:rPr>
                <w:rFonts w:hint="eastAsia" w:eastAsiaTheme="minorEastAsia"/>
              </w:rPr>
              <w:t>原料库、一般固废暂存库、渗滤液收集池、发酵区</w:t>
            </w:r>
            <w:r>
              <w:rPr>
                <w:rFonts w:eastAsiaTheme="minorEastAsia"/>
              </w:rPr>
              <w:t>，防渗要求：渗透系数≤10</w:t>
            </w:r>
            <w:r>
              <w:rPr>
                <w:rFonts w:eastAsiaTheme="minorEastAsia"/>
                <w:vertAlign w:val="superscript"/>
              </w:rPr>
              <w:t>-7</w:t>
            </w:r>
            <w:r>
              <w:rPr>
                <w:rFonts w:eastAsiaTheme="minorEastAsia"/>
              </w:rPr>
              <w:t>cm/s，等效黏土防渗层Mb≥1.5m。施工时采用</w:t>
            </w:r>
            <w:r>
              <w:rPr>
                <w:rFonts w:hint="eastAsia" w:eastAsiaTheme="minorEastAsia"/>
              </w:rPr>
              <w:t>具有同等隔水效力的其他人工防渗衬层进行防渗</w:t>
            </w:r>
            <w:r>
              <w:rPr>
                <w:rFonts w:eastAsiaTheme="minorEastAsia"/>
              </w:rPr>
              <w:t>。</w:t>
            </w:r>
          </w:p>
          <w:p w14:paraId="484705E7">
            <w:pPr>
              <w:adjustRightInd w:val="0"/>
              <w:snapToGrid w:val="0"/>
              <w:rPr>
                <w:szCs w:val="21"/>
              </w:rPr>
            </w:pPr>
            <w:r>
              <w:rPr>
                <w:rFonts w:eastAsiaTheme="minorEastAsia"/>
              </w:rPr>
              <w:t>重点防渗区：</w:t>
            </w:r>
            <w:r>
              <w:rPr>
                <w:rFonts w:hint="eastAsia" w:eastAsiaTheme="minorEastAsia"/>
              </w:rPr>
              <w:t>危废暂存库</w:t>
            </w:r>
            <w:r>
              <w:rPr>
                <w:rFonts w:eastAsiaTheme="minorEastAsia"/>
              </w:rPr>
              <w:t>，防渗要求：渗透系数≤10</w:t>
            </w:r>
            <w:r>
              <w:rPr>
                <w:rFonts w:eastAsiaTheme="minorEastAsia"/>
                <w:vertAlign w:val="superscript"/>
              </w:rPr>
              <w:t>-10</w:t>
            </w:r>
            <w:r>
              <w:rPr>
                <w:rFonts w:eastAsiaTheme="minorEastAsia"/>
              </w:rPr>
              <w:t>cm/s，等效黏土防渗层Mb≥6.0m。施工时采用</w:t>
            </w:r>
            <w:r>
              <w:rPr>
                <w:rFonts w:hint="eastAsia" w:eastAsiaTheme="minorEastAsia"/>
              </w:rPr>
              <w:t>至少2 mm 厚高密度聚乙烯膜等人工防渗材料（渗透系数不大于10</w:t>
            </w:r>
            <w:r>
              <w:rPr>
                <w:rFonts w:hint="eastAsia" w:eastAsiaTheme="minorEastAsia"/>
                <w:vertAlign w:val="superscript"/>
              </w:rPr>
              <w:t xml:space="preserve">-10 </w:t>
            </w:r>
            <w:r>
              <w:rPr>
                <w:rFonts w:hint="eastAsia" w:eastAsiaTheme="minorEastAsia"/>
              </w:rPr>
              <w:t>cm/s），或其他防渗性能等效的材料</w:t>
            </w:r>
            <w:r>
              <w:rPr>
                <w:rFonts w:eastAsiaTheme="minorEastAsia"/>
              </w:rPr>
              <w:t>。</w:t>
            </w:r>
          </w:p>
        </w:tc>
      </w:tr>
      <w:tr w14:paraId="1FCEC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5F99619F">
            <w:pPr>
              <w:adjustRightInd w:val="0"/>
              <w:snapToGrid w:val="0"/>
              <w:jc w:val="center"/>
              <w:rPr>
                <w:szCs w:val="21"/>
              </w:rPr>
            </w:pPr>
            <w:r>
              <w:rPr>
                <w:szCs w:val="21"/>
              </w:rPr>
              <w:t>生态保护措施</w:t>
            </w:r>
          </w:p>
        </w:tc>
        <w:tc>
          <w:tcPr>
            <w:tcW w:w="7022" w:type="dxa"/>
            <w:gridSpan w:val="4"/>
            <w:vAlign w:val="center"/>
          </w:tcPr>
          <w:p w14:paraId="2DB6D227">
            <w:pPr>
              <w:adjustRightInd w:val="0"/>
              <w:snapToGrid w:val="0"/>
              <w:jc w:val="center"/>
              <w:rPr>
                <w:szCs w:val="21"/>
              </w:rPr>
            </w:pPr>
            <w:r>
              <w:rPr>
                <w:szCs w:val="21"/>
              </w:rPr>
              <w:t>/</w:t>
            </w:r>
          </w:p>
        </w:tc>
      </w:tr>
      <w:tr w14:paraId="6E117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08B31A39">
            <w:pPr>
              <w:adjustRightInd w:val="0"/>
              <w:snapToGrid w:val="0"/>
              <w:jc w:val="center"/>
              <w:rPr>
                <w:spacing w:val="-8"/>
                <w:szCs w:val="21"/>
              </w:rPr>
            </w:pPr>
            <w:r>
              <w:rPr>
                <w:spacing w:val="-8"/>
                <w:szCs w:val="21"/>
              </w:rPr>
              <w:t>环境风险</w:t>
            </w:r>
          </w:p>
          <w:p w14:paraId="7E6F430B">
            <w:pPr>
              <w:adjustRightInd w:val="0"/>
              <w:snapToGrid w:val="0"/>
              <w:jc w:val="center"/>
              <w:rPr>
                <w:spacing w:val="-8"/>
                <w:szCs w:val="21"/>
              </w:rPr>
            </w:pPr>
            <w:r>
              <w:rPr>
                <w:spacing w:val="-8"/>
                <w:szCs w:val="21"/>
              </w:rPr>
              <w:t>防范措施</w:t>
            </w:r>
          </w:p>
        </w:tc>
        <w:tc>
          <w:tcPr>
            <w:tcW w:w="7022" w:type="dxa"/>
            <w:gridSpan w:val="4"/>
            <w:vAlign w:val="center"/>
          </w:tcPr>
          <w:p w14:paraId="6F9512A5">
            <w:pPr>
              <w:numPr>
                <w:ilvl w:val="0"/>
                <w:numId w:val="6"/>
              </w:numPr>
              <w:adjustRightInd w:val="0"/>
              <w:snapToGrid w:val="0"/>
              <w:rPr>
                <w:bCs/>
                <w:szCs w:val="21"/>
              </w:rPr>
            </w:pPr>
            <w:r>
              <w:rPr>
                <w:bCs/>
                <w:szCs w:val="21"/>
              </w:rPr>
              <w:t>泄漏事故风险防范措施</w:t>
            </w:r>
          </w:p>
          <w:p w14:paraId="669356AB">
            <w:pPr>
              <w:adjustRightInd w:val="0"/>
              <w:snapToGrid w:val="0"/>
              <w:rPr>
                <w:bCs/>
                <w:szCs w:val="21"/>
              </w:rPr>
            </w:pPr>
            <w:r>
              <w:rPr>
                <w:bCs/>
                <w:szCs w:val="21"/>
              </w:rPr>
              <w:t>1、废矿物油收集桶发生渗漏，应及时将收集桶内的废矿物油抽到备用油桶内，防止废矿物油漫流，现场抢险组应及时清除泄漏区内可能引起火灾的物品，同时投加沙土或锯末覆盖泄漏区，将吸附后的废物收集于容器内后，按有关规定作为危险废物交由资质单位回收处置。</w:t>
            </w:r>
          </w:p>
          <w:p w14:paraId="56CEE927">
            <w:pPr>
              <w:adjustRightInd w:val="0"/>
              <w:snapToGrid w:val="0"/>
              <w:rPr>
                <w:bCs/>
                <w:szCs w:val="21"/>
              </w:rPr>
            </w:pPr>
            <w:r>
              <w:rPr>
                <w:bCs/>
                <w:szCs w:val="21"/>
              </w:rPr>
              <w:t xml:space="preserve">2、加强废气治理设施巡查，做好废气定期监测工作，防止因故障导致的环境污染问题。           </w:t>
            </w:r>
          </w:p>
          <w:p w14:paraId="41BCDB7D">
            <w:pPr>
              <w:adjustRightInd w:val="0"/>
              <w:snapToGrid w:val="0"/>
              <w:rPr>
                <w:bCs/>
                <w:szCs w:val="21"/>
              </w:rPr>
            </w:pPr>
            <w:r>
              <w:rPr>
                <w:bCs/>
                <w:szCs w:val="21"/>
              </w:rPr>
              <w:t>3、严格按照施工质量控制标准要求施工，防止防渗膜破损；</w:t>
            </w:r>
          </w:p>
          <w:p w14:paraId="22615BCC">
            <w:pPr>
              <w:adjustRightInd w:val="0"/>
              <w:snapToGrid w:val="0"/>
              <w:rPr>
                <w:bCs/>
                <w:szCs w:val="21"/>
              </w:rPr>
            </w:pPr>
            <w:r>
              <w:rPr>
                <w:bCs/>
                <w:szCs w:val="21"/>
              </w:rPr>
              <w:t>4、废机油设置单独的储存容器，并定期将废机油交由有资质单位进行处理。</w:t>
            </w:r>
          </w:p>
          <w:p w14:paraId="61C205E0">
            <w:pPr>
              <w:adjustRightInd w:val="0"/>
              <w:snapToGrid w:val="0"/>
              <w:rPr>
                <w:bCs/>
                <w:szCs w:val="21"/>
              </w:rPr>
            </w:pPr>
            <w:r>
              <w:rPr>
                <w:bCs/>
                <w:szCs w:val="21"/>
              </w:rPr>
              <w:t>5、危险废物暂存间需满足“三防”（防渗漏、防雨淋、防流失）要求，并设置标识牌。</w:t>
            </w:r>
          </w:p>
          <w:p w14:paraId="34E05060">
            <w:pPr>
              <w:adjustRightInd w:val="0"/>
              <w:snapToGrid w:val="0"/>
              <w:rPr>
                <w:bCs/>
                <w:szCs w:val="21"/>
              </w:rPr>
            </w:pPr>
            <w:r>
              <w:rPr>
                <w:bCs/>
                <w:szCs w:val="21"/>
              </w:rPr>
              <w:t>6、废机油产生及处置须记录有台账，废矿物油到一定量时应及时委托有资质单位处置。</w:t>
            </w:r>
          </w:p>
          <w:p w14:paraId="2CC18267">
            <w:pPr>
              <w:rPr>
                <w:bCs/>
                <w:szCs w:val="21"/>
              </w:rPr>
            </w:pPr>
            <w:r>
              <w:rPr>
                <w:bCs/>
                <w:szCs w:val="21"/>
              </w:rPr>
              <w:t>（2）火灾事故风险防范措施</w:t>
            </w:r>
          </w:p>
          <w:p w14:paraId="7666B9A1">
            <w:pPr>
              <w:rPr>
                <w:bCs/>
                <w:szCs w:val="21"/>
              </w:rPr>
            </w:pPr>
            <w:r>
              <w:rPr>
                <w:bCs/>
                <w:szCs w:val="21"/>
              </w:rPr>
              <w:t>①按规范使用各类电器设备，避免漏电、短路、过流、过载、过热等而造成的绝缘失效或线路着火，定期检查厂房内的电源、线路，对老化电线及时更换。</w:t>
            </w:r>
          </w:p>
          <w:p w14:paraId="3C2507EA">
            <w:pPr>
              <w:rPr>
                <w:bCs/>
                <w:szCs w:val="21"/>
              </w:rPr>
            </w:pPr>
            <w:r>
              <w:rPr>
                <w:bCs/>
                <w:szCs w:val="21"/>
              </w:rPr>
              <w:t>②禁止在废机油等存放处有明火、吸烟、焊接等，危废暂存库应在显眼位置设置禁火标识。</w:t>
            </w:r>
          </w:p>
          <w:p w14:paraId="3AED10AD">
            <w:pPr>
              <w:rPr>
                <w:bCs/>
                <w:szCs w:val="21"/>
              </w:rPr>
            </w:pPr>
            <w:r>
              <w:rPr>
                <w:bCs/>
                <w:szCs w:val="21"/>
              </w:rPr>
              <w:t>③定期对操作人员进行安全生产与安全知识培训，并制定严格的安全操作规程，切实加强生产过程中的安全控制，保证劳动安全，防止意外事故的发生。</w:t>
            </w:r>
          </w:p>
          <w:p w14:paraId="1C31E51B">
            <w:pPr>
              <w:rPr>
                <w:bCs/>
                <w:szCs w:val="21"/>
              </w:rPr>
            </w:pPr>
            <w:r>
              <w:rPr>
                <w:bCs/>
                <w:szCs w:val="21"/>
              </w:rPr>
              <w:t>（3）废气处置设施防损措施</w:t>
            </w:r>
          </w:p>
          <w:p w14:paraId="40722624">
            <w:pPr>
              <w:rPr>
                <w:bCs/>
                <w:szCs w:val="21"/>
              </w:rPr>
            </w:pPr>
            <w:r>
              <w:rPr>
                <w:bCs/>
                <w:szCs w:val="21"/>
              </w:rPr>
              <w:t>①加强设备日常的维护和管理，定期对废气处置设施的各类设备进行保养、检查和维修。</w:t>
            </w:r>
          </w:p>
          <w:p w14:paraId="526E0210">
            <w:pPr>
              <w:rPr>
                <w:bCs/>
                <w:szCs w:val="21"/>
              </w:rPr>
            </w:pPr>
            <w:r>
              <w:rPr>
                <w:bCs/>
                <w:szCs w:val="21"/>
              </w:rPr>
              <w:t>②进行安全化管理来改善设备的安全性、改进工艺的安全性；完善标准及操作规程，定期进行安全检查。</w:t>
            </w:r>
          </w:p>
          <w:p w14:paraId="45B643B3">
            <w:pPr>
              <w:rPr>
                <w:bCs/>
                <w:szCs w:val="21"/>
              </w:rPr>
            </w:pPr>
            <w:r>
              <w:rPr>
                <w:bCs/>
                <w:szCs w:val="21"/>
              </w:rPr>
              <w:t>③进一步加强职工的岗位操作培训，提高职工的安全意识和风险防范能力，规范操作，将安全隐患降到最低。</w:t>
            </w:r>
          </w:p>
          <w:p w14:paraId="26E276E6">
            <w:pPr>
              <w:rPr>
                <w:bCs/>
                <w:szCs w:val="21"/>
              </w:rPr>
            </w:pPr>
            <w:r>
              <w:rPr>
                <w:rFonts w:hint="eastAsia"/>
                <w:bCs/>
                <w:szCs w:val="21"/>
              </w:rPr>
              <w:t>（4）废水处置防治措施</w:t>
            </w:r>
          </w:p>
          <w:p w14:paraId="41C23990">
            <w:pPr>
              <w:rPr>
                <w:bCs/>
                <w:szCs w:val="21"/>
              </w:rPr>
            </w:pPr>
            <w:r>
              <w:rPr>
                <w:rFonts w:hint="eastAsia"/>
                <w:bCs/>
                <w:szCs w:val="21"/>
              </w:rPr>
              <w:t>①废水收集、储存设施进行防渗措施，定期安排专人负责收集池的管理；</w:t>
            </w:r>
          </w:p>
          <w:p w14:paraId="239E1842">
            <w:pPr>
              <w:rPr>
                <w:bCs/>
                <w:szCs w:val="21"/>
              </w:rPr>
            </w:pPr>
            <w:r>
              <w:rPr>
                <w:rFonts w:hint="eastAsia"/>
                <w:bCs/>
                <w:szCs w:val="21"/>
              </w:rPr>
              <w:t>②废水收集后及时回用于生产，禁止外排。</w:t>
            </w:r>
          </w:p>
        </w:tc>
      </w:tr>
      <w:tr w14:paraId="15EE4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79BC7124">
            <w:pPr>
              <w:adjustRightInd w:val="0"/>
              <w:snapToGrid w:val="0"/>
              <w:jc w:val="center"/>
              <w:rPr>
                <w:spacing w:val="-8"/>
                <w:szCs w:val="21"/>
              </w:rPr>
            </w:pPr>
            <w:r>
              <w:rPr>
                <w:spacing w:val="-8"/>
                <w:szCs w:val="21"/>
              </w:rPr>
              <w:t>其他环境</w:t>
            </w:r>
          </w:p>
          <w:p w14:paraId="334E7A2C">
            <w:pPr>
              <w:adjustRightInd w:val="0"/>
              <w:snapToGrid w:val="0"/>
              <w:jc w:val="center"/>
              <w:rPr>
                <w:spacing w:val="-8"/>
                <w:szCs w:val="21"/>
              </w:rPr>
            </w:pPr>
            <w:r>
              <w:rPr>
                <w:spacing w:val="-8"/>
                <w:szCs w:val="21"/>
              </w:rPr>
              <w:t>管理要求</w:t>
            </w:r>
          </w:p>
        </w:tc>
        <w:tc>
          <w:tcPr>
            <w:tcW w:w="7022" w:type="dxa"/>
            <w:gridSpan w:val="4"/>
            <w:vAlign w:val="center"/>
          </w:tcPr>
          <w:p w14:paraId="733C901C">
            <w:pPr>
              <w:pStyle w:val="15"/>
              <w:rPr>
                <w:kern w:val="2"/>
                <w:sz w:val="21"/>
                <w:szCs w:val="21"/>
              </w:rPr>
            </w:pPr>
            <w:r>
              <w:rPr>
                <w:kern w:val="2"/>
                <w:sz w:val="21"/>
                <w:szCs w:val="21"/>
              </w:rPr>
              <w:t>1、加强生产管理和设备设施的日常维护及监控工作。</w:t>
            </w:r>
          </w:p>
          <w:p w14:paraId="455B9232">
            <w:pPr>
              <w:pStyle w:val="15"/>
              <w:rPr>
                <w:kern w:val="2"/>
                <w:sz w:val="21"/>
                <w:szCs w:val="21"/>
              </w:rPr>
            </w:pPr>
            <w:r>
              <w:rPr>
                <w:kern w:val="2"/>
                <w:sz w:val="21"/>
                <w:szCs w:val="21"/>
              </w:rPr>
              <w:t>2、加强环保设施的维护检修，保障环保设施的</w:t>
            </w:r>
            <w:r>
              <w:rPr>
                <w:rFonts w:hint="eastAsia"/>
                <w:kern w:val="2"/>
                <w:sz w:val="21"/>
                <w:szCs w:val="21"/>
              </w:rPr>
              <w:t>正常工作</w:t>
            </w:r>
            <w:r>
              <w:rPr>
                <w:kern w:val="2"/>
                <w:sz w:val="21"/>
                <w:szCs w:val="21"/>
              </w:rPr>
              <w:t>。</w:t>
            </w:r>
          </w:p>
          <w:p w14:paraId="52BEAFCE">
            <w:pPr>
              <w:pStyle w:val="15"/>
              <w:rPr>
                <w:kern w:val="2"/>
                <w:sz w:val="21"/>
                <w:szCs w:val="21"/>
              </w:rPr>
            </w:pPr>
            <w:r>
              <w:rPr>
                <w:kern w:val="2"/>
                <w:sz w:val="21"/>
                <w:szCs w:val="21"/>
              </w:rPr>
              <w:t>3、建立、健全生产环保规章制度。</w:t>
            </w:r>
          </w:p>
          <w:p w14:paraId="73580287">
            <w:pPr>
              <w:pStyle w:val="15"/>
              <w:rPr>
                <w:kern w:val="2"/>
                <w:sz w:val="21"/>
                <w:szCs w:val="21"/>
              </w:rPr>
            </w:pPr>
            <w:r>
              <w:rPr>
                <w:kern w:val="2"/>
                <w:sz w:val="21"/>
                <w:szCs w:val="21"/>
              </w:rPr>
              <w:t>4、严格在岗人员操作管理。</w:t>
            </w:r>
          </w:p>
          <w:p w14:paraId="5964C5F7">
            <w:pPr>
              <w:pStyle w:val="15"/>
              <w:rPr>
                <w:kern w:val="2"/>
                <w:sz w:val="21"/>
                <w:szCs w:val="21"/>
              </w:rPr>
            </w:pPr>
          </w:p>
          <w:p w14:paraId="5C5BFA47">
            <w:pPr>
              <w:pStyle w:val="15"/>
              <w:rPr>
                <w:kern w:val="2"/>
                <w:sz w:val="21"/>
                <w:szCs w:val="21"/>
              </w:rPr>
            </w:pPr>
          </w:p>
          <w:p w14:paraId="5F457179">
            <w:pPr>
              <w:pStyle w:val="15"/>
              <w:rPr>
                <w:kern w:val="2"/>
                <w:sz w:val="21"/>
                <w:szCs w:val="21"/>
              </w:rPr>
            </w:pPr>
          </w:p>
          <w:p w14:paraId="21BC7A06">
            <w:pPr>
              <w:pStyle w:val="15"/>
              <w:rPr>
                <w:kern w:val="2"/>
                <w:sz w:val="21"/>
                <w:szCs w:val="21"/>
              </w:rPr>
            </w:pPr>
          </w:p>
          <w:p w14:paraId="39F2EE6E">
            <w:pPr>
              <w:pStyle w:val="15"/>
              <w:rPr>
                <w:kern w:val="2"/>
                <w:sz w:val="21"/>
                <w:szCs w:val="21"/>
              </w:rPr>
            </w:pPr>
          </w:p>
          <w:p w14:paraId="7AA8813C">
            <w:pPr>
              <w:pStyle w:val="15"/>
              <w:rPr>
                <w:kern w:val="2"/>
                <w:sz w:val="21"/>
                <w:szCs w:val="21"/>
              </w:rPr>
            </w:pPr>
          </w:p>
          <w:p w14:paraId="48F7F8DF">
            <w:pPr>
              <w:pStyle w:val="15"/>
              <w:rPr>
                <w:kern w:val="2"/>
                <w:sz w:val="21"/>
                <w:szCs w:val="21"/>
              </w:rPr>
            </w:pPr>
          </w:p>
          <w:p w14:paraId="4EBB612A">
            <w:pPr>
              <w:pStyle w:val="15"/>
              <w:rPr>
                <w:kern w:val="2"/>
                <w:sz w:val="21"/>
                <w:szCs w:val="21"/>
              </w:rPr>
            </w:pPr>
          </w:p>
          <w:p w14:paraId="0DF1B34F">
            <w:pPr>
              <w:pStyle w:val="15"/>
              <w:rPr>
                <w:kern w:val="2"/>
                <w:sz w:val="21"/>
                <w:szCs w:val="21"/>
              </w:rPr>
            </w:pPr>
          </w:p>
          <w:p w14:paraId="617FAC38">
            <w:pPr>
              <w:pStyle w:val="15"/>
              <w:rPr>
                <w:kern w:val="2"/>
                <w:sz w:val="21"/>
                <w:szCs w:val="21"/>
              </w:rPr>
            </w:pPr>
          </w:p>
          <w:p w14:paraId="3C9B0534">
            <w:pPr>
              <w:pStyle w:val="15"/>
              <w:rPr>
                <w:kern w:val="2"/>
                <w:sz w:val="21"/>
                <w:szCs w:val="21"/>
              </w:rPr>
            </w:pPr>
          </w:p>
          <w:p w14:paraId="4508F485">
            <w:pPr>
              <w:pStyle w:val="15"/>
              <w:rPr>
                <w:kern w:val="2"/>
                <w:sz w:val="21"/>
                <w:szCs w:val="21"/>
              </w:rPr>
            </w:pPr>
          </w:p>
          <w:p w14:paraId="3A693398">
            <w:pPr>
              <w:pStyle w:val="15"/>
              <w:rPr>
                <w:kern w:val="2"/>
                <w:sz w:val="21"/>
                <w:szCs w:val="21"/>
              </w:rPr>
            </w:pPr>
          </w:p>
          <w:p w14:paraId="71A3A936">
            <w:pPr>
              <w:pStyle w:val="15"/>
              <w:rPr>
                <w:kern w:val="2"/>
                <w:sz w:val="21"/>
                <w:szCs w:val="21"/>
              </w:rPr>
            </w:pPr>
          </w:p>
          <w:p w14:paraId="6EAE3139">
            <w:pPr>
              <w:pStyle w:val="15"/>
              <w:rPr>
                <w:kern w:val="2"/>
                <w:sz w:val="21"/>
                <w:szCs w:val="21"/>
              </w:rPr>
            </w:pPr>
          </w:p>
          <w:p w14:paraId="221A521B">
            <w:pPr>
              <w:pStyle w:val="15"/>
            </w:pPr>
          </w:p>
        </w:tc>
      </w:tr>
    </w:tbl>
    <w:p w14:paraId="6897A1E1">
      <w:pPr>
        <w:pStyle w:val="19"/>
        <w:spacing w:before="120" w:beforeLines="50" w:beforeAutospacing="0" w:after="120" w:afterLines="50" w:afterAutospacing="0"/>
        <w:jc w:val="center"/>
        <w:outlineLvl w:val="0"/>
        <w:rPr>
          <w:rFonts w:ascii="Times New Roman" w:hAnsi="Times New Roman" w:eastAsia="黑体"/>
          <w:snapToGrid w:val="0"/>
          <w:sz w:val="30"/>
          <w:szCs w:val="30"/>
        </w:rPr>
      </w:pPr>
      <w:r>
        <w:rPr>
          <w:rFonts w:ascii="Times New Roman" w:hAnsi="Times New Roman"/>
          <w:snapToGrid w:val="0"/>
        </w:rPr>
        <w:br w:type="page"/>
      </w:r>
      <w:bookmarkStart w:id="37" w:name="_Toc17513"/>
      <w:r>
        <w:rPr>
          <w:rFonts w:ascii="Times New Roman" w:hAnsi="Times New Roman" w:eastAsia="黑体"/>
          <w:snapToGrid w:val="0"/>
          <w:sz w:val="30"/>
          <w:szCs w:val="30"/>
        </w:rPr>
        <w:t>六、结论</w:t>
      </w:r>
      <w:bookmarkEnd w:id="3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817D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12922AF">
            <w:pPr>
              <w:adjustRightInd w:val="0"/>
              <w:snapToGrid w:val="0"/>
              <w:spacing w:line="360" w:lineRule="auto"/>
              <w:ind w:firstLine="480" w:firstLineChars="200"/>
              <w:rPr>
                <w:sz w:val="24"/>
              </w:rPr>
            </w:pPr>
            <w:r>
              <w:rPr>
                <w:sz w:val="24"/>
              </w:rPr>
              <w:t>本项目为</w:t>
            </w:r>
            <w:r>
              <w:rPr>
                <w:rFonts w:hint="eastAsia"/>
                <w:sz w:val="24"/>
              </w:rPr>
              <w:t>有机肥</w:t>
            </w:r>
            <w:r>
              <w:rPr>
                <w:sz w:val="24"/>
              </w:rPr>
              <w:t>生产项目，工程所在区域环境质量现状均满足相应的评价标准要求，本项目建设符合国家现行产业政策，符合当地相关规划，选址合理。本工程建设具有良好的经济效益、社会效益和环境效益。项目运营期产生的污染物较少，对环境造成的影响较小，通过严格执行环保</w:t>
            </w:r>
            <w:r>
              <w:rPr>
                <w:rFonts w:hint="eastAsia"/>
                <w:sz w:val="24"/>
              </w:rPr>
              <w:t>“</w:t>
            </w:r>
            <w:r>
              <w:rPr>
                <w:sz w:val="24"/>
              </w:rPr>
              <w:t>三同时</w:t>
            </w:r>
            <w:r>
              <w:rPr>
                <w:rFonts w:hint="eastAsia"/>
                <w:sz w:val="24"/>
              </w:rPr>
              <w:t>”</w:t>
            </w:r>
            <w:r>
              <w:rPr>
                <w:sz w:val="24"/>
              </w:rPr>
              <w:t>制度，落实相应的污染防治措施，对周围的环境影响可以接受。从环保的角度来看，本项目的建设是可行的。</w:t>
            </w:r>
          </w:p>
          <w:p w14:paraId="50211C26">
            <w:pPr>
              <w:spacing w:line="360" w:lineRule="auto"/>
              <w:rPr>
                <w:sz w:val="24"/>
              </w:rPr>
            </w:pPr>
          </w:p>
        </w:tc>
      </w:tr>
    </w:tbl>
    <w:p w14:paraId="77EC874D">
      <w:pPr>
        <w:sectPr>
          <w:pgSz w:w="11906" w:h="16838"/>
          <w:pgMar w:top="1701" w:right="1531" w:bottom="1701" w:left="1531" w:header="851" w:footer="851" w:gutter="0"/>
          <w:cols w:space="720" w:num="1"/>
          <w:docGrid w:linePitch="312" w:charSpace="0"/>
        </w:sectPr>
      </w:pPr>
    </w:p>
    <w:p w14:paraId="49DAC27E">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38" w:name="_Toc3395"/>
      <w:r>
        <w:rPr>
          <w:rFonts w:hint="eastAsia" w:ascii="Times New Roman" w:hAnsi="Times New Roman" w:eastAsia="黑体"/>
          <w:snapToGrid w:val="0"/>
          <w:sz w:val="30"/>
          <w:szCs w:val="30"/>
        </w:rPr>
        <w:t xml:space="preserve">       </w:t>
      </w:r>
      <w:r>
        <w:rPr>
          <w:rFonts w:ascii="Times New Roman" w:hAnsi="Times New Roman" w:eastAsia="黑体"/>
          <w:snapToGrid w:val="0"/>
          <w:sz w:val="30"/>
          <w:szCs w:val="30"/>
        </w:rPr>
        <w:t>建设项目污染物排放量汇总表</w:t>
      </w:r>
      <w:bookmarkEnd w:id="38"/>
      <w:r>
        <w:rPr>
          <w:rFonts w:hint="eastAsia" w:ascii="Times New Roman" w:hAnsi="Times New Roman" w:eastAsia="黑体"/>
          <w:snapToGrid w:val="0"/>
          <w:sz w:val="30"/>
          <w:szCs w:val="30"/>
        </w:rPr>
        <w:t xml:space="preserve">     单位：t/a</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42"/>
        <w:gridCol w:w="943"/>
      </w:tblGrid>
      <w:tr w14:paraId="1A089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17DB8495">
            <w:pPr>
              <w:pStyle w:val="29"/>
              <w:spacing w:beforeLines="0" w:afterLines="0" w:line="240" w:lineRule="auto"/>
              <w:jc w:val="right"/>
              <w:rPr>
                <w:rFonts w:ascii="Times New Roman" w:eastAsia="黑体"/>
                <w:snapToGrid w:val="0"/>
                <w:spacing w:val="-6"/>
                <w:kern w:val="21"/>
                <w:szCs w:val="21"/>
              </w:rPr>
            </w:pPr>
            <w:r>
              <w:rPr>
                <w:rFonts w:ascii="Times New Roman" w:eastAsia="黑体"/>
                <w:snapToGrid w:val="0"/>
                <w:spacing w:val="-6"/>
                <w:kern w:val="21"/>
                <w:szCs w:val="21"/>
              </w:rPr>
              <w:t>项目</w:t>
            </w:r>
          </w:p>
          <w:p w14:paraId="2E99D0FC">
            <w:pPr>
              <w:pStyle w:val="29"/>
              <w:spacing w:beforeLines="0" w:afterLines="0" w:line="240" w:lineRule="auto"/>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1417" w:type="dxa"/>
            <w:tcMar>
              <w:left w:w="28" w:type="dxa"/>
              <w:right w:w="28" w:type="dxa"/>
            </w:tcMar>
            <w:vAlign w:val="center"/>
          </w:tcPr>
          <w:p w14:paraId="0FD0FC92">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701" w:type="dxa"/>
            <w:tcMar>
              <w:left w:w="28" w:type="dxa"/>
              <w:right w:w="28" w:type="dxa"/>
            </w:tcMar>
            <w:vAlign w:val="center"/>
          </w:tcPr>
          <w:p w14:paraId="0E506537">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现有工程排放量（固体废物产生量）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eastAsia="黑体"/>
                <w:kern w:val="2"/>
                <w:szCs w:val="21"/>
              </w:rPr>
              <w:t>①</w:t>
            </w:r>
            <w:r>
              <w:rPr>
                <w:rFonts w:ascii="Times New Roman" w:eastAsia="黑体"/>
                <w:snapToGrid w:val="0"/>
                <w:spacing w:val="-6"/>
                <w:kern w:val="21"/>
                <w:szCs w:val="21"/>
              </w:rPr>
              <w:fldChar w:fldCharType="end"/>
            </w:r>
          </w:p>
        </w:tc>
        <w:tc>
          <w:tcPr>
            <w:tcW w:w="1276" w:type="dxa"/>
            <w:tcMar>
              <w:left w:w="28" w:type="dxa"/>
              <w:right w:w="28" w:type="dxa"/>
            </w:tcMar>
            <w:vAlign w:val="center"/>
          </w:tcPr>
          <w:p w14:paraId="75FCA58E">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现有工程</w:t>
            </w:r>
          </w:p>
          <w:p w14:paraId="46B291EB">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许可排放量</w:t>
            </w:r>
          </w:p>
          <w:p w14:paraId="4BDE5AA6">
            <w:pPr>
              <w:pStyle w:val="29"/>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ascii="Times New Roman" w:eastAsia="黑体"/>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14:paraId="1BA16100">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在建工程排放量（固体废物产生量）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ascii="Times New Roman" w:eastAsia="黑体"/>
                <w:kern w:val="2"/>
                <w:szCs w:val="21"/>
              </w:rPr>
              <w:t>③</w:t>
            </w:r>
            <w:r>
              <w:rPr>
                <w:rFonts w:ascii="Times New Roman" w:eastAsia="黑体"/>
                <w:snapToGrid w:val="0"/>
                <w:spacing w:val="-6"/>
                <w:kern w:val="21"/>
                <w:szCs w:val="21"/>
              </w:rPr>
              <w:fldChar w:fldCharType="end"/>
            </w:r>
          </w:p>
        </w:tc>
        <w:tc>
          <w:tcPr>
            <w:tcW w:w="1559" w:type="dxa"/>
            <w:tcMar>
              <w:left w:w="28" w:type="dxa"/>
              <w:right w:w="28" w:type="dxa"/>
            </w:tcMar>
            <w:vAlign w:val="center"/>
          </w:tcPr>
          <w:p w14:paraId="3918858B">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本项目排放量（固体废物产生量）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ascii="Times New Roman" w:eastAsia="黑体"/>
                <w:kern w:val="2"/>
                <w:szCs w:val="21"/>
              </w:rPr>
              <w:t>④</w:t>
            </w:r>
            <w:r>
              <w:rPr>
                <w:rFonts w:ascii="Times New Roman" w:eastAsia="黑体"/>
                <w:snapToGrid w:val="0"/>
                <w:spacing w:val="-6"/>
                <w:kern w:val="21"/>
                <w:szCs w:val="21"/>
              </w:rPr>
              <w:fldChar w:fldCharType="end"/>
            </w:r>
          </w:p>
        </w:tc>
        <w:tc>
          <w:tcPr>
            <w:tcW w:w="1761" w:type="dxa"/>
            <w:tcMar>
              <w:left w:w="28" w:type="dxa"/>
              <w:right w:w="28" w:type="dxa"/>
            </w:tcMar>
            <w:vAlign w:val="center"/>
          </w:tcPr>
          <w:p w14:paraId="585B4C85">
            <w:pPr>
              <w:pStyle w:val="29"/>
              <w:spacing w:beforeLines="0" w:afterLines="0" w:line="240" w:lineRule="auto"/>
              <w:ind w:firstLine="0"/>
              <w:jc w:val="both"/>
              <w:rPr>
                <w:rFonts w:ascii="Times New Roman" w:eastAsia="黑体"/>
                <w:snapToGrid w:val="0"/>
                <w:spacing w:val="-16"/>
                <w:kern w:val="21"/>
                <w:szCs w:val="21"/>
              </w:rPr>
            </w:pPr>
            <w:r>
              <w:rPr>
                <w:rFonts w:ascii="Times New Roman" w:eastAsia="黑体"/>
                <w:snapToGrid w:val="0"/>
                <w:spacing w:val="-16"/>
                <w:kern w:val="21"/>
                <w:szCs w:val="21"/>
              </w:rPr>
              <w:t>以新带老削减量</w:t>
            </w:r>
          </w:p>
          <w:p w14:paraId="5C60FDC4">
            <w:pPr>
              <w:pStyle w:val="29"/>
              <w:spacing w:beforeLines="0" w:afterLines="0" w:line="240" w:lineRule="auto"/>
              <w:ind w:firstLine="0"/>
              <w:jc w:val="both"/>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ascii="Times New Roman" w:eastAsia="黑体"/>
                <w:kern w:val="2"/>
                <w:szCs w:val="21"/>
              </w:rPr>
              <w:t>⑤</w:t>
            </w:r>
            <w:r>
              <w:rPr>
                <w:rFonts w:ascii="Times New Roman" w:eastAsia="黑体"/>
                <w:snapToGrid w:val="0"/>
                <w:spacing w:val="-16"/>
                <w:kern w:val="21"/>
                <w:szCs w:val="21"/>
              </w:rPr>
              <w:fldChar w:fldCharType="end"/>
            </w:r>
          </w:p>
        </w:tc>
        <w:tc>
          <w:tcPr>
            <w:tcW w:w="1842" w:type="dxa"/>
            <w:tcMar>
              <w:left w:w="28" w:type="dxa"/>
              <w:right w:w="28" w:type="dxa"/>
            </w:tcMar>
            <w:vAlign w:val="center"/>
          </w:tcPr>
          <w:p w14:paraId="2F09CCDC">
            <w:pPr>
              <w:pStyle w:val="29"/>
              <w:spacing w:beforeLines="0" w:afterLines="0" w:line="240" w:lineRule="auto"/>
              <w:ind w:firstLine="0"/>
              <w:jc w:val="both"/>
              <w:rPr>
                <w:rFonts w:ascii="Times New Roman" w:eastAsia="黑体"/>
                <w:snapToGrid w:val="0"/>
                <w:spacing w:val="-16"/>
                <w:kern w:val="21"/>
                <w:szCs w:val="21"/>
              </w:rPr>
            </w:pPr>
            <w:r>
              <w:rPr>
                <w:rFonts w:ascii="Times New Roman" w:eastAsia="黑体"/>
                <w:snapToGrid w:val="0"/>
                <w:spacing w:val="-16"/>
                <w:kern w:val="21"/>
                <w:szCs w:val="21"/>
              </w:rPr>
              <w:t>本项目建成后全厂排放量（固体废物产生量）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eastAsia="黑体"/>
                <w:kern w:val="2"/>
                <w:szCs w:val="21"/>
              </w:rPr>
              <w:t>⑥</w:t>
            </w:r>
            <w:r>
              <w:rPr>
                <w:rFonts w:ascii="Times New Roman" w:eastAsia="黑体"/>
                <w:snapToGrid w:val="0"/>
                <w:spacing w:val="-16"/>
                <w:kern w:val="21"/>
                <w:szCs w:val="21"/>
              </w:rPr>
              <w:fldChar w:fldCharType="end"/>
            </w:r>
          </w:p>
        </w:tc>
        <w:tc>
          <w:tcPr>
            <w:tcW w:w="943" w:type="dxa"/>
            <w:tcMar>
              <w:left w:w="28" w:type="dxa"/>
              <w:right w:w="28" w:type="dxa"/>
            </w:tcMar>
            <w:vAlign w:val="center"/>
          </w:tcPr>
          <w:p w14:paraId="3DB421E7">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变化量</w:t>
            </w:r>
          </w:p>
          <w:p w14:paraId="11F21183">
            <w:pPr>
              <w:pStyle w:val="29"/>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ascii="Times New Roman" w:eastAsia="黑体"/>
                <w:kern w:val="2"/>
                <w:szCs w:val="21"/>
              </w:rPr>
              <w:t>⑦</w:t>
            </w:r>
            <w:r>
              <w:rPr>
                <w:rFonts w:ascii="Times New Roman" w:eastAsia="黑体"/>
                <w:snapToGrid w:val="0"/>
                <w:spacing w:val="-6"/>
                <w:kern w:val="21"/>
                <w:szCs w:val="21"/>
              </w:rPr>
              <w:fldChar w:fldCharType="end"/>
            </w:r>
          </w:p>
        </w:tc>
      </w:tr>
      <w:tr w14:paraId="0AB91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Align w:val="center"/>
          </w:tcPr>
          <w:p w14:paraId="0A84B220">
            <w:pPr>
              <w:pStyle w:val="29"/>
              <w:spacing w:beforeLines="0" w:afterLines="0" w:line="240" w:lineRule="auto"/>
              <w:rPr>
                <w:rFonts w:ascii="Times New Roman"/>
                <w:snapToGrid w:val="0"/>
                <w:kern w:val="21"/>
                <w:szCs w:val="21"/>
              </w:rPr>
            </w:pPr>
            <w:r>
              <w:rPr>
                <w:rFonts w:ascii="Times New Roman"/>
                <w:snapToGrid w:val="0"/>
                <w:kern w:val="21"/>
                <w:szCs w:val="21"/>
              </w:rPr>
              <w:t>废气</w:t>
            </w:r>
          </w:p>
        </w:tc>
        <w:tc>
          <w:tcPr>
            <w:tcW w:w="1417" w:type="dxa"/>
            <w:vAlign w:val="center"/>
          </w:tcPr>
          <w:p w14:paraId="74124879">
            <w:pPr>
              <w:adjustRightInd w:val="0"/>
              <w:snapToGrid w:val="0"/>
              <w:jc w:val="center"/>
              <w:rPr>
                <w:snapToGrid w:val="0"/>
                <w:kern w:val="21"/>
                <w:szCs w:val="21"/>
              </w:rPr>
            </w:pPr>
            <w:r>
              <w:rPr>
                <w:rFonts w:hint="eastAsia"/>
                <w:szCs w:val="21"/>
              </w:rPr>
              <w:t>颗粒物</w:t>
            </w:r>
          </w:p>
        </w:tc>
        <w:tc>
          <w:tcPr>
            <w:tcW w:w="1701" w:type="dxa"/>
            <w:vAlign w:val="center"/>
          </w:tcPr>
          <w:p w14:paraId="7DBC0002">
            <w:pPr>
              <w:adjustRightInd w:val="0"/>
              <w:snapToGrid w:val="0"/>
              <w:ind w:firstLine="420" w:firstLineChars="200"/>
              <w:rPr>
                <w:snapToGrid w:val="0"/>
                <w:kern w:val="21"/>
                <w:szCs w:val="21"/>
              </w:rPr>
            </w:pPr>
            <w:r>
              <w:rPr>
                <w:rFonts w:hint="eastAsia"/>
                <w:snapToGrid w:val="0"/>
                <w:kern w:val="21"/>
                <w:szCs w:val="21"/>
              </w:rPr>
              <w:t>0</w:t>
            </w:r>
          </w:p>
        </w:tc>
        <w:tc>
          <w:tcPr>
            <w:tcW w:w="1276" w:type="dxa"/>
            <w:vAlign w:val="center"/>
          </w:tcPr>
          <w:p w14:paraId="41E0103D">
            <w:pPr>
              <w:adjustRightInd w:val="0"/>
              <w:snapToGrid w:val="0"/>
              <w:jc w:val="center"/>
              <w:rPr>
                <w:snapToGrid w:val="0"/>
                <w:kern w:val="21"/>
                <w:szCs w:val="21"/>
              </w:rPr>
            </w:pPr>
            <w:r>
              <w:rPr>
                <w:rFonts w:hint="eastAsia"/>
                <w:snapToGrid w:val="0"/>
                <w:kern w:val="21"/>
                <w:szCs w:val="21"/>
              </w:rPr>
              <w:t>0</w:t>
            </w:r>
          </w:p>
        </w:tc>
        <w:tc>
          <w:tcPr>
            <w:tcW w:w="1701" w:type="dxa"/>
            <w:vAlign w:val="center"/>
          </w:tcPr>
          <w:p w14:paraId="02D74276">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559" w:type="dxa"/>
            <w:vAlign w:val="center"/>
          </w:tcPr>
          <w:p w14:paraId="366A3F43">
            <w:pPr>
              <w:pStyle w:val="29"/>
              <w:spacing w:beforeLines="0" w:afterLines="0" w:line="240" w:lineRule="auto"/>
              <w:jc w:val="both"/>
            </w:pPr>
            <w:r>
              <w:rPr>
                <w:rFonts w:hint="eastAsia" w:ascii="Times New Roman"/>
                <w:snapToGrid w:val="0"/>
                <w:kern w:val="21"/>
                <w:szCs w:val="21"/>
              </w:rPr>
              <w:t>0.143</w:t>
            </w:r>
          </w:p>
        </w:tc>
        <w:tc>
          <w:tcPr>
            <w:tcW w:w="1761" w:type="dxa"/>
            <w:vAlign w:val="center"/>
          </w:tcPr>
          <w:p w14:paraId="3FFA293A">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842" w:type="dxa"/>
            <w:vAlign w:val="center"/>
          </w:tcPr>
          <w:p w14:paraId="2B3960D1">
            <w:pPr>
              <w:widowControl/>
              <w:jc w:val="center"/>
              <w:textAlignment w:val="center"/>
              <w:rPr>
                <w:snapToGrid w:val="0"/>
                <w:kern w:val="21"/>
                <w:szCs w:val="21"/>
              </w:rPr>
            </w:pPr>
            <w:r>
              <w:rPr>
                <w:rFonts w:hint="eastAsia"/>
                <w:snapToGrid w:val="0"/>
                <w:kern w:val="21"/>
                <w:szCs w:val="21"/>
              </w:rPr>
              <w:t>0.143</w:t>
            </w:r>
          </w:p>
        </w:tc>
        <w:tc>
          <w:tcPr>
            <w:tcW w:w="943" w:type="dxa"/>
            <w:vAlign w:val="center"/>
          </w:tcPr>
          <w:p w14:paraId="43CBE31B">
            <w:pPr>
              <w:widowControl/>
              <w:jc w:val="center"/>
              <w:textAlignment w:val="center"/>
              <w:rPr>
                <w:snapToGrid w:val="0"/>
                <w:kern w:val="21"/>
                <w:szCs w:val="21"/>
              </w:rPr>
            </w:pPr>
            <w:r>
              <w:rPr>
                <w:rFonts w:hint="eastAsia"/>
                <w:kern w:val="0"/>
                <w:szCs w:val="21"/>
                <w:lang w:bidi="ar"/>
              </w:rPr>
              <w:t>+</w:t>
            </w:r>
            <w:r>
              <w:rPr>
                <w:rFonts w:hint="eastAsia"/>
                <w:snapToGrid w:val="0"/>
                <w:kern w:val="21"/>
                <w:szCs w:val="21"/>
              </w:rPr>
              <w:t>0.143</w:t>
            </w:r>
          </w:p>
        </w:tc>
      </w:tr>
      <w:tr w14:paraId="0CA3D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35BDFE0F">
            <w:pPr>
              <w:pStyle w:val="29"/>
              <w:spacing w:beforeLines="0" w:afterLines="0" w:line="240" w:lineRule="auto"/>
              <w:rPr>
                <w:rFonts w:ascii="Times New Roman"/>
                <w:snapToGrid w:val="0"/>
                <w:kern w:val="21"/>
                <w:szCs w:val="21"/>
              </w:rPr>
            </w:pPr>
            <w:r>
              <w:rPr>
                <w:rFonts w:ascii="Times New Roman"/>
                <w:snapToGrid w:val="0"/>
                <w:kern w:val="21"/>
                <w:szCs w:val="21"/>
              </w:rPr>
              <w:t>废水</w:t>
            </w:r>
          </w:p>
        </w:tc>
        <w:tc>
          <w:tcPr>
            <w:tcW w:w="1417" w:type="dxa"/>
            <w:vAlign w:val="center"/>
          </w:tcPr>
          <w:p w14:paraId="372A4449">
            <w:pPr>
              <w:pStyle w:val="29"/>
              <w:spacing w:beforeLines="0" w:afterLines="0" w:line="240" w:lineRule="auto"/>
              <w:ind w:firstLine="0"/>
              <w:jc w:val="both"/>
              <w:rPr>
                <w:rFonts w:ascii="Times New Roman"/>
                <w:snapToGrid w:val="0"/>
                <w:kern w:val="21"/>
                <w:szCs w:val="21"/>
              </w:rPr>
            </w:pPr>
            <w:r>
              <w:rPr>
                <w:rFonts w:hint="eastAsia" w:ascii="Times New Roman"/>
                <w:snapToGrid w:val="0"/>
                <w:kern w:val="21"/>
                <w:szCs w:val="21"/>
              </w:rPr>
              <w:t>生活污水、生产废水</w:t>
            </w:r>
          </w:p>
        </w:tc>
        <w:tc>
          <w:tcPr>
            <w:tcW w:w="1701" w:type="dxa"/>
            <w:vAlign w:val="center"/>
          </w:tcPr>
          <w:p w14:paraId="3AF83878">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276" w:type="dxa"/>
            <w:vAlign w:val="center"/>
          </w:tcPr>
          <w:p w14:paraId="4EB20885">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701" w:type="dxa"/>
            <w:vAlign w:val="center"/>
          </w:tcPr>
          <w:p w14:paraId="48EFF85E">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559" w:type="dxa"/>
            <w:vAlign w:val="center"/>
          </w:tcPr>
          <w:p w14:paraId="516029F4">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761" w:type="dxa"/>
            <w:vAlign w:val="center"/>
          </w:tcPr>
          <w:p w14:paraId="555425F3">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842" w:type="dxa"/>
            <w:vAlign w:val="center"/>
          </w:tcPr>
          <w:p w14:paraId="2D8E1F32">
            <w:pPr>
              <w:pStyle w:val="29"/>
              <w:spacing w:beforeLines="0" w:afterLines="0" w:line="240" w:lineRule="auto"/>
              <w:ind w:firstLine="840" w:firstLineChars="400"/>
              <w:jc w:val="both"/>
              <w:rPr>
                <w:rFonts w:ascii="Times New Roman"/>
                <w:snapToGrid w:val="0"/>
                <w:kern w:val="21"/>
                <w:szCs w:val="21"/>
              </w:rPr>
            </w:pPr>
            <w:r>
              <w:rPr>
                <w:rFonts w:hint="eastAsia" w:ascii="Times New Roman"/>
                <w:snapToGrid w:val="0"/>
                <w:kern w:val="21"/>
                <w:szCs w:val="21"/>
              </w:rPr>
              <w:t>0</w:t>
            </w:r>
          </w:p>
        </w:tc>
        <w:tc>
          <w:tcPr>
            <w:tcW w:w="943" w:type="dxa"/>
            <w:vAlign w:val="center"/>
          </w:tcPr>
          <w:p w14:paraId="3F752541">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r>
      <w:tr w14:paraId="04C87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2DEE0D02">
            <w:pPr>
              <w:pStyle w:val="29"/>
              <w:spacing w:beforeLines="0" w:afterLines="0" w:line="240" w:lineRule="auto"/>
              <w:ind w:firstLine="0"/>
              <w:jc w:val="both"/>
              <w:rPr>
                <w:rFonts w:ascii="Times New Roman"/>
                <w:snapToGrid w:val="0"/>
                <w:kern w:val="21"/>
                <w:szCs w:val="21"/>
              </w:rPr>
            </w:pPr>
            <w:r>
              <w:rPr>
                <w:rFonts w:ascii="Times New Roman"/>
                <w:snapToGrid w:val="0"/>
                <w:kern w:val="21"/>
                <w:szCs w:val="21"/>
              </w:rPr>
              <w:t>一般工业固体废物</w:t>
            </w:r>
          </w:p>
        </w:tc>
        <w:tc>
          <w:tcPr>
            <w:tcW w:w="1417" w:type="dxa"/>
            <w:shd w:val="clear" w:color="auto" w:fill="auto"/>
            <w:vAlign w:val="center"/>
          </w:tcPr>
          <w:p w14:paraId="139EAB0F">
            <w:pPr>
              <w:adjustRightInd w:val="0"/>
              <w:snapToGrid w:val="0"/>
              <w:rPr>
                <w:szCs w:val="21"/>
              </w:rPr>
            </w:pPr>
            <w:r>
              <w:rPr>
                <w:bCs/>
                <w:spacing w:val="-10"/>
                <w:szCs w:val="21"/>
              </w:rPr>
              <w:t>废包装材料</w:t>
            </w:r>
          </w:p>
        </w:tc>
        <w:tc>
          <w:tcPr>
            <w:tcW w:w="1701" w:type="dxa"/>
            <w:shd w:val="clear" w:color="auto" w:fill="auto"/>
            <w:vAlign w:val="center"/>
          </w:tcPr>
          <w:p w14:paraId="5CC461FA">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shd w:val="clear" w:color="auto" w:fill="auto"/>
            <w:vAlign w:val="center"/>
          </w:tcPr>
          <w:p w14:paraId="37ED85F5">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shd w:val="clear" w:color="auto" w:fill="auto"/>
            <w:vAlign w:val="center"/>
          </w:tcPr>
          <w:p w14:paraId="7A3E5323">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shd w:val="clear" w:color="auto" w:fill="auto"/>
            <w:vAlign w:val="center"/>
          </w:tcPr>
          <w:p w14:paraId="6BCB3602">
            <w:pPr>
              <w:pStyle w:val="29"/>
              <w:spacing w:beforeLines="0" w:afterLines="0" w:line="240" w:lineRule="auto"/>
              <w:rPr>
                <w:rFonts w:ascii="Times New Roman"/>
                <w:snapToGrid w:val="0"/>
                <w:kern w:val="21"/>
                <w:szCs w:val="21"/>
              </w:rPr>
            </w:pPr>
            <w:r>
              <w:rPr>
                <w:rFonts w:hint="eastAsia" w:ascii="Times New Roman"/>
                <w:snapToGrid w:val="0"/>
                <w:kern w:val="21"/>
                <w:szCs w:val="21"/>
              </w:rPr>
              <w:t>0.2</w:t>
            </w:r>
          </w:p>
        </w:tc>
        <w:tc>
          <w:tcPr>
            <w:tcW w:w="1761" w:type="dxa"/>
            <w:shd w:val="clear" w:color="auto" w:fill="auto"/>
            <w:vAlign w:val="center"/>
          </w:tcPr>
          <w:p w14:paraId="0AE7C391">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842" w:type="dxa"/>
            <w:shd w:val="clear" w:color="auto" w:fill="auto"/>
            <w:vAlign w:val="center"/>
          </w:tcPr>
          <w:p w14:paraId="03C312A6">
            <w:pPr>
              <w:pStyle w:val="29"/>
              <w:spacing w:beforeLines="0" w:afterLines="0" w:line="240" w:lineRule="auto"/>
              <w:rPr>
                <w:rFonts w:ascii="Times New Roman"/>
                <w:snapToGrid w:val="0"/>
                <w:kern w:val="21"/>
                <w:szCs w:val="21"/>
              </w:rPr>
            </w:pPr>
            <w:r>
              <w:rPr>
                <w:rFonts w:hint="eastAsia" w:ascii="Times New Roman"/>
                <w:snapToGrid w:val="0"/>
                <w:kern w:val="21"/>
                <w:szCs w:val="21"/>
              </w:rPr>
              <w:t>0.2</w:t>
            </w:r>
          </w:p>
        </w:tc>
        <w:tc>
          <w:tcPr>
            <w:tcW w:w="943" w:type="dxa"/>
            <w:shd w:val="clear" w:color="auto" w:fill="auto"/>
            <w:vAlign w:val="center"/>
          </w:tcPr>
          <w:p w14:paraId="6C126B58">
            <w:pPr>
              <w:pStyle w:val="29"/>
              <w:spacing w:beforeLines="0" w:afterLines="0" w:line="240" w:lineRule="auto"/>
              <w:ind w:firstLine="210" w:firstLineChars="100"/>
              <w:jc w:val="both"/>
              <w:rPr>
                <w:rFonts w:ascii="Times New Roman"/>
                <w:snapToGrid w:val="0"/>
                <w:kern w:val="21"/>
                <w:szCs w:val="21"/>
              </w:rPr>
            </w:pPr>
            <w:r>
              <w:rPr>
                <w:rFonts w:hint="eastAsia" w:ascii="Times New Roman"/>
                <w:snapToGrid w:val="0"/>
                <w:kern w:val="21"/>
                <w:szCs w:val="21"/>
              </w:rPr>
              <w:t>+0.2</w:t>
            </w:r>
          </w:p>
        </w:tc>
      </w:tr>
      <w:tr w14:paraId="16D16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588" w:type="dxa"/>
            <w:vMerge w:val="continue"/>
            <w:vAlign w:val="center"/>
          </w:tcPr>
          <w:p w14:paraId="16BC72B4">
            <w:pPr>
              <w:pStyle w:val="29"/>
              <w:spacing w:beforeLines="0" w:afterLines="0" w:line="240" w:lineRule="auto"/>
              <w:rPr>
                <w:rFonts w:ascii="Times New Roman"/>
                <w:snapToGrid w:val="0"/>
                <w:kern w:val="21"/>
                <w:szCs w:val="21"/>
              </w:rPr>
            </w:pPr>
          </w:p>
        </w:tc>
        <w:tc>
          <w:tcPr>
            <w:tcW w:w="1417" w:type="dxa"/>
            <w:vAlign w:val="center"/>
          </w:tcPr>
          <w:p w14:paraId="5289D1A8">
            <w:pPr>
              <w:adjustRightInd w:val="0"/>
              <w:snapToGrid w:val="0"/>
              <w:jc w:val="center"/>
              <w:rPr>
                <w:szCs w:val="21"/>
              </w:rPr>
            </w:pPr>
            <w:r>
              <w:rPr>
                <w:rFonts w:hint="eastAsia"/>
                <w:bCs/>
                <w:spacing w:val="-10"/>
                <w:szCs w:val="21"/>
              </w:rPr>
              <w:t>收尘灰</w:t>
            </w:r>
          </w:p>
        </w:tc>
        <w:tc>
          <w:tcPr>
            <w:tcW w:w="1701" w:type="dxa"/>
            <w:vAlign w:val="center"/>
          </w:tcPr>
          <w:p w14:paraId="24CAA778">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3B1F7C6E">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0ACF2E72">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2F044A65">
            <w:pPr>
              <w:pStyle w:val="29"/>
              <w:spacing w:beforeLines="0" w:afterLines="0" w:line="240" w:lineRule="auto"/>
              <w:rPr>
                <w:rFonts w:ascii="Times New Roman"/>
                <w:snapToGrid w:val="0"/>
                <w:kern w:val="21"/>
                <w:szCs w:val="21"/>
              </w:rPr>
            </w:pPr>
            <w:r>
              <w:rPr>
                <w:rFonts w:hint="eastAsia" w:ascii="Times New Roman"/>
                <w:snapToGrid w:val="0"/>
                <w:kern w:val="21"/>
                <w:szCs w:val="21"/>
              </w:rPr>
              <w:t>1.289</w:t>
            </w:r>
          </w:p>
        </w:tc>
        <w:tc>
          <w:tcPr>
            <w:tcW w:w="1761" w:type="dxa"/>
            <w:vAlign w:val="center"/>
          </w:tcPr>
          <w:p w14:paraId="7452B8F1">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842" w:type="dxa"/>
            <w:vAlign w:val="center"/>
          </w:tcPr>
          <w:p w14:paraId="77A6CB95">
            <w:pPr>
              <w:jc w:val="center"/>
              <w:rPr>
                <w:snapToGrid w:val="0"/>
                <w:kern w:val="21"/>
                <w:szCs w:val="21"/>
              </w:rPr>
            </w:pPr>
            <w:r>
              <w:rPr>
                <w:rFonts w:hint="eastAsia"/>
                <w:snapToGrid w:val="0"/>
                <w:kern w:val="21"/>
                <w:szCs w:val="21"/>
              </w:rPr>
              <w:t>1.289</w:t>
            </w:r>
          </w:p>
        </w:tc>
        <w:tc>
          <w:tcPr>
            <w:tcW w:w="943" w:type="dxa"/>
            <w:vAlign w:val="center"/>
          </w:tcPr>
          <w:p w14:paraId="2DEC7F50">
            <w:pPr>
              <w:rPr>
                <w:snapToGrid w:val="0"/>
                <w:kern w:val="21"/>
                <w:szCs w:val="21"/>
              </w:rPr>
            </w:pPr>
            <w:r>
              <w:rPr>
                <w:rFonts w:hint="eastAsia"/>
                <w:snapToGrid w:val="0"/>
                <w:kern w:val="21"/>
                <w:szCs w:val="21"/>
              </w:rPr>
              <w:t>+1.289</w:t>
            </w:r>
          </w:p>
        </w:tc>
      </w:tr>
      <w:tr w14:paraId="5D84F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88" w:type="dxa"/>
            <w:vAlign w:val="center"/>
          </w:tcPr>
          <w:p w14:paraId="40B7851E">
            <w:pPr>
              <w:pStyle w:val="29"/>
              <w:spacing w:beforeLines="0" w:afterLines="0" w:line="240" w:lineRule="auto"/>
              <w:jc w:val="both"/>
              <w:rPr>
                <w:rFonts w:ascii="Times New Roman"/>
                <w:snapToGrid w:val="0"/>
                <w:kern w:val="21"/>
                <w:szCs w:val="21"/>
              </w:rPr>
            </w:pPr>
            <w:r>
              <w:rPr>
                <w:rFonts w:ascii="Times New Roman"/>
                <w:snapToGrid w:val="0"/>
                <w:kern w:val="21"/>
                <w:szCs w:val="21"/>
              </w:rPr>
              <w:t>危险废物</w:t>
            </w:r>
          </w:p>
        </w:tc>
        <w:tc>
          <w:tcPr>
            <w:tcW w:w="1417" w:type="dxa"/>
            <w:vAlign w:val="center"/>
          </w:tcPr>
          <w:p w14:paraId="4C11D57B">
            <w:pPr>
              <w:adjustRightInd w:val="0"/>
              <w:snapToGrid w:val="0"/>
              <w:jc w:val="center"/>
              <w:rPr>
                <w:szCs w:val="21"/>
              </w:rPr>
            </w:pPr>
            <w:r>
              <w:rPr>
                <w:rFonts w:hint="eastAsia"/>
                <w:szCs w:val="21"/>
              </w:rPr>
              <w:t>废矿物油</w:t>
            </w:r>
          </w:p>
        </w:tc>
        <w:tc>
          <w:tcPr>
            <w:tcW w:w="1701" w:type="dxa"/>
            <w:vAlign w:val="center"/>
          </w:tcPr>
          <w:p w14:paraId="0554820C">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4488DCE0">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503746CD">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285970CF">
            <w:pPr>
              <w:pStyle w:val="29"/>
              <w:spacing w:beforeLines="0" w:afterLines="0" w:line="240" w:lineRule="auto"/>
              <w:rPr>
                <w:rFonts w:ascii="Times New Roman"/>
                <w:snapToGrid w:val="0"/>
                <w:kern w:val="21"/>
                <w:szCs w:val="21"/>
              </w:rPr>
            </w:pPr>
            <w:r>
              <w:rPr>
                <w:rFonts w:hint="eastAsia" w:ascii="Times New Roman"/>
                <w:snapToGrid w:val="0"/>
                <w:kern w:val="21"/>
                <w:szCs w:val="21"/>
              </w:rPr>
              <w:t>0.5</w:t>
            </w:r>
          </w:p>
        </w:tc>
        <w:tc>
          <w:tcPr>
            <w:tcW w:w="1761" w:type="dxa"/>
            <w:vAlign w:val="center"/>
          </w:tcPr>
          <w:p w14:paraId="130F1DCF">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842" w:type="dxa"/>
            <w:vAlign w:val="center"/>
          </w:tcPr>
          <w:p w14:paraId="3090A708">
            <w:pPr>
              <w:pStyle w:val="29"/>
              <w:spacing w:beforeLines="0" w:afterLines="0" w:line="240" w:lineRule="auto"/>
              <w:rPr>
                <w:rFonts w:ascii="Times New Roman"/>
                <w:snapToGrid w:val="0"/>
                <w:kern w:val="21"/>
                <w:szCs w:val="21"/>
              </w:rPr>
            </w:pPr>
            <w:r>
              <w:rPr>
                <w:rFonts w:hint="eastAsia" w:ascii="Times New Roman"/>
                <w:snapToGrid w:val="0"/>
                <w:kern w:val="21"/>
                <w:szCs w:val="21"/>
              </w:rPr>
              <w:t>0.5</w:t>
            </w:r>
          </w:p>
        </w:tc>
        <w:tc>
          <w:tcPr>
            <w:tcW w:w="943" w:type="dxa"/>
            <w:vAlign w:val="center"/>
          </w:tcPr>
          <w:p w14:paraId="400D8F12">
            <w:pPr>
              <w:pStyle w:val="29"/>
              <w:spacing w:beforeLines="0" w:afterLines="0" w:line="240" w:lineRule="auto"/>
              <w:ind w:firstLine="0"/>
              <w:jc w:val="both"/>
              <w:rPr>
                <w:rFonts w:ascii="Times New Roman"/>
                <w:snapToGrid w:val="0"/>
                <w:kern w:val="21"/>
                <w:szCs w:val="21"/>
              </w:rPr>
            </w:pPr>
            <w:r>
              <w:rPr>
                <w:rFonts w:hint="eastAsia" w:ascii="Times New Roman"/>
                <w:snapToGrid w:val="0"/>
                <w:kern w:val="21"/>
                <w:szCs w:val="21"/>
              </w:rPr>
              <w:t>+0.5</w:t>
            </w:r>
          </w:p>
        </w:tc>
      </w:tr>
    </w:tbl>
    <w:p w14:paraId="0BA164EC">
      <w:pPr>
        <w:pStyle w:val="29"/>
        <w:spacing w:before="192" w:beforeLines="80" w:after="24"/>
        <w:jc w:val="left"/>
        <w:rPr>
          <w:rFonts w:ascii="Times New Roman" w:eastAsia="黑体"/>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headerReference r:id="rId8" w:type="default"/>
      <w:footerReference r:id="rId9"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TimesNewRoman">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AACED">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F3632">
    <w:pPr>
      <w:pStyle w:val="15"/>
      <w:framePr w:wrap="around" w:vAnchor="text" w:hAnchor="margin" w:xAlign="center" w:y="1"/>
      <w:rPr>
        <w:rStyle w:val="26"/>
      </w:rPr>
    </w:pPr>
    <w:r>
      <w:fldChar w:fldCharType="begin"/>
    </w:r>
    <w:r>
      <w:rPr>
        <w:rStyle w:val="26"/>
      </w:rPr>
      <w:instrText xml:space="preserve">PAGE  </w:instrText>
    </w:r>
    <w:r>
      <w:fldChar w:fldCharType="end"/>
    </w:r>
  </w:p>
  <w:p w14:paraId="382D6E4F">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6CADB">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83CC3">
    <w:pPr>
      <w:pStyle w:val="15"/>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0"/>
      </w:rPr>
      <w:fldChar w:fldCharType="begin"/>
    </w:r>
    <w:r>
      <w:rPr>
        <w:rStyle w:val="26"/>
        <w:rFonts w:ascii="宋体" w:hAnsi="宋体"/>
        <w:sz w:val="20"/>
      </w:rPr>
      <w:instrText xml:space="preserve">PAGE  </w:instrText>
    </w:r>
    <w:r>
      <w:rPr>
        <w:rFonts w:ascii="宋体" w:hAnsi="宋体"/>
        <w:sz w:val="20"/>
      </w:rPr>
      <w:fldChar w:fldCharType="separate"/>
    </w:r>
    <w:r>
      <w:rPr>
        <w:rStyle w:val="26"/>
        <w:rFonts w:ascii="宋体" w:hAnsi="宋体"/>
        <w:sz w:val="20"/>
      </w:rPr>
      <w:t>16</w:t>
    </w:r>
    <w:r>
      <w:rPr>
        <w:rFonts w:ascii="宋体" w:hAnsi="宋体"/>
        <w:sz w:val="20"/>
      </w:rPr>
      <w:fldChar w:fldCharType="end"/>
    </w:r>
    <w:r>
      <w:rPr>
        <w:rStyle w:val="26"/>
        <w:rFonts w:hint="eastAsia" w:ascii="宋体" w:hAnsi="宋体"/>
        <w:sz w:val="20"/>
      </w:rPr>
      <w:t xml:space="preserve">  </w:t>
    </w:r>
    <w:r>
      <w:rPr>
        <w:rStyle w:val="26"/>
        <w:rFonts w:hint="eastAsia" w:ascii="宋体" w:hAnsi="宋体"/>
        <w:sz w:val="28"/>
        <w:szCs w:val="28"/>
      </w:rPr>
      <w:t>—</w:t>
    </w:r>
  </w:p>
  <w:p w14:paraId="33B50577">
    <w:pPr>
      <w:pStyle w:val="1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02949">
    <w:pPr>
      <w:pStyle w:val="15"/>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92</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14:paraId="6965B0EE">
    <w:pPr>
      <w:pStyle w:val="1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76ECF">
    <w:pPr>
      <w:pStyle w:val="10"/>
      <w:rPr>
        <w:i/>
        <w:iCs/>
        <w:sz w:val="16"/>
        <w:szCs w:val="18"/>
      </w:rPr>
    </w:pPr>
    <w:r>
      <w:rPr>
        <w:rFonts w:hint="eastAsia" w:ascii="宋体" w:hAnsi="宋体" w:cs="宋体"/>
        <w:i/>
        <w:iCs/>
        <w:sz w:val="22"/>
        <w:szCs w:val="22"/>
      </w:rPr>
      <w:t>青思生物科技（寻甸）有限责任公司低变质褐煤、磷矿石浮选尾矿综合利用项目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CA592">
    <w:pPr>
      <w:pStyle w:val="1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4FBB84"/>
    <w:multiLevelType w:val="singleLevel"/>
    <w:tmpl w:val="944FBB84"/>
    <w:lvl w:ilvl="0" w:tentative="0">
      <w:start w:val="1"/>
      <w:numFmt w:val="chineseCounting"/>
      <w:suff w:val="nothing"/>
      <w:lvlText w:val="%1、"/>
      <w:lvlJc w:val="left"/>
      <w:rPr>
        <w:rFonts w:hint="eastAsia"/>
      </w:rPr>
    </w:lvl>
  </w:abstractNum>
  <w:abstractNum w:abstractNumId="1">
    <w:nsid w:val="EFDD7502"/>
    <w:multiLevelType w:val="singleLevel"/>
    <w:tmpl w:val="EFDD7502"/>
    <w:lvl w:ilvl="0" w:tentative="0">
      <w:start w:val="1"/>
      <w:numFmt w:val="upperLetter"/>
      <w:suff w:val="nothing"/>
      <w:lvlText w:val="%1、"/>
      <w:lvlJc w:val="left"/>
    </w:lvl>
  </w:abstractNum>
  <w:abstractNum w:abstractNumId="2">
    <w:nsid w:val="FDA2C2AD"/>
    <w:multiLevelType w:val="singleLevel"/>
    <w:tmpl w:val="FDA2C2AD"/>
    <w:lvl w:ilvl="0" w:tentative="0">
      <w:start w:val="1"/>
      <w:numFmt w:val="decimal"/>
      <w:suff w:val="nothing"/>
      <w:lvlText w:val="（%1）"/>
      <w:lvlJc w:val="left"/>
    </w:lvl>
  </w:abstractNum>
  <w:abstractNum w:abstractNumId="3">
    <w:nsid w:val="576CEBC4"/>
    <w:multiLevelType w:val="singleLevel"/>
    <w:tmpl w:val="576CEBC4"/>
    <w:lvl w:ilvl="0" w:tentative="0">
      <w:start w:val="1"/>
      <w:numFmt w:val="decimal"/>
      <w:suff w:val="nothing"/>
      <w:lvlText w:val="%1、"/>
      <w:lvlJc w:val="left"/>
    </w:lvl>
  </w:abstractNum>
  <w:abstractNum w:abstractNumId="4">
    <w:nsid w:val="670799FE"/>
    <w:multiLevelType w:val="singleLevel"/>
    <w:tmpl w:val="670799FE"/>
    <w:lvl w:ilvl="0" w:tentative="0">
      <w:start w:val="2"/>
      <w:numFmt w:val="decimal"/>
      <w:suff w:val="nothing"/>
      <w:lvlText w:val="%1、"/>
      <w:lvlJc w:val="left"/>
    </w:lvl>
  </w:abstractNum>
  <w:abstractNum w:abstractNumId="5">
    <w:nsid w:val="7EACB9F9"/>
    <w:multiLevelType w:val="singleLevel"/>
    <w:tmpl w:val="7EACB9F9"/>
    <w:lvl w:ilvl="0" w:tentative="0">
      <w:start w:val="2"/>
      <w:numFmt w:val="decimal"/>
      <w:suff w:val="nothing"/>
      <w:lvlText w:val="（%1）"/>
      <w:lvlJc w:val="left"/>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NTE0YzgwYmE1OWQzYTk0YWU1ODEzMzU0NTJlNTkifQ=="/>
  </w:docVars>
  <w:rsids>
    <w:rsidRoot w:val="00A14947"/>
    <w:rsid w:val="000060B3"/>
    <w:rsid w:val="0004364B"/>
    <w:rsid w:val="00061B1F"/>
    <w:rsid w:val="000733C4"/>
    <w:rsid w:val="00074783"/>
    <w:rsid w:val="00076ED0"/>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0122A"/>
    <w:rsid w:val="00131F42"/>
    <w:rsid w:val="001357F1"/>
    <w:rsid w:val="00135D27"/>
    <w:rsid w:val="00140FA8"/>
    <w:rsid w:val="00142FEB"/>
    <w:rsid w:val="00143A2D"/>
    <w:rsid w:val="00145A41"/>
    <w:rsid w:val="00151675"/>
    <w:rsid w:val="00157435"/>
    <w:rsid w:val="0017504D"/>
    <w:rsid w:val="0017671A"/>
    <w:rsid w:val="00177422"/>
    <w:rsid w:val="0018276D"/>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248B"/>
    <w:rsid w:val="003B420D"/>
    <w:rsid w:val="003C6C16"/>
    <w:rsid w:val="003D794D"/>
    <w:rsid w:val="003E3058"/>
    <w:rsid w:val="003E4244"/>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8F6"/>
    <w:rsid w:val="004F1AD8"/>
    <w:rsid w:val="004F7BE9"/>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3807"/>
    <w:rsid w:val="00617CC3"/>
    <w:rsid w:val="0063182E"/>
    <w:rsid w:val="006377A6"/>
    <w:rsid w:val="00637A3D"/>
    <w:rsid w:val="006411EF"/>
    <w:rsid w:val="00665BAD"/>
    <w:rsid w:val="0067092F"/>
    <w:rsid w:val="006748B8"/>
    <w:rsid w:val="006775C3"/>
    <w:rsid w:val="0069290A"/>
    <w:rsid w:val="00696833"/>
    <w:rsid w:val="0069775A"/>
    <w:rsid w:val="00697813"/>
    <w:rsid w:val="006A3EE8"/>
    <w:rsid w:val="006A72BF"/>
    <w:rsid w:val="006B03F2"/>
    <w:rsid w:val="006B37DC"/>
    <w:rsid w:val="006B4F68"/>
    <w:rsid w:val="006C0592"/>
    <w:rsid w:val="006C272E"/>
    <w:rsid w:val="006C5479"/>
    <w:rsid w:val="006D13B5"/>
    <w:rsid w:val="006E12FF"/>
    <w:rsid w:val="006E365E"/>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7479"/>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67B"/>
    <w:rsid w:val="009C7DD5"/>
    <w:rsid w:val="009E227D"/>
    <w:rsid w:val="009E5019"/>
    <w:rsid w:val="009F2317"/>
    <w:rsid w:val="00A04F1B"/>
    <w:rsid w:val="00A0501B"/>
    <w:rsid w:val="00A14947"/>
    <w:rsid w:val="00A312E3"/>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C7D90"/>
    <w:rsid w:val="00AD055E"/>
    <w:rsid w:val="00AD47A7"/>
    <w:rsid w:val="00AE3075"/>
    <w:rsid w:val="00AF0CBF"/>
    <w:rsid w:val="00AF257F"/>
    <w:rsid w:val="00AF33CF"/>
    <w:rsid w:val="00AF4D50"/>
    <w:rsid w:val="00AF6179"/>
    <w:rsid w:val="00B1295A"/>
    <w:rsid w:val="00B20A45"/>
    <w:rsid w:val="00B22C5C"/>
    <w:rsid w:val="00B24F30"/>
    <w:rsid w:val="00B31ABF"/>
    <w:rsid w:val="00B31D2A"/>
    <w:rsid w:val="00B33BE3"/>
    <w:rsid w:val="00B53B5D"/>
    <w:rsid w:val="00B55A4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B14E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D4899"/>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93B0C"/>
    <w:rsid w:val="00EB5255"/>
    <w:rsid w:val="00EB5C47"/>
    <w:rsid w:val="00ED0639"/>
    <w:rsid w:val="00EE090D"/>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890503"/>
    <w:rsid w:val="018E39C1"/>
    <w:rsid w:val="019B45FB"/>
    <w:rsid w:val="01DF0C91"/>
    <w:rsid w:val="022B0E5C"/>
    <w:rsid w:val="02327480"/>
    <w:rsid w:val="023C0D74"/>
    <w:rsid w:val="02581525"/>
    <w:rsid w:val="02697903"/>
    <w:rsid w:val="02787934"/>
    <w:rsid w:val="02976587"/>
    <w:rsid w:val="02A23B34"/>
    <w:rsid w:val="02AE51B8"/>
    <w:rsid w:val="02F96569"/>
    <w:rsid w:val="030F42DA"/>
    <w:rsid w:val="034D6BB0"/>
    <w:rsid w:val="036505AD"/>
    <w:rsid w:val="038668A6"/>
    <w:rsid w:val="03B622D6"/>
    <w:rsid w:val="03EA7B21"/>
    <w:rsid w:val="03EE3B84"/>
    <w:rsid w:val="042D47E5"/>
    <w:rsid w:val="04345913"/>
    <w:rsid w:val="044208FA"/>
    <w:rsid w:val="045B0E6A"/>
    <w:rsid w:val="046F2F6F"/>
    <w:rsid w:val="0479394D"/>
    <w:rsid w:val="04976320"/>
    <w:rsid w:val="049B4BDA"/>
    <w:rsid w:val="04FE4501"/>
    <w:rsid w:val="05180CDC"/>
    <w:rsid w:val="05216A04"/>
    <w:rsid w:val="05223BF7"/>
    <w:rsid w:val="05942373"/>
    <w:rsid w:val="05C92212"/>
    <w:rsid w:val="05E076A3"/>
    <w:rsid w:val="05F24570"/>
    <w:rsid w:val="05F2590E"/>
    <w:rsid w:val="05F83EAE"/>
    <w:rsid w:val="0609263B"/>
    <w:rsid w:val="060D7AD6"/>
    <w:rsid w:val="062D3008"/>
    <w:rsid w:val="062F4C70"/>
    <w:rsid w:val="06385214"/>
    <w:rsid w:val="063E2DC2"/>
    <w:rsid w:val="063E7D85"/>
    <w:rsid w:val="064306C1"/>
    <w:rsid w:val="06576C15"/>
    <w:rsid w:val="06663D06"/>
    <w:rsid w:val="066B047D"/>
    <w:rsid w:val="068C04FB"/>
    <w:rsid w:val="0694735D"/>
    <w:rsid w:val="069F51C9"/>
    <w:rsid w:val="06A32343"/>
    <w:rsid w:val="06B15555"/>
    <w:rsid w:val="06DD2B50"/>
    <w:rsid w:val="06FF4665"/>
    <w:rsid w:val="072145DC"/>
    <w:rsid w:val="07293586"/>
    <w:rsid w:val="07295285"/>
    <w:rsid w:val="07360252"/>
    <w:rsid w:val="07464042"/>
    <w:rsid w:val="07636392"/>
    <w:rsid w:val="07770C56"/>
    <w:rsid w:val="07826A1A"/>
    <w:rsid w:val="07AB189B"/>
    <w:rsid w:val="07CB5B92"/>
    <w:rsid w:val="07CC0708"/>
    <w:rsid w:val="07D478A0"/>
    <w:rsid w:val="07D62EFE"/>
    <w:rsid w:val="07DC772B"/>
    <w:rsid w:val="07E5385B"/>
    <w:rsid w:val="07FC3D0E"/>
    <w:rsid w:val="081859DF"/>
    <w:rsid w:val="081A09FC"/>
    <w:rsid w:val="08262A58"/>
    <w:rsid w:val="08461BF8"/>
    <w:rsid w:val="08491BC0"/>
    <w:rsid w:val="085B0674"/>
    <w:rsid w:val="08671954"/>
    <w:rsid w:val="088D1BEC"/>
    <w:rsid w:val="08C74640"/>
    <w:rsid w:val="08D02924"/>
    <w:rsid w:val="08DD1C62"/>
    <w:rsid w:val="08E54B90"/>
    <w:rsid w:val="08FF26FB"/>
    <w:rsid w:val="091C14FF"/>
    <w:rsid w:val="092217DD"/>
    <w:rsid w:val="093A7294"/>
    <w:rsid w:val="09402398"/>
    <w:rsid w:val="096F32E2"/>
    <w:rsid w:val="097924AD"/>
    <w:rsid w:val="09864488"/>
    <w:rsid w:val="09917178"/>
    <w:rsid w:val="099D3131"/>
    <w:rsid w:val="099F5C8C"/>
    <w:rsid w:val="09C82C1A"/>
    <w:rsid w:val="09DE0275"/>
    <w:rsid w:val="09FE51BF"/>
    <w:rsid w:val="0A263993"/>
    <w:rsid w:val="0A2D3AC2"/>
    <w:rsid w:val="0A362895"/>
    <w:rsid w:val="0A43180B"/>
    <w:rsid w:val="0A502CC6"/>
    <w:rsid w:val="0A654B67"/>
    <w:rsid w:val="0A8A1AF2"/>
    <w:rsid w:val="0AA755DF"/>
    <w:rsid w:val="0AB07198"/>
    <w:rsid w:val="0AB129D4"/>
    <w:rsid w:val="0ACD66EA"/>
    <w:rsid w:val="0AE026B5"/>
    <w:rsid w:val="0AE87AF2"/>
    <w:rsid w:val="0B120D44"/>
    <w:rsid w:val="0B283692"/>
    <w:rsid w:val="0B584344"/>
    <w:rsid w:val="0B7D662E"/>
    <w:rsid w:val="0B964065"/>
    <w:rsid w:val="0BC2459A"/>
    <w:rsid w:val="0BD27BF6"/>
    <w:rsid w:val="0BDD317F"/>
    <w:rsid w:val="0C39355C"/>
    <w:rsid w:val="0C3B3C7D"/>
    <w:rsid w:val="0C3C2D82"/>
    <w:rsid w:val="0C5B5EEC"/>
    <w:rsid w:val="0C7A3C79"/>
    <w:rsid w:val="0CAB2EAE"/>
    <w:rsid w:val="0CBF428C"/>
    <w:rsid w:val="0CCB40DF"/>
    <w:rsid w:val="0CE90435"/>
    <w:rsid w:val="0CFD6EC8"/>
    <w:rsid w:val="0D0251B4"/>
    <w:rsid w:val="0D356FE7"/>
    <w:rsid w:val="0D595B4D"/>
    <w:rsid w:val="0D621C7D"/>
    <w:rsid w:val="0D9B3CA7"/>
    <w:rsid w:val="0DA16476"/>
    <w:rsid w:val="0DC95A63"/>
    <w:rsid w:val="0DD979BE"/>
    <w:rsid w:val="0DF420B6"/>
    <w:rsid w:val="0E06383A"/>
    <w:rsid w:val="0E1605F8"/>
    <w:rsid w:val="0E166555"/>
    <w:rsid w:val="0E3C35A9"/>
    <w:rsid w:val="0E73034D"/>
    <w:rsid w:val="0E9A3BA9"/>
    <w:rsid w:val="0E9B79D4"/>
    <w:rsid w:val="0EAF6EBA"/>
    <w:rsid w:val="0ED47DA7"/>
    <w:rsid w:val="0ED86B80"/>
    <w:rsid w:val="0F133786"/>
    <w:rsid w:val="0F13775A"/>
    <w:rsid w:val="0F181E0A"/>
    <w:rsid w:val="0F20425A"/>
    <w:rsid w:val="0F5F45FE"/>
    <w:rsid w:val="0F9A112B"/>
    <w:rsid w:val="0FA20284"/>
    <w:rsid w:val="0FC00EF0"/>
    <w:rsid w:val="0FC7596C"/>
    <w:rsid w:val="0FCA218D"/>
    <w:rsid w:val="0FE5386F"/>
    <w:rsid w:val="0FEC3A5C"/>
    <w:rsid w:val="10120F66"/>
    <w:rsid w:val="1020605D"/>
    <w:rsid w:val="1028716B"/>
    <w:rsid w:val="102F2668"/>
    <w:rsid w:val="10421A6C"/>
    <w:rsid w:val="106D2F64"/>
    <w:rsid w:val="107B0828"/>
    <w:rsid w:val="107D1E9F"/>
    <w:rsid w:val="10944790"/>
    <w:rsid w:val="10970A1F"/>
    <w:rsid w:val="10B63710"/>
    <w:rsid w:val="10F10820"/>
    <w:rsid w:val="11190825"/>
    <w:rsid w:val="111C2F7A"/>
    <w:rsid w:val="113E028B"/>
    <w:rsid w:val="115F00C4"/>
    <w:rsid w:val="11665CA1"/>
    <w:rsid w:val="11677ADA"/>
    <w:rsid w:val="116A324B"/>
    <w:rsid w:val="1195145F"/>
    <w:rsid w:val="11A353F6"/>
    <w:rsid w:val="11EF0D4B"/>
    <w:rsid w:val="11F12C8D"/>
    <w:rsid w:val="121775BF"/>
    <w:rsid w:val="121F77FF"/>
    <w:rsid w:val="128B5315"/>
    <w:rsid w:val="128B7A46"/>
    <w:rsid w:val="12A537DE"/>
    <w:rsid w:val="12CC49AC"/>
    <w:rsid w:val="12D469A6"/>
    <w:rsid w:val="12D8084D"/>
    <w:rsid w:val="12E06F9F"/>
    <w:rsid w:val="13130C3B"/>
    <w:rsid w:val="134E49AB"/>
    <w:rsid w:val="137350BE"/>
    <w:rsid w:val="13790B80"/>
    <w:rsid w:val="13951726"/>
    <w:rsid w:val="13995240"/>
    <w:rsid w:val="13AC347F"/>
    <w:rsid w:val="13AC7923"/>
    <w:rsid w:val="13CA1788"/>
    <w:rsid w:val="13D15712"/>
    <w:rsid w:val="13E1210D"/>
    <w:rsid w:val="13FD3CDB"/>
    <w:rsid w:val="13FD697A"/>
    <w:rsid w:val="14280093"/>
    <w:rsid w:val="14357918"/>
    <w:rsid w:val="14396509"/>
    <w:rsid w:val="14414BA5"/>
    <w:rsid w:val="14631677"/>
    <w:rsid w:val="146F7241"/>
    <w:rsid w:val="14792DD7"/>
    <w:rsid w:val="14854F7E"/>
    <w:rsid w:val="14A51039"/>
    <w:rsid w:val="14C94848"/>
    <w:rsid w:val="14D81C1E"/>
    <w:rsid w:val="14DC074F"/>
    <w:rsid w:val="14DD2C3C"/>
    <w:rsid w:val="15097AE7"/>
    <w:rsid w:val="15151889"/>
    <w:rsid w:val="151B3655"/>
    <w:rsid w:val="15443A4D"/>
    <w:rsid w:val="15920A0E"/>
    <w:rsid w:val="159D39C7"/>
    <w:rsid w:val="15B81CBE"/>
    <w:rsid w:val="15D53161"/>
    <w:rsid w:val="15D67B01"/>
    <w:rsid w:val="15DC1B90"/>
    <w:rsid w:val="15DD5B72"/>
    <w:rsid w:val="15E332A0"/>
    <w:rsid w:val="15E52C78"/>
    <w:rsid w:val="15E90C44"/>
    <w:rsid w:val="15F124E3"/>
    <w:rsid w:val="15F66A3F"/>
    <w:rsid w:val="15FF3D3A"/>
    <w:rsid w:val="16087E1D"/>
    <w:rsid w:val="160B4AC6"/>
    <w:rsid w:val="160D7B05"/>
    <w:rsid w:val="16272B54"/>
    <w:rsid w:val="163905BA"/>
    <w:rsid w:val="16CD20C7"/>
    <w:rsid w:val="16D17FE5"/>
    <w:rsid w:val="16F337F3"/>
    <w:rsid w:val="16FF708F"/>
    <w:rsid w:val="17242FFC"/>
    <w:rsid w:val="174C7590"/>
    <w:rsid w:val="175E6215"/>
    <w:rsid w:val="176D0D40"/>
    <w:rsid w:val="17701D14"/>
    <w:rsid w:val="17735226"/>
    <w:rsid w:val="179364D9"/>
    <w:rsid w:val="17AC4DC3"/>
    <w:rsid w:val="17B9616B"/>
    <w:rsid w:val="17BB2A51"/>
    <w:rsid w:val="17D55CB9"/>
    <w:rsid w:val="185332E7"/>
    <w:rsid w:val="18567E5D"/>
    <w:rsid w:val="188E3583"/>
    <w:rsid w:val="189F624C"/>
    <w:rsid w:val="18B0357C"/>
    <w:rsid w:val="18F0644B"/>
    <w:rsid w:val="19242765"/>
    <w:rsid w:val="192602D3"/>
    <w:rsid w:val="193703AB"/>
    <w:rsid w:val="193D28CC"/>
    <w:rsid w:val="19401B63"/>
    <w:rsid w:val="19592746"/>
    <w:rsid w:val="195A56E8"/>
    <w:rsid w:val="19602223"/>
    <w:rsid w:val="19617AB6"/>
    <w:rsid w:val="19874772"/>
    <w:rsid w:val="199602BD"/>
    <w:rsid w:val="19B51DC3"/>
    <w:rsid w:val="19C239FC"/>
    <w:rsid w:val="19C64FA6"/>
    <w:rsid w:val="19CF4114"/>
    <w:rsid w:val="19EE3559"/>
    <w:rsid w:val="1A077B54"/>
    <w:rsid w:val="1A1C66C0"/>
    <w:rsid w:val="1A42393B"/>
    <w:rsid w:val="1A45144E"/>
    <w:rsid w:val="1A6E6711"/>
    <w:rsid w:val="1AA02DF6"/>
    <w:rsid w:val="1AAD45DE"/>
    <w:rsid w:val="1AB56AD7"/>
    <w:rsid w:val="1AD51BFD"/>
    <w:rsid w:val="1AE049AC"/>
    <w:rsid w:val="1AE413E4"/>
    <w:rsid w:val="1AF2243F"/>
    <w:rsid w:val="1AFC2F3E"/>
    <w:rsid w:val="1B046F80"/>
    <w:rsid w:val="1B070BC2"/>
    <w:rsid w:val="1B11756E"/>
    <w:rsid w:val="1B1D363A"/>
    <w:rsid w:val="1B2674C4"/>
    <w:rsid w:val="1B282FAA"/>
    <w:rsid w:val="1B3267B5"/>
    <w:rsid w:val="1B34605E"/>
    <w:rsid w:val="1B3962B1"/>
    <w:rsid w:val="1B3B7BEA"/>
    <w:rsid w:val="1B40161D"/>
    <w:rsid w:val="1B4148A5"/>
    <w:rsid w:val="1B441859"/>
    <w:rsid w:val="1B5C1C57"/>
    <w:rsid w:val="1B6606B1"/>
    <w:rsid w:val="1B8A1521"/>
    <w:rsid w:val="1B9B1714"/>
    <w:rsid w:val="1BA95CEE"/>
    <w:rsid w:val="1BBB4DC1"/>
    <w:rsid w:val="1BCD48DA"/>
    <w:rsid w:val="1BD25E4D"/>
    <w:rsid w:val="1C117F00"/>
    <w:rsid w:val="1C5E7925"/>
    <w:rsid w:val="1C636685"/>
    <w:rsid w:val="1C6E05A8"/>
    <w:rsid w:val="1C7328B4"/>
    <w:rsid w:val="1C954930"/>
    <w:rsid w:val="1C981DB6"/>
    <w:rsid w:val="1CF702F6"/>
    <w:rsid w:val="1CFD070F"/>
    <w:rsid w:val="1D4B7F34"/>
    <w:rsid w:val="1D5F6196"/>
    <w:rsid w:val="1D6132A5"/>
    <w:rsid w:val="1D6B6484"/>
    <w:rsid w:val="1D8A6A42"/>
    <w:rsid w:val="1D8D60CF"/>
    <w:rsid w:val="1D8E56D5"/>
    <w:rsid w:val="1D9C6312"/>
    <w:rsid w:val="1D9D29F7"/>
    <w:rsid w:val="1DA72EB9"/>
    <w:rsid w:val="1DB54336"/>
    <w:rsid w:val="1DB91C37"/>
    <w:rsid w:val="1DCA28B8"/>
    <w:rsid w:val="1DD97567"/>
    <w:rsid w:val="1DFE0AAF"/>
    <w:rsid w:val="1DFE4AC7"/>
    <w:rsid w:val="1E0E3278"/>
    <w:rsid w:val="1E3F40BD"/>
    <w:rsid w:val="1E7A43DA"/>
    <w:rsid w:val="1E7D5353"/>
    <w:rsid w:val="1E7F7F7D"/>
    <w:rsid w:val="1E830C89"/>
    <w:rsid w:val="1EAE27A1"/>
    <w:rsid w:val="1EDC1BAB"/>
    <w:rsid w:val="1EDF4B53"/>
    <w:rsid w:val="1F115D39"/>
    <w:rsid w:val="1F1B3C66"/>
    <w:rsid w:val="1F1B4FE9"/>
    <w:rsid w:val="1F473EBE"/>
    <w:rsid w:val="1F74053B"/>
    <w:rsid w:val="1F7B6C28"/>
    <w:rsid w:val="1F906BCA"/>
    <w:rsid w:val="1F9C1EDE"/>
    <w:rsid w:val="1F9F033C"/>
    <w:rsid w:val="1FAC6057"/>
    <w:rsid w:val="1FD0170B"/>
    <w:rsid w:val="1FD23948"/>
    <w:rsid w:val="1FE7539E"/>
    <w:rsid w:val="202361CA"/>
    <w:rsid w:val="202364BE"/>
    <w:rsid w:val="20337402"/>
    <w:rsid w:val="204A73E8"/>
    <w:rsid w:val="20535708"/>
    <w:rsid w:val="20671BE0"/>
    <w:rsid w:val="20720618"/>
    <w:rsid w:val="20765541"/>
    <w:rsid w:val="20942F89"/>
    <w:rsid w:val="20963CB8"/>
    <w:rsid w:val="20A81A1B"/>
    <w:rsid w:val="20B07FB6"/>
    <w:rsid w:val="20B646FB"/>
    <w:rsid w:val="20F92DC2"/>
    <w:rsid w:val="2112429D"/>
    <w:rsid w:val="211E2840"/>
    <w:rsid w:val="213B74B1"/>
    <w:rsid w:val="213F171D"/>
    <w:rsid w:val="213F64AF"/>
    <w:rsid w:val="214E3DC8"/>
    <w:rsid w:val="215A2310"/>
    <w:rsid w:val="215B5E1E"/>
    <w:rsid w:val="21646E52"/>
    <w:rsid w:val="216812A3"/>
    <w:rsid w:val="21785C30"/>
    <w:rsid w:val="217F5708"/>
    <w:rsid w:val="218A281B"/>
    <w:rsid w:val="21A77AE0"/>
    <w:rsid w:val="21DE318A"/>
    <w:rsid w:val="21EA18A9"/>
    <w:rsid w:val="21EF5B80"/>
    <w:rsid w:val="21F91F85"/>
    <w:rsid w:val="21FC0048"/>
    <w:rsid w:val="222F34E7"/>
    <w:rsid w:val="224648EA"/>
    <w:rsid w:val="22470AB5"/>
    <w:rsid w:val="22482214"/>
    <w:rsid w:val="225351C3"/>
    <w:rsid w:val="22576990"/>
    <w:rsid w:val="227C6712"/>
    <w:rsid w:val="22837AA1"/>
    <w:rsid w:val="229A2724"/>
    <w:rsid w:val="22A50FB0"/>
    <w:rsid w:val="22AF0896"/>
    <w:rsid w:val="22BB531B"/>
    <w:rsid w:val="22D91657"/>
    <w:rsid w:val="22F47480"/>
    <w:rsid w:val="22F71355"/>
    <w:rsid w:val="230052E5"/>
    <w:rsid w:val="232351A9"/>
    <w:rsid w:val="234B4A63"/>
    <w:rsid w:val="23672E3D"/>
    <w:rsid w:val="236A0040"/>
    <w:rsid w:val="23733CDF"/>
    <w:rsid w:val="237869AF"/>
    <w:rsid w:val="23830DCF"/>
    <w:rsid w:val="23A336AC"/>
    <w:rsid w:val="23BD283E"/>
    <w:rsid w:val="23DB14FB"/>
    <w:rsid w:val="23DE1C48"/>
    <w:rsid w:val="23E64CC2"/>
    <w:rsid w:val="23EF14AC"/>
    <w:rsid w:val="240210CD"/>
    <w:rsid w:val="24062738"/>
    <w:rsid w:val="240E0EB3"/>
    <w:rsid w:val="24264B88"/>
    <w:rsid w:val="243A7631"/>
    <w:rsid w:val="24691E79"/>
    <w:rsid w:val="246A1004"/>
    <w:rsid w:val="24885E4D"/>
    <w:rsid w:val="248F6125"/>
    <w:rsid w:val="24A9730A"/>
    <w:rsid w:val="24AC460F"/>
    <w:rsid w:val="24B855AB"/>
    <w:rsid w:val="24BF09F7"/>
    <w:rsid w:val="24DE5462"/>
    <w:rsid w:val="24E82B84"/>
    <w:rsid w:val="24FD6F93"/>
    <w:rsid w:val="252D4F97"/>
    <w:rsid w:val="252D53FE"/>
    <w:rsid w:val="25480598"/>
    <w:rsid w:val="258B5D47"/>
    <w:rsid w:val="25B87AE8"/>
    <w:rsid w:val="25BE7EB3"/>
    <w:rsid w:val="25CD79B1"/>
    <w:rsid w:val="25D107B8"/>
    <w:rsid w:val="25E91F62"/>
    <w:rsid w:val="25EC2D81"/>
    <w:rsid w:val="25F33BB4"/>
    <w:rsid w:val="25FD0578"/>
    <w:rsid w:val="26177480"/>
    <w:rsid w:val="262B0B67"/>
    <w:rsid w:val="263733E1"/>
    <w:rsid w:val="263E177B"/>
    <w:rsid w:val="26445799"/>
    <w:rsid w:val="266955F1"/>
    <w:rsid w:val="26753A69"/>
    <w:rsid w:val="26823BF8"/>
    <w:rsid w:val="26885300"/>
    <w:rsid w:val="268F3578"/>
    <w:rsid w:val="26C67898"/>
    <w:rsid w:val="26D51168"/>
    <w:rsid w:val="26EE62D0"/>
    <w:rsid w:val="270B76ED"/>
    <w:rsid w:val="270E38A9"/>
    <w:rsid w:val="271B38CB"/>
    <w:rsid w:val="27272F26"/>
    <w:rsid w:val="27287F77"/>
    <w:rsid w:val="272A498F"/>
    <w:rsid w:val="273E78D7"/>
    <w:rsid w:val="277057A2"/>
    <w:rsid w:val="27A00A0E"/>
    <w:rsid w:val="27A30C20"/>
    <w:rsid w:val="27AE28E5"/>
    <w:rsid w:val="27AE3812"/>
    <w:rsid w:val="27B3551A"/>
    <w:rsid w:val="27BB388B"/>
    <w:rsid w:val="27C015FF"/>
    <w:rsid w:val="27C27C0B"/>
    <w:rsid w:val="27CE5D1D"/>
    <w:rsid w:val="27DC4140"/>
    <w:rsid w:val="28633973"/>
    <w:rsid w:val="289F4A0F"/>
    <w:rsid w:val="28A44D89"/>
    <w:rsid w:val="28A6619F"/>
    <w:rsid w:val="28EF0462"/>
    <w:rsid w:val="29206EB8"/>
    <w:rsid w:val="29231ED1"/>
    <w:rsid w:val="294C6E3F"/>
    <w:rsid w:val="29595666"/>
    <w:rsid w:val="295F6920"/>
    <w:rsid w:val="29874881"/>
    <w:rsid w:val="29A13322"/>
    <w:rsid w:val="29AF4316"/>
    <w:rsid w:val="29CB6FBF"/>
    <w:rsid w:val="29D47CEC"/>
    <w:rsid w:val="29D67FDF"/>
    <w:rsid w:val="29E325E0"/>
    <w:rsid w:val="29E60EAE"/>
    <w:rsid w:val="29E9194F"/>
    <w:rsid w:val="29FD39F5"/>
    <w:rsid w:val="2A1F1FB7"/>
    <w:rsid w:val="2A412979"/>
    <w:rsid w:val="2A4159DE"/>
    <w:rsid w:val="2A452503"/>
    <w:rsid w:val="2A765DE2"/>
    <w:rsid w:val="2A9631CE"/>
    <w:rsid w:val="2AA62992"/>
    <w:rsid w:val="2AB1562B"/>
    <w:rsid w:val="2AC65675"/>
    <w:rsid w:val="2AC7033C"/>
    <w:rsid w:val="2ACB6DF0"/>
    <w:rsid w:val="2B01648A"/>
    <w:rsid w:val="2B1D36CB"/>
    <w:rsid w:val="2B253A88"/>
    <w:rsid w:val="2B2952A3"/>
    <w:rsid w:val="2B514D66"/>
    <w:rsid w:val="2BA936A8"/>
    <w:rsid w:val="2BA94677"/>
    <w:rsid w:val="2BCC24B9"/>
    <w:rsid w:val="2BCD11CE"/>
    <w:rsid w:val="2BFE70AC"/>
    <w:rsid w:val="2C025EDA"/>
    <w:rsid w:val="2C2E3173"/>
    <w:rsid w:val="2C315A5A"/>
    <w:rsid w:val="2C385DA0"/>
    <w:rsid w:val="2C403070"/>
    <w:rsid w:val="2C4B1C25"/>
    <w:rsid w:val="2C775C21"/>
    <w:rsid w:val="2C810FF1"/>
    <w:rsid w:val="2C87340F"/>
    <w:rsid w:val="2CA70830"/>
    <w:rsid w:val="2CAC34C3"/>
    <w:rsid w:val="2CB76337"/>
    <w:rsid w:val="2CC633AC"/>
    <w:rsid w:val="2CE44E71"/>
    <w:rsid w:val="2D19172E"/>
    <w:rsid w:val="2D1D1F5E"/>
    <w:rsid w:val="2D257946"/>
    <w:rsid w:val="2D2942C0"/>
    <w:rsid w:val="2D312055"/>
    <w:rsid w:val="2D443896"/>
    <w:rsid w:val="2D9976EE"/>
    <w:rsid w:val="2D9E56F5"/>
    <w:rsid w:val="2DA0260E"/>
    <w:rsid w:val="2DBF225A"/>
    <w:rsid w:val="2DCA5054"/>
    <w:rsid w:val="2DCF6290"/>
    <w:rsid w:val="2DE50D88"/>
    <w:rsid w:val="2DEF61A8"/>
    <w:rsid w:val="2E121B87"/>
    <w:rsid w:val="2E3E2AA8"/>
    <w:rsid w:val="2E50333B"/>
    <w:rsid w:val="2E634859"/>
    <w:rsid w:val="2E667F96"/>
    <w:rsid w:val="2E6E6CBB"/>
    <w:rsid w:val="2E725787"/>
    <w:rsid w:val="2E740F8A"/>
    <w:rsid w:val="2E786928"/>
    <w:rsid w:val="2E8226AB"/>
    <w:rsid w:val="2E95545F"/>
    <w:rsid w:val="2EC06EDA"/>
    <w:rsid w:val="2EE569A6"/>
    <w:rsid w:val="2F01350B"/>
    <w:rsid w:val="2F0E4B96"/>
    <w:rsid w:val="2F1170B3"/>
    <w:rsid w:val="2F210375"/>
    <w:rsid w:val="2F2B74F6"/>
    <w:rsid w:val="2F3E7229"/>
    <w:rsid w:val="2F46655E"/>
    <w:rsid w:val="2F61412B"/>
    <w:rsid w:val="2F974B8C"/>
    <w:rsid w:val="2FA2713A"/>
    <w:rsid w:val="2FC4723C"/>
    <w:rsid w:val="2FD065E6"/>
    <w:rsid w:val="2FD252A8"/>
    <w:rsid w:val="2FD96870"/>
    <w:rsid w:val="301237D2"/>
    <w:rsid w:val="301D194C"/>
    <w:rsid w:val="30204B81"/>
    <w:rsid w:val="30320C95"/>
    <w:rsid w:val="304F67BA"/>
    <w:rsid w:val="30580BC9"/>
    <w:rsid w:val="305D1EAE"/>
    <w:rsid w:val="30757738"/>
    <w:rsid w:val="307C14FC"/>
    <w:rsid w:val="30901F80"/>
    <w:rsid w:val="30EB6378"/>
    <w:rsid w:val="30F71865"/>
    <w:rsid w:val="311E2ED7"/>
    <w:rsid w:val="31457432"/>
    <w:rsid w:val="315619EE"/>
    <w:rsid w:val="315C449C"/>
    <w:rsid w:val="31875A98"/>
    <w:rsid w:val="31885988"/>
    <w:rsid w:val="3192385D"/>
    <w:rsid w:val="31995A24"/>
    <w:rsid w:val="319C37C4"/>
    <w:rsid w:val="31A438EB"/>
    <w:rsid w:val="31B82709"/>
    <w:rsid w:val="31CA15DD"/>
    <w:rsid w:val="31D05482"/>
    <w:rsid w:val="31D138A5"/>
    <w:rsid w:val="32105D24"/>
    <w:rsid w:val="32256938"/>
    <w:rsid w:val="32383558"/>
    <w:rsid w:val="32400B34"/>
    <w:rsid w:val="32452FC5"/>
    <w:rsid w:val="325B156D"/>
    <w:rsid w:val="32674B1F"/>
    <w:rsid w:val="329459AC"/>
    <w:rsid w:val="329E6876"/>
    <w:rsid w:val="32A61050"/>
    <w:rsid w:val="32AE42C4"/>
    <w:rsid w:val="32B85394"/>
    <w:rsid w:val="32CE5CE8"/>
    <w:rsid w:val="32CF2675"/>
    <w:rsid w:val="32E90CAD"/>
    <w:rsid w:val="330110F1"/>
    <w:rsid w:val="330A0802"/>
    <w:rsid w:val="332E5807"/>
    <w:rsid w:val="333015F2"/>
    <w:rsid w:val="334B6320"/>
    <w:rsid w:val="334F40FB"/>
    <w:rsid w:val="33544A5F"/>
    <w:rsid w:val="33611D60"/>
    <w:rsid w:val="336E7998"/>
    <w:rsid w:val="33B23C1B"/>
    <w:rsid w:val="33C41711"/>
    <w:rsid w:val="33CC355C"/>
    <w:rsid w:val="33D30B0B"/>
    <w:rsid w:val="33D934D4"/>
    <w:rsid w:val="33E07D3E"/>
    <w:rsid w:val="33FE2F6A"/>
    <w:rsid w:val="340E07E5"/>
    <w:rsid w:val="34142C4F"/>
    <w:rsid w:val="341629DC"/>
    <w:rsid w:val="34235BF7"/>
    <w:rsid w:val="343F2AEA"/>
    <w:rsid w:val="344E5FF7"/>
    <w:rsid w:val="345830A1"/>
    <w:rsid w:val="3459754C"/>
    <w:rsid w:val="346017EC"/>
    <w:rsid w:val="347C25AD"/>
    <w:rsid w:val="348A460F"/>
    <w:rsid w:val="348E3948"/>
    <w:rsid w:val="349D3A41"/>
    <w:rsid w:val="34A76F2B"/>
    <w:rsid w:val="34E74F88"/>
    <w:rsid w:val="34E94971"/>
    <w:rsid w:val="3509652C"/>
    <w:rsid w:val="351044D7"/>
    <w:rsid w:val="35243C51"/>
    <w:rsid w:val="352E5B46"/>
    <w:rsid w:val="354075FD"/>
    <w:rsid w:val="354B1692"/>
    <w:rsid w:val="35531555"/>
    <w:rsid w:val="355500FE"/>
    <w:rsid w:val="355645A5"/>
    <w:rsid w:val="356555DD"/>
    <w:rsid w:val="356B5681"/>
    <w:rsid w:val="35803742"/>
    <w:rsid w:val="358C5FA8"/>
    <w:rsid w:val="35947F42"/>
    <w:rsid w:val="35A67433"/>
    <w:rsid w:val="35BE7316"/>
    <w:rsid w:val="35C15DF1"/>
    <w:rsid w:val="35CB6416"/>
    <w:rsid w:val="35E05830"/>
    <w:rsid w:val="35E90449"/>
    <w:rsid w:val="36074A7F"/>
    <w:rsid w:val="361853CF"/>
    <w:rsid w:val="368A3F1E"/>
    <w:rsid w:val="36923549"/>
    <w:rsid w:val="369C399F"/>
    <w:rsid w:val="36B454CA"/>
    <w:rsid w:val="36B75FBF"/>
    <w:rsid w:val="36B776B7"/>
    <w:rsid w:val="36BD0C45"/>
    <w:rsid w:val="36D61F0B"/>
    <w:rsid w:val="37476E97"/>
    <w:rsid w:val="37513661"/>
    <w:rsid w:val="376218B2"/>
    <w:rsid w:val="37632E45"/>
    <w:rsid w:val="37795238"/>
    <w:rsid w:val="3782320E"/>
    <w:rsid w:val="378D1CF2"/>
    <w:rsid w:val="379C647C"/>
    <w:rsid w:val="37C524F6"/>
    <w:rsid w:val="37D16A9A"/>
    <w:rsid w:val="37E00298"/>
    <w:rsid w:val="382B1748"/>
    <w:rsid w:val="38443B7D"/>
    <w:rsid w:val="3883421A"/>
    <w:rsid w:val="38A0216A"/>
    <w:rsid w:val="38B302F9"/>
    <w:rsid w:val="38C02F72"/>
    <w:rsid w:val="38CC289A"/>
    <w:rsid w:val="38E13C04"/>
    <w:rsid w:val="38F12CD3"/>
    <w:rsid w:val="38F94775"/>
    <w:rsid w:val="392971ED"/>
    <w:rsid w:val="39325651"/>
    <w:rsid w:val="393A2A38"/>
    <w:rsid w:val="39743AD8"/>
    <w:rsid w:val="39822C77"/>
    <w:rsid w:val="39B431F9"/>
    <w:rsid w:val="39BC67A9"/>
    <w:rsid w:val="39E62997"/>
    <w:rsid w:val="3A0908EA"/>
    <w:rsid w:val="3A126201"/>
    <w:rsid w:val="3A641AFE"/>
    <w:rsid w:val="3A76599E"/>
    <w:rsid w:val="3A872856"/>
    <w:rsid w:val="3B29601D"/>
    <w:rsid w:val="3B2A16DA"/>
    <w:rsid w:val="3B2B3745"/>
    <w:rsid w:val="3B3763D1"/>
    <w:rsid w:val="3B565316"/>
    <w:rsid w:val="3B79521D"/>
    <w:rsid w:val="3B79712A"/>
    <w:rsid w:val="3BAE5737"/>
    <w:rsid w:val="3BB83CBF"/>
    <w:rsid w:val="3BBB15D4"/>
    <w:rsid w:val="3BC534B7"/>
    <w:rsid w:val="3BE4061B"/>
    <w:rsid w:val="3BE7142E"/>
    <w:rsid w:val="3BF27D19"/>
    <w:rsid w:val="3BFA71D9"/>
    <w:rsid w:val="3BFC2094"/>
    <w:rsid w:val="3C081AE2"/>
    <w:rsid w:val="3C0B23ED"/>
    <w:rsid w:val="3C0D0228"/>
    <w:rsid w:val="3C170B59"/>
    <w:rsid w:val="3C205C39"/>
    <w:rsid w:val="3C215A02"/>
    <w:rsid w:val="3C2F6E1E"/>
    <w:rsid w:val="3C3C2BAB"/>
    <w:rsid w:val="3C3D0619"/>
    <w:rsid w:val="3C47755D"/>
    <w:rsid w:val="3C4F64BA"/>
    <w:rsid w:val="3C707B3E"/>
    <w:rsid w:val="3CA74F18"/>
    <w:rsid w:val="3CC824DE"/>
    <w:rsid w:val="3CDA245A"/>
    <w:rsid w:val="3CE733F6"/>
    <w:rsid w:val="3CF44A66"/>
    <w:rsid w:val="3CF65E3F"/>
    <w:rsid w:val="3CFF57AF"/>
    <w:rsid w:val="3D05582A"/>
    <w:rsid w:val="3D1141CF"/>
    <w:rsid w:val="3D1E06B7"/>
    <w:rsid w:val="3D396550"/>
    <w:rsid w:val="3D641B18"/>
    <w:rsid w:val="3D845559"/>
    <w:rsid w:val="3D87238C"/>
    <w:rsid w:val="3D970F85"/>
    <w:rsid w:val="3D9D3CB5"/>
    <w:rsid w:val="3DAF26AF"/>
    <w:rsid w:val="3DAF340E"/>
    <w:rsid w:val="3DCE66C8"/>
    <w:rsid w:val="3DF3171A"/>
    <w:rsid w:val="3E012033"/>
    <w:rsid w:val="3E0A0666"/>
    <w:rsid w:val="3E0A46E7"/>
    <w:rsid w:val="3E397ECC"/>
    <w:rsid w:val="3E5E70F0"/>
    <w:rsid w:val="3E8E46EA"/>
    <w:rsid w:val="3EAE5A4E"/>
    <w:rsid w:val="3EC07A4F"/>
    <w:rsid w:val="3EDA0523"/>
    <w:rsid w:val="3F024ECF"/>
    <w:rsid w:val="3F3348D1"/>
    <w:rsid w:val="3F3E3EC3"/>
    <w:rsid w:val="3F7D5AB5"/>
    <w:rsid w:val="3F9A3E00"/>
    <w:rsid w:val="3FA62446"/>
    <w:rsid w:val="3FC26CB0"/>
    <w:rsid w:val="3FEE6A4A"/>
    <w:rsid w:val="3FF00402"/>
    <w:rsid w:val="400B60D3"/>
    <w:rsid w:val="40300733"/>
    <w:rsid w:val="405525A5"/>
    <w:rsid w:val="405A21CB"/>
    <w:rsid w:val="406311E6"/>
    <w:rsid w:val="407A6407"/>
    <w:rsid w:val="408F756D"/>
    <w:rsid w:val="409D5534"/>
    <w:rsid w:val="40C83858"/>
    <w:rsid w:val="40D43853"/>
    <w:rsid w:val="40DF4951"/>
    <w:rsid w:val="4101202D"/>
    <w:rsid w:val="41554AA2"/>
    <w:rsid w:val="416200AB"/>
    <w:rsid w:val="41686B17"/>
    <w:rsid w:val="417B60BB"/>
    <w:rsid w:val="417D4802"/>
    <w:rsid w:val="41802114"/>
    <w:rsid w:val="41A02373"/>
    <w:rsid w:val="41F45E6E"/>
    <w:rsid w:val="4200449D"/>
    <w:rsid w:val="42140B73"/>
    <w:rsid w:val="423A3BCC"/>
    <w:rsid w:val="423D5A66"/>
    <w:rsid w:val="423E1206"/>
    <w:rsid w:val="424E57D2"/>
    <w:rsid w:val="42975FA8"/>
    <w:rsid w:val="42A166E3"/>
    <w:rsid w:val="42A5008C"/>
    <w:rsid w:val="42B26C49"/>
    <w:rsid w:val="42C848F8"/>
    <w:rsid w:val="42CA5CEC"/>
    <w:rsid w:val="42D34960"/>
    <w:rsid w:val="42E432A4"/>
    <w:rsid w:val="4313582C"/>
    <w:rsid w:val="431E13F4"/>
    <w:rsid w:val="43282777"/>
    <w:rsid w:val="43327179"/>
    <w:rsid w:val="43357DF9"/>
    <w:rsid w:val="433A6FE6"/>
    <w:rsid w:val="43406545"/>
    <w:rsid w:val="43480868"/>
    <w:rsid w:val="4350713C"/>
    <w:rsid w:val="4365788E"/>
    <w:rsid w:val="436653E0"/>
    <w:rsid w:val="43880F63"/>
    <w:rsid w:val="438E7199"/>
    <w:rsid w:val="43A57452"/>
    <w:rsid w:val="43C4431A"/>
    <w:rsid w:val="43D27098"/>
    <w:rsid w:val="43E33470"/>
    <w:rsid w:val="44006D4C"/>
    <w:rsid w:val="44072CB3"/>
    <w:rsid w:val="44530A42"/>
    <w:rsid w:val="445E6443"/>
    <w:rsid w:val="449A2C44"/>
    <w:rsid w:val="44B951CC"/>
    <w:rsid w:val="44CD14E0"/>
    <w:rsid w:val="44F20B0B"/>
    <w:rsid w:val="450869F0"/>
    <w:rsid w:val="450D7972"/>
    <w:rsid w:val="452E5F4C"/>
    <w:rsid w:val="45612018"/>
    <w:rsid w:val="456F5D38"/>
    <w:rsid w:val="456F5F4E"/>
    <w:rsid w:val="457167D6"/>
    <w:rsid w:val="458946E9"/>
    <w:rsid w:val="45942055"/>
    <w:rsid w:val="459C3B8E"/>
    <w:rsid w:val="459F05AA"/>
    <w:rsid w:val="45A47C0E"/>
    <w:rsid w:val="45AB36C7"/>
    <w:rsid w:val="45BA69B5"/>
    <w:rsid w:val="45BB5620"/>
    <w:rsid w:val="45F94332"/>
    <w:rsid w:val="461A7BFC"/>
    <w:rsid w:val="4634464A"/>
    <w:rsid w:val="46577FD6"/>
    <w:rsid w:val="466A1202"/>
    <w:rsid w:val="46835CC9"/>
    <w:rsid w:val="468468AE"/>
    <w:rsid w:val="46926B8D"/>
    <w:rsid w:val="46B67B95"/>
    <w:rsid w:val="46C71579"/>
    <w:rsid w:val="46D955A7"/>
    <w:rsid w:val="46DF4172"/>
    <w:rsid w:val="46DF533E"/>
    <w:rsid w:val="46FF49D8"/>
    <w:rsid w:val="47133957"/>
    <w:rsid w:val="473B0518"/>
    <w:rsid w:val="473F7B8B"/>
    <w:rsid w:val="475B48E7"/>
    <w:rsid w:val="4760647F"/>
    <w:rsid w:val="47607213"/>
    <w:rsid w:val="478718BE"/>
    <w:rsid w:val="47993083"/>
    <w:rsid w:val="47A07E0C"/>
    <w:rsid w:val="47B06546"/>
    <w:rsid w:val="47C031D6"/>
    <w:rsid w:val="47CA5BC4"/>
    <w:rsid w:val="47E63F04"/>
    <w:rsid w:val="47E67EB6"/>
    <w:rsid w:val="48296AC9"/>
    <w:rsid w:val="482B0424"/>
    <w:rsid w:val="48356382"/>
    <w:rsid w:val="48396CD0"/>
    <w:rsid w:val="484F02A2"/>
    <w:rsid w:val="486A6E89"/>
    <w:rsid w:val="486B1A7A"/>
    <w:rsid w:val="486E0657"/>
    <w:rsid w:val="4870272E"/>
    <w:rsid w:val="487F029F"/>
    <w:rsid w:val="487F0B87"/>
    <w:rsid w:val="488E258E"/>
    <w:rsid w:val="48C46D85"/>
    <w:rsid w:val="48CC5568"/>
    <w:rsid w:val="48D120B2"/>
    <w:rsid w:val="48DE50D2"/>
    <w:rsid w:val="48E040E0"/>
    <w:rsid w:val="49517EC4"/>
    <w:rsid w:val="495824D6"/>
    <w:rsid w:val="496C36EB"/>
    <w:rsid w:val="4988305D"/>
    <w:rsid w:val="49AE23A4"/>
    <w:rsid w:val="49CA6DC7"/>
    <w:rsid w:val="49DC7715"/>
    <w:rsid w:val="4A023139"/>
    <w:rsid w:val="4A0C0F4F"/>
    <w:rsid w:val="4A12581A"/>
    <w:rsid w:val="4A2319E6"/>
    <w:rsid w:val="4A407EA2"/>
    <w:rsid w:val="4A5A3051"/>
    <w:rsid w:val="4A7B576F"/>
    <w:rsid w:val="4A8F26EE"/>
    <w:rsid w:val="4AC526CD"/>
    <w:rsid w:val="4ACC3E2B"/>
    <w:rsid w:val="4AF561A9"/>
    <w:rsid w:val="4B013AD5"/>
    <w:rsid w:val="4B187071"/>
    <w:rsid w:val="4B3D02F5"/>
    <w:rsid w:val="4B4A6F08"/>
    <w:rsid w:val="4B6F4BE6"/>
    <w:rsid w:val="4B801DE3"/>
    <w:rsid w:val="4B874E28"/>
    <w:rsid w:val="4B906C07"/>
    <w:rsid w:val="4BAB0483"/>
    <w:rsid w:val="4BB05EFB"/>
    <w:rsid w:val="4BE256E4"/>
    <w:rsid w:val="4BE33DD6"/>
    <w:rsid w:val="4C2116FA"/>
    <w:rsid w:val="4C3103EA"/>
    <w:rsid w:val="4C4A0649"/>
    <w:rsid w:val="4C51283A"/>
    <w:rsid w:val="4C527136"/>
    <w:rsid w:val="4C6836E0"/>
    <w:rsid w:val="4C7A4ADB"/>
    <w:rsid w:val="4C7E5ECA"/>
    <w:rsid w:val="4C871DB8"/>
    <w:rsid w:val="4C876AA5"/>
    <w:rsid w:val="4CE22EC5"/>
    <w:rsid w:val="4D0E00FB"/>
    <w:rsid w:val="4D176606"/>
    <w:rsid w:val="4D700CBE"/>
    <w:rsid w:val="4D862070"/>
    <w:rsid w:val="4DA44BEC"/>
    <w:rsid w:val="4DB83EEA"/>
    <w:rsid w:val="4DCB253D"/>
    <w:rsid w:val="4DEC4FB0"/>
    <w:rsid w:val="4DF341BD"/>
    <w:rsid w:val="4E075D8A"/>
    <w:rsid w:val="4E15008E"/>
    <w:rsid w:val="4E2F6BAB"/>
    <w:rsid w:val="4E5A6BB8"/>
    <w:rsid w:val="4E6B689E"/>
    <w:rsid w:val="4EB67114"/>
    <w:rsid w:val="4EC00FAD"/>
    <w:rsid w:val="4EDA67A4"/>
    <w:rsid w:val="4EDC536C"/>
    <w:rsid w:val="4EEC2B7B"/>
    <w:rsid w:val="4F077720"/>
    <w:rsid w:val="4F0C5A26"/>
    <w:rsid w:val="4F5A1355"/>
    <w:rsid w:val="4F7564B3"/>
    <w:rsid w:val="4F7B2534"/>
    <w:rsid w:val="4F8502ED"/>
    <w:rsid w:val="4F8974CA"/>
    <w:rsid w:val="4F933FCE"/>
    <w:rsid w:val="4F9843DC"/>
    <w:rsid w:val="4FA709C3"/>
    <w:rsid w:val="4FC365B9"/>
    <w:rsid w:val="4FC62A8C"/>
    <w:rsid w:val="4FCB2904"/>
    <w:rsid w:val="4FD07250"/>
    <w:rsid w:val="4FE20F0D"/>
    <w:rsid w:val="4FE51552"/>
    <w:rsid w:val="4FEF1918"/>
    <w:rsid w:val="50146059"/>
    <w:rsid w:val="503419BD"/>
    <w:rsid w:val="50504C4B"/>
    <w:rsid w:val="50592EAC"/>
    <w:rsid w:val="50593A6B"/>
    <w:rsid w:val="505A3E9E"/>
    <w:rsid w:val="509C272A"/>
    <w:rsid w:val="509C6E7C"/>
    <w:rsid w:val="509F49DC"/>
    <w:rsid w:val="50A75D18"/>
    <w:rsid w:val="50A92A66"/>
    <w:rsid w:val="50ED082B"/>
    <w:rsid w:val="50F638CE"/>
    <w:rsid w:val="5107796B"/>
    <w:rsid w:val="511547D8"/>
    <w:rsid w:val="5162104E"/>
    <w:rsid w:val="5164091A"/>
    <w:rsid w:val="518E20C8"/>
    <w:rsid w:val="51906DBF"/>
    <w:rsid w:val="519F5147"/>
    <w:rsid w:val="51A62061"/>
    <w:rsid w:val="51C55CE2"/>
    <w:rsid w:val="51CA1EC8"/>
    <w:rsid w:val="51D830B6"/>
    <w:rsid w:val="51F04FD0"/>
    <w:rsid w:val="521B326C"/>
    <w:rsid w:val="521C11F4"/>
    <w:rsid w:val="522134A5"/>
    <w:rsid w:val="52386E61"/>
    <w:rsid w:val="524F083F"/>
    <w:rsid w:val="529C40E3"/>
    <w:rsid w:val="529D25E5"/>
    <w:rsid w:val="52A37D53"/>
    <w:rsid w:val="52AB2578"/>
    <w:rsid w:val="52C95B8D"/>
    <w:rsid w:val="52D53394"/>
    <w:rsid w:val="52D7511B"/>
    <w:rsid w:val="52DE483E"/>
    <w:rsid w:val="52E15F9A"/>
    <w:rsid w:val="52FD7B75"/>
    <w:rsid w:val="530A2432"/>
    <w:rsid w:val="530D302A"/>
    <w:rsid w:val="530F1D81"/>
    <w:rsid w:val="531429AF"/>
    <w:rsid w:val="533B7DA0"/>
    <w:rsid w:val="53491651"/>
    <w:rsid w:val="53577CA6"/>
    <w:rsid w:val="535A6CF1"/>
    <w:rsid w:val="535D34FF"/>
    <w:rsid w:val="53982AFD"/>
    <w:rsid w:val="53A039CC"/>
    <w:rsid w:val="53A1505A"/>
    <w:rsid w:val="53B8069B"/>
    <w:rsid w:val="53C0565B"/>
    <w:rsid w:val="53CC77B0"/>
    <w:rsid w:val="53D71C1C"/>
    <w:rsid w:val="53F600E6"/>
    <w:rsid w:val="53F8004C"/>
    <w:rsid w:val="54060074"/>
    <w:rsid w:val="54063E08"/>
    <w:rsid w:val="543437E8"/>
    <w:rsid w:val="54362EC9"/>
    <w:rsid w:val="54564529"/>
    <w:rsid w:val="54A049D5"/>
    <w:rsid w:val="54EE4AC0"/>
    <w:rsid w:val="54F73313"/>
    <w:rsid w:val="54F80955"/>
    <w:rsid w:val="55014BE6"/>
    <w:rsid w:val="553B59DD"/>
    <w:rsid w:val="553E3500"/>
    <w:rsid w:val="555170A7"/>
    <w:rsid w:val="55771982"/>
    <w:rsid w:val="5587536D"/>
    <w:rsid w:val="558A3F38"/>
    <w:rsid w:val="55927591"/>
    <w:rsid w:val="55967510"/>
    <w:rsid w:val="559717AA"/>
    <w:rsid w:val="559A429B"/>
    <w:rsid w:val="559B174B"/>
    <w:rsid w:val="559E2206"/>
    <w:rsid w:val="55B4733C"/>
    <w:rsid w:val="55B82404"/>
    <w:rsid w:val="55CE0CF4"/>
    <w:rsid w:val="55EF2C92"/>
    <w:rsid w:val="55FF6E63"/>
    <w:rsid w:val="560E1E33"/>
    <w:rsid w:val="56182CD4"/>
    <w:rsid w:val="564A447B"/>
    <w:rsid w:val="56620B9F"/>
    <w:rsid w:val="56726E70"/>
    <w:rsid w:val="567F3970"/>
    <w:rsid w:val="568852D0"/>
    <w:rsid w:val="56B0015D"/>
    <w:rsid w:val="56B22A9C"/>
    <w:rsid w:val="56C062D2"/>
    <w:rsid w:val="56F339D2"/>
    <w:rsid w:val="570C79C8"/>
    <w:rsid w:val="571701DC"/>
    <w:rsid w:val="57525266"/>
    <w:rsid w:val="577538D2"/>
    <w:rsid w:val="578467C0"/>
    <w:rsid w:val="5798087C"/>
    <w:rsid w:val="579C5447"/>
    <w:rsid w:val="57A30BD1"/>
    <w:rsid w:val="57AC26C4"/>
    <w:rsid w:val="57B72A76"/>
    <w:rsid w:val="57B819BF"/>
    <w:rsid w:val="57BC7B9F"/>
    <w:rsid w:val="57C3426C"/>
    <w:rsid w:val="57CE1F93"/>
    <w:rsid w:val="57DB2065"/>
    <w:rsid w:val="57DD3ED9"/>
    <w:rsid w:val="57E02CC4"/>
    <w:rsid w:val="57E200A3"/>
    <w:rsid w:val="57F30ECA"/>
    <w:rsid w:val="581B0D4D"/>
    <w:rsid w:val="58225587"/>
    <w:rsid w:val="58275B27"/>
    <w:rsid w:val="58455CFE"/>
    <w:rsid w:val="58734CD5"/>
    <w:rsid w:val="587F6193"/>
    <w:rsid w:val="588743D1"/>
    <w:rsid w:val="5887701A"/>
    <w:rsid w:val="58930412"/>
    <w:rsid w:val="5895585D"/>
    <w:rsid w:val="58CD28ED"/>
    <w:rsid w:val="58FA7CF7"/>
    <w:rsid w:val="590F7B43"/>
    <w:rsid w:val="59127D64"/>
    <w:rsid w:val="591730A9"/>
    <w:rsid w:val="591C1ADA"/>
    <w:rsid w:val="594677CD"/>
    <w:rsid w:val="594B1686"/>
    <w:rsid w:val="59735457"/>
    <w:rsid w:val="59920B6B"/>
    <w:rsid w:val="59BB59E8"/>
    <w:rsid w:val="59C0439F"/>
    <w:rsid w:val="59C75354"/>
    <w:rsid w:val="59E170F9"/>
    <w:rsid w:val="59EE637C"/>
    <w:rsid w:val="5A1966F4"/>
    <w:rsid w:val="5A1A0B70"/>
    <w:rsid w:val="5A1C050F"/>
    <w:rsid w:val="5A1D1FC5"/>
    <w:rsid w:val="5A22173D"/>
    <w:rsid w:val="5A4475F9"/>
    <w:rsid w:val="5A496F58"/>
    <w:rsid w:val="5A7871E4"/>
    <w:rsid w:val="5A790048"/>
    <w:rsid w:val="5A7C03B9"/>
    <w:rsid w:val="5AA622BF"/>
    <w:rsid w:val="5AB20948"/>
    <w:rsid w:val="5ABE2233"/>
    <w:rsid w:val="5ABE45A2"/>
    <w:rsid w:val="5AEA63E6"/>
    <w:rsid w:val="5AF440A0"/>
    <w:rsid w:val="5B0A214F"/>
    <w:rsid w:val="5B0F12D5"/>
    <w:rsid w:val="5B277277"/>
    <w:rsid w:val="5B370E4D"/>
    <w:rsid w:val="5B412FF2"/>
    <w:rsid w:val="5B4D241F"/>
    <w:rsid w:val="5B653E6E"/>
    <w:rsid w:val="5B73323E"/>
    <w:rsid w:val="5B8F114A"/>
    <w:rsid w:val="5BA73CE0"/>
    <w:rsid w:val="5BB029AE"/>
    <w:rsid w:val="5BC5047D"/>
    <w:rsid w:val="5BDF5D95"/>
    <w:rsid w:val="5BED775E"/>
    <w:rsid w:val="5BFE7528"/>
    <w:rsid w:val="5C02145B"/>
    <w:rsid w:val="5C0954DC"/>
    <w:rsid w:val="5C0C67D8"/>
    <w:rsid w:val="5C367546"/>
    <w:rsid w:val="5C4307BC"/>
    <w:rsid w:val="5C4E068B"/>
    <w:rsid w:val="5C502796"/>
    <w:rsid w:val="5C7958AD"/>
    <w:rsid w:val="5C8339A4"/>
    <w:rsid w:val="5C9664F6"/>
    <w:rsid w:val="5C9A3D38"/>
    <w:rsid w:val="5CA96C01"/>
    <w:rsid w:val="5CC26747"/>
    <w:rsid w:val="5D1846FF"/>
    <w:rsid w:val="5D2153F3"/>
    <w:rsid w:val="5D2A36B4"/>
    <w:rsid w:val="5D37598E"/>
    <w:rsid w:val="5D4E448F"/>
    <w:rsid w:val="5D8F7C82"/>
    <w:rsid w:val="5D916C44"/>
    <w:rsid w:val="5DB669A1"/>
    <w:rsid w:val="5DCB54F2"/>
    <w:rsid w:val="5DCE3820"/>
    <w:rsid w:val="5DD402E3"/>
    <w:rsid w:val="5DD53F0D"/>
    <w:rsid w:val="5DF253B0"/>
    <w:rsid w:val="5DF42BDC"/>
    <w:rsid w:val="5E2467F1"/>
    <w:rsid w:val="5E2750AE"/>
    <w:rsid w:val="5E2B4715"/>
    <w:rsid w:val="5E5B27D9"/>
    <w:rsid w:val="5EC95F75"/>
    <w:rsid w:val="5ED32616"/>
    <w:rsid w:val="5F0130FC"/>
    <w:rsid w:val="5F062D3D"/>
    <w:rsid w:val="5F1A2B43"/>
    <w:rsid w:val="5F27754A"/>
    <w:rsid w:val="5F2D0A0C"/>
    <w:rsid w:val="5F300AFB"/>
    <w:rsid w:val="5F34748C"/>
    <w:rsid w:val="5F48018D"/>
    <w:rsid w:val="5F5E109E"/>
    <w:rsid w:val="5F733AB2"/>
    <w:rsid w:val="5F74567B"/>
    <w:rsid w:val="5F873E09"/>
    <w:rsid w:val="5F8E1258"/>
    <w:rsid w:val="5F9156AE"/>
    <w:rsid w:val="5FA33DA4"/>
    <w:rsid w:val="5FB837BB"/>
    <w:rsid w:val="5FBC33ED"/>
    <w:rsid w:val="5FC65AAC"/>
    <w:rsid w:val="6015392F"/>
    <w:rsid w:val="601856F1"/>
    <w:rsid w:val="602B2C87"/>
    <w:rsid w:val="606D79AC"/>
    <w:rsid w:val="60711B58"/>
    <w:rsid w:val="607D5069"/>
    <w:rsid w:val="60BD048E"/>
    <w:rsid w:val="60CC405A"/>
    <w:rsid w:val="60D776F6"/>
    <w:rsid w:val="60D8644E"/>
    <w:rsid w:val="60FF6C77"/>
    <w:rsid w:val="61076AB2"/>
    <w:rsid w:val="61280133"/>
    <w:rsid w:val="61280557"/>
    <w:rsid w:val="61391E6D"/>
    <w:rsid w:val="618E7EFD"/>
    <w:rsid w:val="61AA2452"/>
    <w:rsid w:val="61BF73B1"/>
    <w:rsid w:val="61DA7660"/>
    <w:rsid w:val="61E215D8"/>
    <w:rsid w:val="61E810F3"/>
    <w:rsid w:val="62145910"/>
    <w:rsid w:val="621B3775"/>
    <w:rsid w:val="621E6123"/>
    <w:rsid w:val="622D4D58"/>
    <w:rsid w:val="62364782"/>
    <w:rsid w:val="6237160F"/>
    <w:rsid w:val="623D44B3"/>
    <w:rsid w:val="625850F6"/>
    <w:rsid w:val="625A2C21"/>
    <w:rsid w:val="625B18C5"/>
    <w:rsid w:val="625D0ADF"/>
    <w:rsid w:val="627E7362"/>
    <w:rsid w:val="628A5119"/>
    <w:rsid w:val="629B63E4"/>
    <w:rsid w:val="62A927DB"/>
    <w:rsid w:val="62C2571F"/>
    <w:rsid w:val="63176370"/>
    <w:rsid w:val="6328201C"/>
    <w:rsid w:val="632E00A7"/>
    <w:rsid w:val="63503DF9"/>
    <w:rsid w:val="635A392B"/>
    <w:rsid w:val="6367429A"/>
    <w:rsid w:val="6394356A"/>
    <w:rsid w:val="63951DB1"/>
    <w:rsid w:val="63B90E00"/>
    <w:rsid w:val="63C61B2C"/>
    <w:rsid w:val="63C739A3"/>
    <w:rsid w:val="63D40BE9"/>
    <w:rsid w:val="63F21002"/>
    <w:rsid w:val="63F51D29"/>
    <w:rsid w:val="63F52F21"/>
    <w:rsid w:val="63F93A70"/>
    <w:rsid w:val="63FB4BE9"/>
    <w:rsid w:val="63FF1F03"/>
    <w:rsid w:val="64102431"/>
    <w:rsid w:val="64174C8A"/>
    <w:rsid w:val="642A59F3"/>
    <w:rsid w:val="64407E9B"/>
    <w:rsid w:val="64962440"/>
    <w:rsid w:val="649E4C52"/>
    <w:rsid w:val="64A31301"/>
    <w:rsid w:val="64A5243A"/>
    <w:rsid w:val="64AC31D6"/>
    <w:rsid w:val="64C55F1F"/>
    <w:rsid w:val="64C6383A"/>
    <w:rsid w:val="64EB5B2D"/>
    <w:rsid w:val="64F531DE"/>
    <w:rsid w:val="65157AC8"/>
    <w:rsid w:val="651B3D8D"/>
    <w:rsid w:val="65243CC6"/>
    <w:rsid w:val="6528356F"/>
    <w:rsid w:val="652C16E9"/>
    <w:rsid w:val="652F7394"/>
    <w:rsid w:val="65373578"/>
    <w:rsid w:val="65393A14"/>
    <w:rsid w:val="65596C97"/>
    <w:rsid w:val="65605444"/>
    <w:rsid w:val="657A6B6C"/>
    <w:rsid w:val="658C3EAF"/>
    <w:rsid w:val="65A803D5"/>
    <w:rsid w:val="65AC12A1"/>
    <w:rsid w:val="65D023D2"/>
    <w:rsid w:val="65D32BCB"/>
    <w:rsid w:val="663B6384"/>
    <w:rsid w:val="664D46E2"/>
    <w:rsid w:val="66524BC1"/>
    <w:rsid w:val="66837FCA"/>
    <w:rsid w:val="66C60743"/>
    <w:rsid w:val="66D9098C"/>
    <w:rsid w:val="66DB6DE2"/>
    <w:rsid w:val="6717161C"/>
    <w:rsid w:val="671D35ED"/>
    <w:rsid w:val="671F124A"/>
    <w:rsid w:val="674612FF"/>
    <w:rsid w:val="67530DBD"/>
    <w:rsid w:val="675D1C3B"/>
    <w:rsid w:val="677A33C6"/>
    <w:rsid w:val="677D24C8"/>
    <w:rsid w:val="67B65325"/>
    <w:rsid w:val="67BB172E"/>
    <w:rsid w:val="67C43A69"/>
    <w:rsid w:val="67EA5E61"/>
    <w:rsid w:val="67F057AC"/>
    <w:rsid w:val="67FD1AF9"/>
    <w:rsid w:val="68022A4B"/>
    <w:rsid w:val="68091F4D"/>
    <w:rsid w:val="68122215"/>
    <w:rsid w:val="681742FE"/>
    <w:rsid w:val="681F6961"/>
    <w:rsid w:val="68273FF7"/>
    <w:rsid w:val="6846634D"/>
    <w:rsid w:val="6855268F"/>
    <w:rsid w:val="68610A2F"/>
    <w:rsid w:val="68724017"/>
    <w:rsid w:val="68805514"/>
    <w:rsid w:val="68890C27"/>
    <w:rsid w:val="689243F3"/>
    <w:rsid w:val="68D80538"/>
    <w:rsid w:val="68D91796"/>
    <w:rsid w:val="68DD12E4"/>
    <w:rsid w:val="68E23D8E"/>
    <w:rsid w:val="68F12E0A"/>
    <w:rsid w:val="69316E2F"/>
    <w:rsid w:val="694E2071"/>
    <w:rsid w:val="696E55B1"/>
    <w:rsid w:val="69766163"/>
    <w:rsid w:val="697A3B33"/>
    <w:rsid w:val="698C441D"/>
    <w:rsid w:val="698E10BC"/>
    <w:rsid w:val="69961435"/>
    <w:rsid w:val="699728B4"/>
    <w:rsid w:val="69A07A56"/>
    <w:rsid w:val="69D44760"/>
    <w:rsid w:val="6A186D06"/>
    <w:rsid w:val="6A367ED6"/>
    <w:rsid w:val="6A512C8B"/>
    <w:rsid w:val="6A520EC7"/>
    <w:rsid w:val="6A571A82"/>
    <w:rsid w:val="6A7277BA"/>
    <w:rsid w:val="6AF87E20"/>
    <w:rsid w:val="6B322639"/>
    <w:rsid w:val="6B4E3AE2"/>
    <w:rsid w:val="6B533849"/>
    <w:rsid w:val="6B8845FA"/>
    <w:rsid w:val="6B8F4A7B"/>
    <w:rsid w:val="6BAB6A35"/>
    <w:rsid w:val="6BD62536"/>
    <w:rsid w:val="6BDA62CE"/>
    <w:rsid w:val="6BDD567F"/>
    <w:rsid w:val="6BDE1811"/>
    <w:rsid w:val="6BE22CE6"/>
    <w:rsid w:val="6BE82A89"/>
    <w:rsid w:val="6C186857"/>
    <w:rsid w:val="6C205235"/>
    <w:rsid w:val="6C225202"/>
    <w:rsid w:val="6C3C2767"/>
    <w:rsid w:val="6C492DBB"/>
    <w:rsid w:val="6C636C38"/>
    <w:rsid w:val="6C647774"/>
    <w:rsid w:val="6C67653F"/>
    <w:rsid w:val="6C781F5A"/>
    <w:rsid w:val="6C7F7C58"/>
    <w:rsid w:val="6C890448"/>
    <w:rsid w:val="6C9303AC"/>
    <w:rsid w:val="6CA70E8F"/>
    <w:rsid w:val="6CB57FA5"/>
    <w:rsid w:val="6D1F1741"/>
    <w:rsid w:val="6D5261F9"/>
    <w:rsid w:val="6D762A39"/>
    <w:rsid w:val="6D8E42AC"/>
    <w:rsid w:val="6DB34098"/>
    <w:rsid w:val="6DB545B6"/>
    <w:rsid w:val="6DC04CD2"/>
    <w:rsid w:val="6DD15131"/>
    <w:rsid w:val="6DD16DF7"/>
    <w:rsid w:val="6DE02FB4"/>
    <w:rsid w:val="6DE15490"/>
    <w:rsid w:val="6E192C9E"/>
    <w:rsid w:val="6E2026D5"/>
    <w:rsid w:val="6E3A0F28"/>
    <w:rsid w:val="6E484777"/>
    <w:rsid w:val="6E514CED"/>
    <w:rsid w:val="6E592908"/>
    <w:rsid w:val="6E867F08"/>
    <w:rsid w:val="6E9248C1"/>
    <w:rsid w:val="6EB563D5"/>
    <w:rsid w:val="6EBF11C8"/>
    <w:rsid w:val="6ED92677"/>
    <w:rsid w:val="6EFF33B8"/>
    <w:rsid w:val="6F225983"/>
    <w:rsid w:val="6F2637B4"/>
    <w:rsid w:val="6F327540"/>
    <w:rsid w:val="6F5F063E"/>
    <w:rsid w:val="6F776321"/>
    <w:rsid w:val="6F7A08F8"/>
    <w:rsid w:val="6FB45735"/>
    <w:rsid w:val="6FC6134C"/>
    <w:rsid w:val="6FDD19AE"/>
    <w:rsid w:val="6FEE09EF"/>
    <w:rsid w:val="6FFC5590"/>
    <w:rsid w:val="70106BFB"/>
    <w:rsid w:val="702552C0"/>
    <w:rsid w:val="70413AE7"/>
    <w:rsid w:val="70473CF9"/>
    <w:rsid w:val="7048670A"/>
    <w:rsid w:val="704E4381"/>
    <w:rsid w:val="7055204A"/>
    <w:rsid w:val="706D1DD0"/>
    <w:rsid w:val="706E0425"/>
    <w:rsid w:val="707B3132"/>
    <w:rsid w:val="70856B87"/>
    <w:rsid w:val="70D527EE"/>
    <w:rsid w:val="70FA0726"/>
    <w:rsid w:val="71110B0E"/>
    <w:rsid w:val="71126777"/>
    <w:rsid w:val="714511F9"/>
    <w:rsid w:val="715B5300"/>
    <w:rsid w:val="71995F66"/>
    <w:rsid w:val="71A70907"/>
    <w:rsid w:val="71AF4825"/>
    <w:rsid w:val="71B374B1"/>
    <w:rsid w:val="71C82C3E"/>
    <w:rsid w:val="71D27F8A"/>
    <w:rsid w:val="7227222B"/>
    <w:rsid w:val="72553024"/>
    <w:rsid w:val="72587CBA"/>
    <w:rsid w:val="729624A5"/>
    <w:rsid w:val="729A282B"/>
    <w:rsid w:val="72BA0530"/>
    <w:rsid w:val="72C1590D"/>
    <w:rsid w:val="72CB03A1"/>
    <w:rsid w:val="72D15686"/>
    <w:rsid w:val="72DB7073"/>
    <w:rsid w:val="72E43211"/>
    <w:rsid w:val="72E43ABD"/>
    <w:rsid w:val="730E4A54"/>
    <w:rsid w:val="73122968"/>
    <w:rsid w:val="731F5D5E"/>
    <w:rsid w:val="73577C82"/>
    <w:rsid w:val="735B60E6"/>
    <w:rsid w:val="736F38F7"/>
    <w:rsid w:val="73851FDD"/>
    <w:rsid w:val="738865DB"/>
    <w:rsid w:val="739B2D3E"/>
    <w:rsid w:val="73A50094"/>
    <w:rsid w:val="73C51AD5"/>
    <w:rsid w:val="73D43285"/>
    <w:rsid w:val="73F90949"/>
    <w:rsid w:val="740E1393"/>
    <w:rsid w:val="74185330"/>
    <w:rsid w:val="741E793C"/>
    <w:rsid w:val="7432150C"/>
    <w:rsid w:val="743D017C"/>
    <w:rsid w:val="745E3944"/>
    <w:rsid w:val="748E607C"/>
    <w:rsid w:val="74A206DC"/>
    <w:rsid w:val="74C71328"/>
    <w:rsid w:val="74F00617"/>
    <w:rsid w:val="75096F5F"/>
    <w:rsid w:val="75551F42"/>
    <w:rsid w:val="75792F4D"/>
    <w:rsid w:val="75903A3F"/>
    <w:rsid w:val="75A0276E"/>
    <w:rsid w:val="75B21702"/>
    <w:rsid w:val="75C23793"/>
    <w:rsid w:val="75EC3FED"/>
    <w:rsid w:val="75EC5C91"/>
    <w:rsid w:val="761611E9"/>
    <w:rsid w:val="7635099D"/>
    <w:rsid w:val="76382078"/>
    <w:rsid w:val="76567C2C"/>
    <w:rsid w:val="76984082"/>
    <w:rsid w:val="76AA29C3"/>
    <w:rsid w:val="76B007C7"/>
    <w:rsid w:val="76BD6F04"/>
    <w:rsid w:val="76CC46E8"/>
    <w:rsid w:val="76D76E89"/>
    <w:rsid w:val="76EB4713"/>
    <w:rsid w:val="774150D6"/>
    <w:rsid w:val="775D5136"/>
    <w:rsid w:val="77762421"/>
    <w:rsid w:val="778D449C"/>
    <w:rsid w:val="779677B1"/>
    <w:rsid w:val="779D7B2A"/>
    <w:rsid w:val="77AC5F48"/>
    <w:rsid w:val="77B518A9"/>
    <w:rsid w:val="77B56B1F"/>
    <w:rsid w:val="780F09F4"/>
    <w:rsid w:val="781A0FD5"/>
    <w:rsid w:val="783C40FE"/>
    <w:rsid w:val="783E2857"/>
    <w:rsid w:val="789E37A8"/>
    <w:rsid w:val="78A90480"/>
    <w:rsid w:val="78D24E51"/>
    <w:rsid w:val="78ED5F92"/>
    <w:rsid w:val="78FE2B52"/>
    <w:rsid w:val="79052133"/>
    <w:rsid w:val="790C75D9"/>
    <w:rsid w:val="7919689E"/>
    <w:rsid w:val="79315448"/>
    <w:rsid w:val="79517CF9"/>
    <w:rsid w:val="796D1148"/>
    <w:rsid w:val="799139C7"/>
    <w:rsid w:val="79D264B9"/>
    <w:rsid w:val="79F53F55"/>
    <w:rsid w:val="7A1B3600"/>
    <w:rsid w:val="7A2A69EA"/>
    <w:rsid w:val="7A364017"/>
    <w:rsid w:val="7A50583C"/>
    <w:rsid w:val="7A56120A"/>
    <w:rsid w:val="7A5E7333"/>
    <w:rsid w:val="7A6C4291"/>
    <w:rsid w:val="7A702C9F"/>
    <w:rsid w:val="7A8265E1"/>
    <w:rsid w:val="7A8772A3"/>
    <w:rsid w:val="7AAB2D20"/>
    <w:rsid w:val="7ACF201F"/>
    <w:rsid w:val="7B301B2A"/>
    <w:rsid w:val="7B423452"/>
    <w:rsid w:val="7B433C3F"/>
    <w:rsid w:val="7B471686"/>
    <w:rsid w:val="7B526BB1"/>
    <w:rsid w:val="7B5F0185"/>
    <w:rsid w:val="7B686D42"/>
    <w:rsid w:val="7B6E2211"/>
    <w:rsid w:val="7B8261BE"/>
    <w:rsid w:val="7B841746"/>
    <w:rsid w:val="7BB67C52"/>
    <w:rsid w:val="7BBF481B"/>
    <w:rsid w:val="7BDB0F48"/>
    <w:rsid w:val="7C173C20"/>
    <w:rsid w:val="7C1A5EF5"/>
    <w:rsid w:val="7C355A63"/>
    <w:rsid w:val="7C4C01DD"/>
    <w:rsid w:val="7C4E4CD2"/>
    <w:rsid w:val="7C530F7D"/>
    <w:rsid w:val="7C6C5AC7"/>
    <w:rsid w:val="7CB06E20"/>
    <w:rsid w:val="7CC6544B"/>
    <w:rsid w:val="7CC95044"/>
    <w:rsid w:val="7CEA3A52"/>
    <w:rsid w:val="7D0239FF"/>
    <w:rsid w:val="7D154945"/>
    <w:rsid w:val="7D1B6BB6"/>
    <w:rsid w:val="7D332247"/>
    <w:rsid w:val="7D3A6899"/>
    <w:rsid w:val="7D3C0D39"/>
    <w:rsid w:val="7D4A45B8"/>
    <w:rsid w:val="7D4F7E21"/>
    <w:rsid w:val="7D5E40CD"/>
    <w:rsid w:val="7D7C465D"/>
    <w:rsid w:val="7D7E3022"/>
    <w:rsid w:val="7D8333F9"/>
    <w:rsid w:val="7D9C536E"/>
    <w:rsid w:val="7DB76FBB"/>
    <w:rsid w:val="7DBA34EC"/>
    <w:rsid w:val="7DCD56F2"/>
    <w:rsid w:val="7DD338C6"/>
    <w:rsid w:val="7DD935E9"/>
    <w:rsid w:val="7DF217F7"/>
    <w:rsid w:val="7DF528C8"/>
    <w:rsid w:val="7E012947"/>
    <w:rsid w:val="7E190142"/>
    <w:rsid w:val="7E4D7A1D"/>
    <w:rsid w:val="7E4E2C79"/>
    <w:rsid w:val="7E5B50B3"/>
    <w:rsid w:val="7E5C2854"/>
    <w:rsid w:val="7E637144"/>
    <w:rsid w:val="7EAB552B"/>
    <w:rsid w:val="7EAF6DC9"/>
    <w:rsid w:val="7ECA5D15"/>
    <w:rsid w:val="7ECF58BB"/>
    <w:rsid w:val="7F001CE7"/>
    <w:rsid w:val="7F554399"/>
    <w:rsid w:val="7F8823D8"/>
    <w:rsid w:val="7F9C7B02"/>
    <w:rsid w:val="7FB84669"/>
    <w:rsid w:val="7FD231B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locked/>
    <w:uiPriority w:val="1"/>
    <w:pPr>
      <w:keepNext/>
      <w:keepLines/>
      <w:adjustRightInd w:val="0"/>
      <w:snapToGrid w:val="0"/>
      <w:spacing w:line="500" w:lineRule="exact"/>
      <w:outlineLvl w:val="3"/>
    </w:pPr>
    <w:rPr>
      <w:rFonts w:ascii="Arial" w:hAnsi="Arial"/>
      <w:sz w:val="24"/>
      <w:szCs w:val="20"/>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Normal Indent"/>
    <w:basedOn w:val="1"/>
    <w:next w:val="1"/>
    <w:qFormat/>
    <w:locked/>
    <w:uiPriority w:val="0"/>
    <w:pPr>
      <w:ind w:firstLine="420"/>
    </w:pPr>
  </w:style>
  <w:style w:type="paragraph" w:styleId="6">
    <w:name w:val="annotation text"/>
    <w:basedOn w:val="1"/>
    <w:link w:val="35"/>
    <w:semiHidden/>
    <w:qFormat/>
    <w:uiPriority w:val="0"/>
    <w:pPr>
      <w:jc w:val="left"/>
    </w:pPr>
    <w:rPr>
      <w:kern w:val="0"/>
      <w:sz w:val="24"/>
      <w:szCs w:val="20"/>
    </w:rPr>
  </w:style>
  <w:style w:type="paragraph" w:styleId="7">
    <w:name w:val="Body Text 3"/>
    <w:basedOn w:val="1"/>
    <w:unhideWhenUsed/>
    <w:qFormat/>
    <w:locked/>
    <w:uiPriority w:val="0"/>
    <w:pPr>
      <w:spacing w:line="360" w:lineRule="auto"/>
      <w:ind w:firstLine="200" w:firstLineChars="200"/>
      <w:jc w:val="center"/>
    </w:pPr>
    <w:rPr>
      <w:rFonts w:eastAsia="黑体"/>
      <w:sz w:val="24"/>
      <w:szCs w:val="20"/>
    </w:rPr>
  </w:style>
  <w:style w:type="paragraph" w:styleId="8">
    <w:name w:val="Body Text"/>
    <w:basedOn w:val="1"/>
    <w:next w:val="1"/>
    <w:link w:val="36"/>
    <w:qFormat/>
    <w:uiPriority w:val="0"/>
    <w:pPr>
      <w:widowControl/>
      <w:snapToGrid w:val="0"/>
      <w:spacing w:before="60" w:after="160" w:line="259" w:lineRule="auto"/>
      <w:ind w:right="113"/>
    </w:pPr>
    <w:rPr>
      <w:kern w:val="0"/>
      <w:sz w:val="18"/>
      <w:szCs w:val="20"/>
    </w:rPr>
  </w:style>
  <w:style w:type="paragraph" w:styleId="9">
    <w:name w:val="Body Text Indent"/>
    <w:basedOn w:val="1"/>
    <w:next w:val="10"/>
    <w:link w:val="37"/>
    <w:qFormat/>
    <w:uiPriority w:val="0"/>
    <w:pPr>
      <w:spacing w:after="120"/>
      <w:ind w:left="420" w:leftChars="200"/>
    </w:pPr>
    <w:rPr>
      <w:kern w:val="0"/>
      <w:sz w:val="24"/>
      <w:szCs w:val="20"/>
    </w:rPr>
  </w:style>
  <w:style w:type="paragraph" w:styleId="10">
    <w:name w:val="header"/>
    <w:basedOn w:val="1"/>
    <w:next w:val="1"/>
    <w:link w:val="34"/>
    <w:qFormat/>
    <w:uiPriority w:val="0"/>
    <w:pPr>
      <w:pBdr>
        <w:bottom w:val="single" w:color="auto" w:sz="6" w:space="1"/>
      </w:pBdr>
      <w:tabs>
        <w:tab w:val="center" w:pos="4153"/>
        <w:tab w:val="right" w:pos="8306"/>
      </w:tabs>
      <w:snapToGrid w:val="0"/>
      <w:jc w:val="center"/>
    </w:pPr>
    <w:rPr>
      <w:kern w:val="0"/>
      <w:sz w:val="18"/>
      <w:szCs w:val="20"/>
    </w:rPr>
  </w:style>
  <w:style w:type="paragraph" w:styleId="11">
    <w:name w:val="Plain Text"/>
    <w:basedOn w:val="1"/>
    <w:next w:val="1"/>
    <w:qFormat/>
    <w:locked/>
    <w:uiPriority w:val="0"/>
    <w:rPr>
      <w:rFonts w:ascii="宋体" w:hAnsi="Courier New"/>
    </w:rPr>
  </w:style>
  <w:style w:type="paragraph" w:styleId="12">
    <w:name w:val="Date"/>
    <w:basedOn w:val="1"/>
    <w:next w:val="1"/>
    <w:link w:val="38"/>
    <w:qFormat/>
    <w:uiPriority w:val="0"/>
    <w:pPr>
      <w:ind w:left="100" w:leftChars="2500"/>
    </w:pPr>
    <w:rPr>
      <w:kern w:val="0"/>
      <w:sz w:val="24"/>
      <w:szCs w:val="20"/>
    </w:rPr>
  </w:style>
  <w:style w:type="paragraph" w:styleId="13">
    <w:name w:val="Body Text Indent 2"/>
    <w:basedOn w:val="1"/>
    <w:qFormat/>
    <w:locked/>
    <w:uiPriority w:val="0"/>
    <w:pPr>
      <w:spacing w:after="120" w:line="480" w:lineRule="auto"/>
      <w:ind w:left="420" w:leftChars="200"/>
    </w:pPr>
  </w:style>
  <w:style w:type="paragraph" w:styleId="14">
    <w:name w:val="Balloon Text"/>
    <w:basedOn w:val="1"/>
    <w:link w:val="39"/>
    <w:semiHidden/>
    <w:qFormat/>
    <w:uiPriority w:val="0"/>
    <w:rPr>
      <w:kern w:val="0"/>
      <w:sz w:val="18"/>
      <w:szCs w:val="20"/>
    </w:rPr>
  </w:style>
  <w:style w:type="paragraph" w:styleId="15">
    <w:name w:val="footer"/>
    <w:basedOn w:val="1"/>
    <w:link w:val="40"/>
    <w:qFormat/>
    <w:uiPriority w:val="99"/>
    <w:pPr>
      <w:tabs>
        <w:tab w:val="center" w:pos="4153"/>
        <w:tab w:val="right" w:pos="8306"/>
      </w:tabs>
      <w:snapToGrid w:val="0"/>
      <w:jc w:val="left"/>
    </w:pPr>
    <w:rPr>
      <w:kern w:val="0"/>
      <w:sz w:val="18"/>
      <w:szCs w:val="20"/>
    </w:rPr>
  </w:style>
  <w:style w:type="paragraph" w:styleId="16">
    <w:name w:val="index heading"/>
    <w:basedOn w:val="1"/>
    <w:next w:val="17"/>
    <w:qFormat/>
    <w:locked/>
    <w:uiPriority w:val="0"/>
    <w:rPr>
      <w:rFonts w:ascii="Arial" w:hAnsi="Arial"/>
      <w:b/>
    </w:rPr>
  </w:style>
  <w:style w:type="paragraph" w:styleId="17">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18">
    <w:name w:val="List"/>
    <w:basedOn w:val="1"/>
    <w:qFormat/>
    <w:locked/>
    <w:uiPriority w:val="99"/>
    <w:pPr>
      <w:spacing w:line="280" w:lineRule="exact"/>
      <w:jc w:val="center"/>
    </w:pPr>
    <w:rPr>
      <w:rFonts w:ascii="宋体"/>
      <w:kern w:val="24"/>
    </w:rPr>
  </w:style>
  <w:style w:type="paragraph" w:styleId="19">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6"/>
    <w:next w:val="6"/>
    <w:link w:val="42"/>
    <w:semiHidden/>
    <w:qFormat/>
    <w:uiPriority w:val="0"/>
    <w:rPr>
      <w:b/>
    </w:rPr>
  </w:style>
  <w:style w:type="paragraph" w:styleId="21">
    <w:name w:val="Body Text First Indent"/>
    <w:basedOn w:val="8"/>
    <w:qFormat/>
    <w:locked/>
    <w:uiPriority w:val="0"/>
    <w:pPr>
      <w:spacing w:after="120" w:line="240" w:lineRule="auto"/>
      <w:ind w:firstLine="420" w:firstLineChars="100"/>
    </w:pPr>
    <w:rPr>
      <w:sz w:val="21"/>
      <w:szCs w:val="24"/>
    </w:rPr>
  </w:style>
  <w:style w:type="paragraph" w:styleId="22">
    <w:name w:val="Body Text First Indent 2"/>
    <w:basedOn w:val="1"/>
    <w:next w:val="21"/>
    <w:qFormat/>
    <w:locked/>
    <w:uiPriority w:val="0"/>
    <w:pPr>
      <w:ind w:firstLine="42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locked/>
    <w:uiPriority w:val="0"/>
  </w:style>
  <w:style w:type="character" w:styleId="27">
    <w:name w:val="annotation reference"/>
    <w:semiHidden/>
    <w:qFormat/>
    <w:uiPriority w:val="0"/>
    <w:rPr>
      <w:sz w:val="21"/>
    </w:rPr>
  </w:style>
  <w:style w:type="paragraph" w:customStyle="1" w:styleId="28">
    <w:name w:val="正文首行缩进 21"/>
    <w:basedOn w:val="1"/>
    <w:qFormat/>
    <w:uiPriority w:val="0"/>
    <w:pPr>
      <w:ind w:firstLine="420"/>
    </w:pPr>
    <w:rPr>
      <w:kern w:val="0"/>
    </w:rPr>
  </w:style>
  <w:style w:type="paragraph" w:customStyle="1" w:styleId="29">
    <w:name w:val="表格"/>
    <w:basedOn w:val="5"/>
    <w:next w:val="1"/>
    <w:link w:val="45"/>
    <w:qFormat/>
    <w:uiPriority w:val="0"/>
    <w:pPr>
      <w:adjustRightInd w:val="0"/>
      <w:snapToGrid w:val="0"/>
      <w:spacing w:beforeLines="10" w:afterLines="10" w:line="259" w:lineRule="auto"/>
      <w:jc w:val="center"/>
    </w:pPr>
    <w:rPr>
      <w:rFonts w:ascii="宋体"/>
      <w:kern w:val="0"/>
      <w:szCs w:val="20"/>
    </w:rPr>
  </w:style>
  <w:style w:type="paragraph" w:customStyle="1" w:styleId="3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1">
    <w:name w:val="文本"/>
    <w:basedOn w:val="1"/>
    <w:next w:val="5"/>
    <w:qFormat/>
    <w:uiPriority w:val="0"/>
    <w:pPr>
      <w:widowControl/>
      <w:spacing w:line="360" w:lineRule="auto"/>
      <w:ind w:firstLine="1440" w:firstLineChars="200"/>
    </w:pPr>
    <w:rPr>
      <w:color w:val="000000"/>
      <w:kern w:val="0"/>
      <w:sz w:val="24"/>
    </w:rPr>
  </w:style>
  <w:style w:type="paragraph" w:customStyle="1" w:styleId="32">
    <w:name w:val="文本正文"/>
    <w:basedOn w:val="21"/>
    <w:qFormat/>
    <w:uiPriority w:val="39"/>
    <w:pPr>
      <w:autoSpaceDE w:val="0"/>
      <w:autoSpaceDN w:val="0"/>
      <w:adjustRightInd w:val="0"/>
      <w:spacing w:line="360" w:lineRule="auto"/>
      <w:ind w:firstLine="510"/>
      <w:textAlignment w:val="baseline"/>
    </w:pPr>
    <w:rPr>
      <w:rFonts w:ascii="宋体" w:hAnsi="宋体"/>
      <w:snapToGrid w:val="0"/>
      <w:color w:val="000000"/>
      <w:spacing w:val="4"/>
      <w:kern w:val="18"/>
      <w:sz w:val="24"/>
    </w:rPr>
  </w:style>
  <w:style w:type="paragraph" w:customStyle="1" w:styleId="33">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4">
    <w:name w:val="页眉 Char"/>
    <w:link w:val="10"/>
    <w:qFormat/>
    <w:locked/>
    <w:uiPriority w:val="0"/>
    <w:rPr>
      <w:sz w:val="18"/>
    </w:rPr>
  </w:style>
  <w:style w:type="character" w:customStyle="1" w:styleId="35">
    <w:name w:val="批注文字 Char"/>
    <w:link w:val="6"/>
    <w:qFormat/>
    <w:locked/>
    <w:uiPriority w:val="0"/>
    <w:rPr>
      <w:rFonts w:ascii="Times New Roman" w:hAnsi="Times New Roman" w:eastAsia="宋体"/>
      <w:sz w:val="24"/>
    </w:rPr>
  </w:style>
  <w:style w:type="character" w:customStyle="1" w:styleId="36">
    <w:name w:val="正文文本 Char"/>
    <w:link w:val="8"/>
    <w:qFormat/>
    <w:locked/>
    <w:uiPriority w:val="0"/>
    <w:rPr>
      <w:sz w:val="18"/>
    </w:rPr>
  </w:style>
  <w:style w:type="character" w:customStyle="1" w:styleId="37">
    <w:name w:val="正文文本缩进 Char"/>
    <w:link w:val="9"/>
    <w:semiHidden/>
    <w:qFormat/>
    <w:locked/>
    <w:uiPriority w:val="0"/>
    <w:rPr>
      <w:rFonts w:ascii="Times New Roman" w:hAnsi="Times New Roman" w:eastAsia="宋体"/>
      <w:sz w:val="24"/>
    </w:rPr>
  </w:style>
  <w:style w:type="character" w:customStyle="1" w:styleId="38">
    <w:name w:val="日期 Char"/>
    <w:link w:val="12"/>
    <w:qFormat/>
    <w:locked/>
    <w:uiPriority w:val="0"/>
    <w:rPr>
      <w:rFonts w:ascii="Times New Roman" w:hAnsi="Times New Roman" w:eastAsia="宋体"/>
      <w:sz w:val="24"/>
    </w:rPr>
  </w:style>
  <w:style w:type="character" w:customStyle="1" w:styleId="39">
    <w:name w:val="批注框文本 Char"/>
    <w:link w:val="14"/>
    <w:semiHidden/>
    <w:qFormat/>
    <w:locked/>
    <w:uiPriority w:val="0"/>
    <w:rPr>
      <w:rFonts w:ascii="Times New Roman" w:hAnsi="Times New Roman" w:eastAsia="宋体"/>
      <w:sz w:val="18"/>
    </w:rPr>
  </w:style>
  <w:style w:type="character" w:customStyle="1" w:styleId="40">
    <w:name w:val="页脚 Char"/>
    <w:link w:val="15"/>
    <w:qFormat/>
    <w:locked/>
    <w:uiPriority w:val="99"/>
    <w:rPr>
      <w:sz w:val="18"/>
    </w:rPr>
  </w:style>
  <w:style w:type="character" w:customStyle="1" w:styleId="41">
    <w:name w:val="普通(网站) Char"/>
    <w:link w:val="19"/>
    <w:qFormat/>
    <w:locked/>
    <w:uiPriority w:val="0"/>
    <w:rPr>
      <w:rFonts w:ascii="宋体" w:hAnsi="宋体" w:eastAsia="宋体"/>
      <w:sz w:val="24"/>
    </w:rPr>
  </w:style>
  <w:style w:type="character" w:customStyle="1" w:styleId="42">
    <w:name w:val="批注主题 Char"/>
    <w:link w:val="20"/>
    <w:semiHidden/>
    <w:qFormat/>
    <w:locked/>
    <w:uiPriority w:val="0"/>
    <w:rPr>
      <w:rFonts w:ascii="Times New Roman" w:hAnsi="Times New Roman" w:eastAsia="宋体"/>
      <w:b/>
      <w:kern w:val="2"/>
      <w:sz w:val="24"/>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正文文本 字符1"/>
    <w:semiHidden/>
    <w:qFormat/>
    <w:uiPriority w:val="0"/>
    <w:rPr>
      <w:rFonts w:ascii="Times New Roman" w:hAnsi="Times New Roman" w:eastAsia="宋体"/>
      <w:sz w:val="24"/>
    </w:rPr>
  </w:style>
  <w:style w:type="character" w:customStyle="1" w:styleId="45">
    <w:name w:val="表格 Char"/>
    <w:link w:val="29"/>
    <w:qFormat/>
    <w:locked/>
    <w:uiPriority w:val="0"/>
    <w:rPr>
      <w:rFonts w:ascii="宋体"/>
      <w:sz w:val="21"/>
    </w:rPr>
  </w:style>
  <w:style w:type="character" w:customStyle="1" w:styleId="46">
    <w:name w:val="日期 字符"/>
    <w:semiHidden/>
    <w:qFormat/>
    <w:uiPriority w:val="0"/>
    <w:rPr>
      <w:rFonts w:ascii="Times New Roman" w:hAnsi="Times New Roman" w:eastAsia="宋体"/>
      <w:sz w:val="24"/>
    </w:rPr>
  </w:style>
  <w:style w:type="character" w:customStyle="1" w:styleId="47">
    <w:name w:val="页脚 字符"/>
    <w:basedOn w:val="25"/>
    <w:qFormat/>
    <w:uiPriority w:val="99"/>
  </w:style>
  <w:style w:type="paragraph" w:customStyle="1" w:styleId="48">
    <w:name w:val="F正文"/>
    <w:basedOn w:val="1"/>
    <w:qFormat/>
    <w:uiPriority w:val="0"/>
    <w:pPr>
      <w:spacing w:line="360" w:lineRule="auto"/>
      <w:ind w:firstLine="200" w:firstLineChars="200"/>
    </w:pPr>
    <w:rPr>
      <w:color w:val="000000"/>
      <w:kern w:val="0"/>
      <w:sz w:val="24"/>
    </w:rPr>
  </w:style>
  <w:style w:type="paragraph" w:customStyle="1" w:styleId="49">
    <w:name w:val="制表格"/>
    <w:basedOn w:val="1"/>
    <w:qFormat/>
    <w:uiPriority w:val="0"/>
    <w:pPr>
      <w:jc w:val="center"/>
    </w:pPr>
    <w:rPr>
      <w:snapToGrid w:val="0"/>
      <w:kern w:val="0"/>
      <w:szCs w:val="28"/>
    </w:rPr>
  </w:style>
  <w:style w:type="paragraph" w:customStyle="1" w:styleId="50">
    <w:name w:val="表格式"/>
    <w:basedOn w:val="18"/>
    <w:qFormat/>
    <w:uiPriority w:val="0"/>
    <w:pPr>
      <w:spacing w:before="156" w:beforeLines="50" w:after="156" w:afterLines="50" w:line="240" w:lineRule="exact"/>
    </w:pPr>
    <w:rPr>
      <w:rFonts w:ascii="Times New Roman"/>
      <w:kern w:val="2"/>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2">
    <w:name w:val="List Paragraph"/>
    <w:basedOn w:val="1"/>
    <w:qFormat/>
    <w:uiPriority w:val="0"/>
    <w:pPr>
      <w:ind w:firstLine="420" w:firstLineChars="200"/>
    </w:pPr>
  </w:style>
  <w:style w:type="paragraph" w:customStyle="1" w:styleId="53">
    <w:name w:val="文本内容"/>
    <w:basedOn w:val="1"/>
    <w:qFormat/>
    <w:uiPriority w:val="0"/>
    <w:pPr>
      <w:widowControl/>
      <w:adjustRightInd w:val="0"/>
      <w:snapToGrid w:val="0"/>
      <w:spacing w:line="360" w:lineRule="auto"/>
      <w:ind w:firstLine="546" w:firstLineChars="200"/>
      <w:jc w:val="left"/>
    </w:pPr>
    <w:rPr>
      <w:sz w:val="28"/>
      <w:szCs w:val="20"/>
    </w:rPr>
  </w:style>
  <w:style w:type="paragraph" w:customStyle="1" w:styleId="5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5">
    <w:name w:val="Table Paragraph"/>
    <w:basedOn w:val="1"/>
    <w:qFormat/>
    <w:uiPriority w:val="1"/>
    <w:rPr>
      <w:rFonts w:eastAsia="Times New Roman"/>
      <w:lang w:eastAsia="en-US" w:bidi="en-US"/>
    </w:rPr>
  </w:style>
  <w:style w:type="paragraph" w:customStyle="1" w:styleId="56">
    <w:name w:val="表标题"/>
    <w:basedOn w:val="1"/>
    <w:qFormat/>
    <w:uiPriority w:val="0"/>
    <w:pPr>
      <w:jc w:val="center"/>
    </w:pPr>
    <w:rPr>
      <w:b/>
    </w:rPr>
  </w:style>
  <w:style w:type="paragraph" w:customStyle="1" w:styleId="57">
    <w:name w:val="报告书表格"/>
    <w:basedOn w:val="1"/>
    <w:qFormat/>
    <w:uiPriority w:val="0"/>
    <w:pPr>
      <w:adjustRightInd w:val="0"/>
      <w:spacing w:before="60" w:after="60" w:line="240" w:lineRule="atLeast"/>
      <w:jc w:val="center"/>
      <w:textAlignment w:val="baseline"/>
    </w:pPr>
    <w:rPr>
      <w:kern w:val="0"/>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WPSOffice手动目录 1"/>
    <w:qFormat/>
    <w:uiPriority w:val="0"/>
    <w:rPr>
      <w:rFonts w:ascii="Times New Roman" w:hAnsi="Times New Roman" w:eastAsia="宋体" w:cs="Times New Roman"/>
      <w:lang w:val="en-US" w:eastAsia="zh-CN" w:bidi="ar-SA"/>
    </w:rPr>
  </w:style>
  <w:style w:type="paragraph" w:customStyle="1" w:styleId="60">
    <w:name w:val="表格表头"/>
    <w:basedOn w:val="1"/>
    <w:qFormat/>
    <w:uiPriority w:val="0"/>
    <w:pPr>
      <w:widowControl/>
      <w:snapToGrid w:val="0"/>
      <w:jc w:val="center"/>
    </w:pPr>
    <w:rPr>
      <w:b/>
      <w:snapToGrid w:val="0"/>
      <w:kern w:val="0"/>
      <w:sz w:val="24"/>
      <w:lang w:val="zh-CN"/>
    </w:rPr>
  </w:style>
  <w:style w:type="paragraph" w:customStyle="1" w:styleId="61">
    <w:name w:val="l报告正文"/>
    <w:basedOn w:val="1"/>
    <w:qFormat/>
    <w:uiPriority w:val="0"/>
    <w:pPr>
      <w:snapToGrid w:val="0"/>
      <w:spacing w:line="360" w:lineRule="auto"/>
      <w:ind w:firstLine="420" w:firstLineChars="200"/>
    </w:pPr>
    <w:rPr>
      <w:rFonts w:hint="eastAsia"/>
      <w:sz w:val="24"/>
    </w:rPr>
  </w:style>
  <w:style w:type="paragraph" w:customStyle="1" w:styleId="62">
    <w:name w:val="报告正文"/>
    <w:basedOn w:val="1"/>
    <w:qFormat/>
    <w:uiPriority w:val="0"/>
    <w:pPr>
      <w:spacing w:line="360" w:lineRule="auto"/>
      <w:ind w:firstLine="480" w:firstLineChars="200"/>
    </w:pPr>
    <w:rPr>
      <w:color w:val="000000"/>
      <w:kern w:val="0"/>
      <w:sz w:val="24"/>
      <w:szCs w:val="20"/>
    </w:rPr>
  </w:style>
  <w:style w:type="paragraph" w:customStyle="1" w:styleId="63">
    <w:name w:val="表题"/>
    <w:basedOn w:val="1"/>
    <w:qFormat/>
    <w:uiPriority w:val="0"/>
    <w:pPr>
      <w:snapToGrid w:val="0"/>
      <w:jc w:val="center"/>
    </w:pPr>
    <w:rPr>
      <w:rFonts w:ascii="Calibri" w:hAnsi="Calibri" w:eastAsia="黑体"/>
      <w:kern w:val="0"/>
      <w:sz w:val="20"/>
    </w:rPr>
  </w:style>
  <w:style w:type="paragraph" w:customStyle="1" w:styleId="64">
    <w:name w:val="样式8"/>
    <w:basedOn w:val="1"/>
    <w:qFormat/>
    <w:uiPriority w:val="0"/>
    <w:pPr>
      <w:adjustRightInd w:val="0"/>
      <w:snapToGrid w:val="0"/>
      <w:jc w:val="center"/>
    </w:pPr>
    <w:rPr>
      <w:rFonts w:ascii="仿宋" w:hAnsi="仿宋" w:eastAsia="仿宋"/>
    </w:rPr>
  </w:style>
  <w:style w:type="character" w:customStyle="1" w:styleId="65">
    <w:name w:val="font21"/>
    <w:basedOn w:val="25"/>
    <w:qFormat/>
    <w:uiPriority w:val="0"/>
    <w:rPr>
      <w:rFonts w:hint="eastAsia" w:ascii="宋体" w:hAnsi="宋体" w:eastAsia="宋体" w:cs="宋体"/>
      <w:color w:val="000000"/>
      <w:sz w:val="21"/>
      <w:szCs w:val="21"/>
      <w:u w:val="none"/>
    </w:rPr>
  </w:style>
  <w:style w:type="character" w:customStyle="1" w:styleId="66">
    <w:name w:val="标题 2 Char Char"/>
    <w:qFormat/>
    <w:uiPriority w:val="0"/>
    <w:rPr>
      <w:rFonts w:ascii="Arial" w:hAnsi="Arial" w:eastAsia="黑体"/>
      <w:b/>
      <w:bCs/>
      <w:kern w:val="2"/>
      <w:sz w:val="32"/>
      <w:szCs w:val="32"/>
      <w:lang w:val="en-US" w:eastAsia="zh-CN" w:bidi="ar-SA"/>
    </w:rPr>
  </w:style>
  <w:style w:type="character" w:customStyle="1" w:styleId="67">
    <w:name w:val="NormalCharacter"/>
    <w:qFormat/>
    <w:uiPriority w:val="0"/>
  </w:style>
  <w:style w:type="table" w:customStyle="1" w:styleId="68">
    <w:name w:val="Table Normal"/>
    <w:semiHidden/>
    <w:unhideWhenUsed/>
    <w:qFormat/>
    <w:uiPriority w:val="0"/>
    <w:tblPr>
      <w:tblCellMar>
        <w:top w:w="0" w:type="dxa"/>
        <w:left w:w="0" w:type="dxa"/>
        <w:bottom w:w="0" w:type="dxa"/>
        <w:right w:w="0" w:type="dxa"/>
      </w:tblCellMar>
    </w:tblPr>
  </w:style>
  <w:style w:type="character" w:customStyle="1" w:styleId="69">
    <w:name w:val="font31"/>
    <w:basedOn w:val="25"/>
    <w:qFormat/>
    <w:uiPriority w:val="0"/>
    <w:rPr>
      <w:rFonts w:hint="eastAsia" w:ascii="宋体" w:hAnsi="宋体" w:eastAsia="宋体" w:cs="宋体"/>
      <w:color w:val="000000"/>
      <w:sz w:val="21"/>
      <w:szCs w:val="21"/>
      <w:u w:val="none"/>
    </w:rPr>
  </w:style>
  <w:style w:type="paragraph" w:customStyle="1" w:styleId="70">
    <w:name w:val="正文啊"/>
    <w:next w:val="1"/>
    <w:qFormat/>
    <w:uiPriority w:val="0"/>
    <w:pPr>
      <w:widowControl w:val="0"/>
      <w:adjustRightInd w:val="0"/>
      <w:spacing w:line="360" w:lineRule="auto"/>
      <w:ind w:firstLine="482" w:firstLineChars="200"/>
    </w:pPr>
    <w:rPr>
      <w:rFonts w:ascii="Times New Roman" w:hAnsi="Times New Roman" w:eastAsia="宋体" w:cs="Times New Roman"/>
      <w:sz w:val="24"/>
      <w:lang w:val="en-US" w:eastAsia="zh-CN" w:bidi="ar-SA"/>
    </w:rPr>
  </w:style>
  <w:style w:type="paragraph" w:customStyle="1" w:styleId="71">
    <w:name w:val="正文内容"/>
    <w:qFormat/>
    <w:uiPriority w:val="0"/>
    <w:pPr>
      <w:widowControl w:val="0"/>
      <w:snapToGrid w:val="0"/>
      <w:spacing w:before="60" w:after="60" w:line="44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72">
    <w:name w:val="表格内容"/>
    <w:basedOn w:val="73"/>
    <w:next w:val="1"/>
    <w:link w:val="75"/>
    <w:qFormat/>
    <w:uiPriority w:val="0"/>
    <w:pPr>
      <w:snapToGrid w:val="0"/>
      <w:ind w:firstLine="0" w:firstLineChars="0"/>
      <w:textAlignment w:val="center"/>
    </w:pPr>
    <w:rPr>
      <w:color w:val="000000"/>
      <w:kern w:val="0"/>
      <w:szCs w:val="21"/>
    </w:rPr>
  </w:style>
  <w:style w:type="paragraph" w:customStyle="1" w:styleId="73">
    <w:name w:val="表格标题"/>
    <w:basedOn w:val="74"/>
    <w:qFormat/>
    <w:uiPriority w:val="0"/>
    <w:pPr>
      <w:spacing w:line="240" w:lineRule="auto"/>
      <w:jc w:val="center"/>
    </w:pPr>
    <w:rPr>
      <w:b/>
      <w:sz w:val="21"/>
    </w:rPr>
  </w:style>
  <w:style w:type="paragraph" w:customStyle="1" w:styleId="74">
    <w:name w:val="方案正文"/>
    <w:basedOn w:val="1"/>
    <w:qFormat/>
    <w:uiPriority w:val="0"/>
    <w:pPr>
      <w:spacing w:line="360" w:lineRule="auto"/>
      <w:ind w:firstLine="200" w:firstLineChars="200"/>
    </w:pPr>
    <w:rPr>
      <w:sz w:val="24"/>
    </w:rPr>
  </w:style>
  <w:style w:type="character" w:customStyle="1" w:styleId="75">
    <w:name w:val="表格内容 Char"/>
    <w:link w:val="72"/>
    <w:qFormat/>
    <w:uiPriority w:val="0"/>
    <w:rPr>
      <w:rFonts w:ascii="Times New Roman" w:hAnsi="Times New Roman" w:cs="宋体"/>
      <w:color w:val="000000"/>
      <w:kern w:val="0"/>
      <w:sz w:val="21"/>
      <w:szCs w:val="21"/>
      <w:u w:val="none"/>
      <w:lang w:bidi="ar"/>
    </w:rPr>
  </w:style>
  <w:style w:type="paragraph" w:customStyle="1" w:styleId="76">
    <w:name w:val="三级标题"/>
    <w:basedOn w:val="77"/>
    <w:qFormat/>
    <w:uiPriority w:val="0"/>
    <w:pPr>
      <w:autoSpaceDE w:val="0"/>
      <w:autoSpaceDN w:val="0"/>
      <w:adjustRightInd w:val="0"/>
      <w:spacing w:before="120" w:after="120" w:line="440" w:lineRule="exact"/>
    </w:pPr>
    <w:rPr>
      <w:rFonts w:ascii="黑体" w:hAnsi="ˎ̥" w:eastAsia="黑体" w:cs="宋体"/>
      <w:sz w:val="28"/>
      <w:szCs w:val="28"/>
    </w:rPr>
  </w:style>
  <w:style w:type="paragraph" w:customStyle="1" w:styleId="77">
    <w:name w:val="一级标题"/>
    <w:basedOn w:val="1"/>
    <w:qFormat/>
    <w:uiPriority w:val="0"/>
    <w:pPr>
      <w:jc w:val="left"/>
    </w:pPr>
    <w:rPr>
      <w:b/>
      <w:sz w:val="30"/>
    </w:rPr>
  </w:style>
  <w:style w:type="paragraph" w:customStyle="1" w:styleId="78">
    <w:name w:val="样式 标题 1 + 四号 段前: 0 磅 段后: 0 磅 行距: 1.5 倍行距"/>
    <w:basedOn w:val="79"/>
    <w:next w:val="32"/>
    <w:qFormat/>
    <w:uiPriority w:val="0"/>
    <w:pPr>
      <w:spacing w:line="360" w:lineRule="auto"/>
      <w:jc w:val="center"/>
    </w:pPr>
    <w:rPr>
      <w:rFonts w:hAnsi="黑体" w:eastAsia="宋体"/>
      <w:sz w:val="21"/>
    </w:rPr>
  </w:style>
  <w:style w:type="paragraph" w:customStyle="1" w:styleId="79">
    <w:name w:val="1正文"/>
    <w:basedOn w:val="1"/>
    <w:qFormat/>
    <w:uiPriority w:val="0"/>
    <w:pPr>
      <w:spacing w:line="500" w:lineRule="exact"/>
      <w:ind w:firstLine="588" w:firstLineChars="196"/>
    </w:pPr>
    <w:rPr>
      <w:rFonts w:eastAsia="楷体_GB2312"/>
      <w:sz w:val="30"/>
      <w:szCs w:val="30"/>
    </w:rPr>
  </w:style>
  <w:style w:type="paragraph" w:customStyle="1" w:styleId="80">
    <w:name w:val="正文环评"/>
    <w:basedOn w:val="1"/>
    <w:qFormat/>
    <w:uiPriority w:val="0"/>
    <w:rPr>
      <w:szCs w:val="22"/>
    </w:rPr>
  </w:style>
  <w:style w:type="paragraph" w:customStyle="1" w:styleId="81">
    <w:name w:val="Table Text"/>
    <w:basedOn w:val="1"/>
    <w:semiHidden/>
    <w:qFormat/>
    <w:uiPriority w:val="0"/>
    <w:rPr>
      <w:rFonts w:ascii="宋体" w:hAnsi="宋体" w:cs="宋体"/>
      <w:sz w:val="20"/>
      <w:szCs w:val="20"/>
      <w:lang w:eastAsia="en-US"/>
    </w:rPr>
  </w:style>
  <w:style w:type="paragraph" w:customStyle="1" w:styleId="82">
    <w:name w:val="wy正文"/>
    <w:basedOn w:val="1"/>
    <w:qFormat/>
    <w:uiPriority w:val="0"/>
    <w:rPr>
      <w:kern w:val="0"/>
    </w:rPr>
  </w:style>
  <w:style w:type="paragraph" w:customStyle="1" w:styleId="83">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84">
    <w:name w:val="ggzbt011"/>
    <w:basedOn w:val="25"/>
    <w:qFormat/>
    <w:uiPriority w:val="0"/>
  </w:style>
  <w:style w:type="paragraph" w:customStyle="1" w:styleId="85">
    <w:name w:val="Default"/>
    <w:basedOn w:val="86"/>
    <w:next w:val="8"/>
    <w:qFormat/>
    <w:uiPriority w:val="0"/>
    <w:pPr>
      <w:autoSpaceDE w:val="0"/>
      <w:autoSpaceDN w:val="0"/>
    </w:pPr>
    <w:rPr>
      <w:rFonts w:hAnsi="宋体" w:cs="宋体"/>
      <w:color w:val="000000"/>
      <w:sz w:val="24"/>
      <w:szCs w:val="24"/>
    </w:rPr>
  </w:style>
  <w:style w:type="paragraph" w:customStyle="1" w:styleId="86">
    <w:name w:val="纯文本1"/>
    <w:basedOn w:val="1"/>
    <w:qFormat/>
    <w:uiPriority w:val="0"/>
    <w:pPr>
      <w:adjustRightInd w:val="0"/>
    </w:pPr>
    <w:rPr>
      <w:rFonts w:ascii="宋体" w:hAnsi="Courier New"/>
      <w:szCs w:val="20"/>
    </w:rPr>
  </w:style>
  <w:style w:type="paragraph" w:customStyle="1" w:styleId="87">
    <w:name w:val="表格文字"/>
    <w:basedOn w:val="5"/>
    <w:qFormat/>
    <w:uiPriority w:val="0"/>
    <w:pPr>
      <w:ind w:firstLine="0"/>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Microsoft_Visio_2003-2010___4.vsd"/><Relationship Id="rId17" Type="http://schemas.openxmlformats.org/officeDocument/2006/relationships/image" Target="media/image4.emf"/><Relationship Id="rId16" Type="http://schemas.openxmlformats.org/officeDocument/2006/relationships/oleObject" Target="embeddings/Microsoft_Visio_2003-2010___3.vsd"/><Relationship Id="rId15" Type="http://schemas.openxmlformats.org/officeDocument/2006/relationships/image" Target="media/image3.emf"/><Relationship Id="rId14" Type="http://schemas.openxmlformats.org/officeDocument/2006/relationships/oleObject" Target="embeddings/Microsoft_Visio_2003-2010___2.vsd"/><Relationship Id="rId13" Type="http://schemas.openxmlformats.org/officeDocument/2006/relationships/image" Target="media/image2.emf"/><Relationship Id="rId12" Type="http://schemas.openxmlformats.org/officeDocument/2006/relationships/oleObject" Target="embeddings/Microsoft_Visio_2003-2010___1.vsd"/><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5ef21849-677c-4749-a187-00e15ae68d30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2DCAAA5B</paraID>
      <start>70</start>
      <end>71</end>
      <status>ignored</status>
      <modifiedWord/>
      <trackRevisions>false</trackRevisions>
    </reviewItem>
    <reviewItem>
      <errorID>86b7101d-3b31-4608-97f9-f91a5dfbd6a6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7DA69411</paraID>
      <start>59</start>
      <end>60</end>
      <status>ignored</status>
      <modifiedWord/>
      <trackRevisions>false</trackRevisions>
    </reviewItem>
    <reviewItem>
      <errorID>fb00afe3-3457-43cc-9838-5f116d6d5fdd</errorID>
      <errorWord>消音</errorWord>
      <group>L1_Word</group>
      <groupName>字词问题</groupName>
      <ability>L2_Typo</ability>
      <abilityName>字词错误</abilityName>
      <candidateList>
        <item>消声</item>
      </candidateList>
      <explain/>
      <paraID>2EEA721B</paraID>
      <start>36</start>
      <end>38</end>
      <status>ignored</status>
      <modifiedWord/>
      <trackRevisions>false</trackRevisions>
    </reviewItem>
    <reviewItem>
      <errorID>e4ceb3bf-a2fd-4ad5-8fb4-02f6b62941b1</errorID>
      <errorWord>条中</errorWord>
      <group>L1_Word</group>
      <groupName>字词问题</groupName>
      <ability>L2_Typo</ability>
      <abilityName>字词错误</abilityName>
      <candidateList>
        <item>条</item>
      </candidateList>
      <explain/>
      <paraID>526A66F9</paraID>
      <start>94</start>
      <end>96</end>
      <status>ignored</status>
      <modifiedWord/>
      <trackRevisions>false</trackRevisions>
    </reviewItem>
    <reviewItem>
      <errorID>9fcb66b7-26ca-4392-9aea-c7193598969b</errorID>
      <errorWord>胶粘剂</errorWord>
      <group>L1_Word</group>
      <groupName>字词问题</groupName>
      <ability>L2_Typo</ability>
      <abilityName>字词错误</abilityName>
      <candidateList>
        <item>胶黏剂</item>
      </candidateList>
      <explain/>
      <paraID>5C0440CE</paraID>
      <start>124</start>
      <end>127</end>
      <status>ignored</status>
      <modifiedWord/>
      <trackRevisions>false</trackRevisions>
    </reviewItem>
    <reviewItem>
      <errorID>1b47b65e-5650-43e1-94e4-05ebab21383f</errorID>
      <errorWord>各</errorWord>
      <group>L1_Word</group>
      <groupName>字词问题</groupName>
      <ability>L2_Typo</ability>
      <abilityName>字词错误</abilityName>
      <candidateList>
        <item>各种</item>
      </candidateList>
      <explain/>
      <paraID>112EDC45</paraID>
      <start>47</start>
      <end>48</end>
      <status>unmodified</status>
      <modifiedWord/>
      <trackRevisions>false</trackRevisions>
    </reviewItem>
    <reviewItem>
      <errorID>d1e4ac0c-1b24-4c54-bb82-a8de44572860</errorID>
      <errorWord>各</errorWord>
      <group>L1_Word</group>
      <groupName>字词问题</groupName>
      <ability>L2_Typo</ability>
      <abilityName>字词错误</abilityName>
      <candidateList>
        <item>各项</item>
      </candidateList>
      <explain/>
      <paraID>45CDBE25</paraID>
      <start>114</start>
      <end>115</end>
      <status>unmodified</status>
      <modifiedWord/>
      <trackRevisions>false</trackRevisions>
    </reviewItem>
    <reviewItem>
      <errorID>8d0e6f44-745a-4b01-8516-4840381048b0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52A9BA30</paraID>
      <start>106</start>
      <end>107</end>
      <status>ignored</status>
      <modifiedWord/>
      <trackRevisions>false</trackRevisions>
    </reviewItem>
    <reviewItem>
      <errorID>c82506f0-b69a-43c0-a45a-fed3555567f2</errorID>
      <errorWord>淋滤</errorWord>
      <group>L1_Word</group>
      <groupName>字词问题</groupName>
      <ability>L2_Typo</ability>
      <abilityName>字词错误</abilityName>
      <candidateList>
        <item>淋洒</item>
      </candidateList>
      <explain/>
      <paraID>546F9973</paraID>
      <start>100</start>
      <end>102</end>
      <status>ignored</status>
      <modifiedWord/>
      <trackRevisions>false</trackRevisions>
    </reviewItem>
    <reviewItem>
      <errorID>c0c475e9-c349-4b4b-9caf-876ee44582af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247B56B8</paraID>
      <start>41</start>
      <end>42</end>
      <status>ignored</status>
      <modifiedWord/>
      <trackRevisions>false</trackRevisions>
    </reviewItem>
    <reviewItem>
      <errorID>b097fe20-51a4-4c4d-8f04-848231e892f5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1F201F6F</paraID>
      <start>24</start>
      <end>25</end>
      <status>ignored</status>
      <modifiedWord/>
      <trackRevisions>false</trackRevisions>
    </reviewItem>
    <reviewItem>
      <errorID>07dbfe6a-cc15-4bc0-b0bf-7f88c5187974</errorID>
      <errorWord>刺鼻性</errorWord>
      <group>L1_Word</group>
      <groupName>字词问题</groupName>
      <ability>L2_Typo</ability>
      <abilityName>字词错误</abilityName>
      <candidateList>
        <item>刺鼻</item>
      </candidateList>
      <explain/>
      <paraID>791A218F</paraID>
      <start>22</start>
      <end>25</end>
      <status>ignored</status>
      <modifiedWord/>
      <trackRevisions>false</trackRevisions>
    </reviewItem>
    <reviewItem>
      <errorID>aad496f7-876a-4d99-a22a-3b03ede61e33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526AB380</paraID>
      <start>41</start>
      <end>42</end>
      <status>ignored</status>
      <modifiedWord/>
      <trackRevisions>false</trackRevisions>
    </reviewItem>
    <reviewItem>
      <errorID>6ea355c5-cec2-4447-8277-9ff1f698d806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81F0015</paraID>
      <start>23</start>
      <end>24</end>
      <status>ignored</status>
      <modifiedWord/>
      <trackRevisions>false</trackRevisions>
    </reviewItem>
    <reviewItem>
      <errorID>e63be2bc-cc8f-41ed-8fe0-85228c3e26bb</errorID>
      <errorWord>℃度</errorWord>
      <group>L1_Word</group>
      <groupName>字词问题</groupName>
      <ability>L2_Typo</ability>
      <abilityName>字词错误</abilityName>
      <candidateList>
        <item>℃</item>
      </candidateList>
      <explain/>
      <paraID>495A2892</paraID>
      <start>192</start>
      <end>194</end>
      <status>ignored</status>
      <modifiedWord/>
      <trackRevisions>false</trackRevisions>
    </reviewItem>
    <reviewItem>
      <errorID>654f6f33-dfcf-4d33-a1d5-17422d2a2d9b</errorID>
      <errorWord>空隙</errorWord>
      <group>L1_Word</group>
      <groupName>字词问题</groupName>
      <ability>L2_Typo</ability>
      <abilityName>字词错误</abilityName>
      <candidateList>
        <item>孔隙</item>
      </candidateList>
      <explain>存在发音相同字词的误用。</explain>
      <paraID>495A2892</paraID>
      <start>436</start>
      <end>438</end>
      <status>ignored</status>
      <modifiedWord/>
      <trackRevisions>false</trackRevisions>
    </reviewItem>
    <reviewItem>
      <errorID>4ba34d16-baaa-48a2-a7c6-083b7e588198</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642C1369</paraID>
      <start>76</start>
      <end>78</end>
      <status>ignored</status>
      <modifiedWord/>
      <trackRevisions>false</trackRevisions>
    </reviewItem>
    <reviewItem>
      <errorID>b2290df2-242f-41d1-b855-c0bf32cd9388</errorID>
      <errorWord>北测</errorWord>
      <group>L1_Word</group>
      <groupName>字词问题</groupName>
      <ability>L2_Typo</ability>
      <abilityName>字词错误</abilityName>
      <candidateList>
        <item>北侧</item>
      </candidateList>
      <explain>存在发音相同字词的误用。</explain>
      <paraID>5FFC464F</paraID>
      <start>0</start>
      <end>2</end>
      <status>unmodified</status>
      <modifiedWord/>
      <trackRevisions>false</trackRevisions>
    </reviewItem>
    <reviewItem>
      <errorID>47517565-a2e9-44f3-9997-70e8975825b1</errorID>
      <errorWord>根据由</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 459F572</paraID>
      <start>0</start>
      <end>3</end>
      <status>ignored</status>
      <modifiedWord/>
      <trackRevisions>false</trackRevisions>
    </reviewItem>
    <reviewItem>
      <errorID>92ef4c92-c4ea-45ec-afa9-148026b62870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4D9B53D4</paraID>
      <start>41</start>
      <end>42</end>
      <status>ignored</status>
      <modifiedWord/>
      <trackRevisions>false</trackRevisions>
    </reviewItem>
    <reviewItem>
      <errorID>d78e778b-2c94-4eef-93b9-39ba2f944433</errorID>
      <errorWord>【</errorWord>
      <group>L1_Punc</group>
      <groupName>标点问题</groupName>
      <ability>L2_Punc</ability>
      <abilityName>标点符号检查</abilityName>
      <candidateList>
        <item>〔</item>
      </candidateList>
      <explain/>
      <paraID>5DD39880</paraID>
      <start>26</start>
      <end>27</end>
      <status>ignored</status>
      <modifiedWord/>
      <trackRevisions>false</trackRevisions>
    </reviewItem>
    <reviewItem>
      <errorID>7d9d6861-d78c-4680-bdba-1b3ff9c3113c</errorID>
      <errorWord>】</errorWord>
      <group>L1_Punc</group>
      <groupName>标点问题</groupName>
      <ability>L2_Punc</ability>
      <abilityName>标点符号检查</abilityName>
      <candidateList>
        <item>〕</item>
      </candidateList>
      <explain/>
      <paraID>5DD39880</paraID>
      <start>31</start>
      <end>32</end>
      <status>ignored</status>
      <modifiedWord/>
      <trackRevisions>false</trackRevisions>
    </reviewItem>
    <reviewItem>
      <errorID>7d264d60-bd14-477b-8d29-10d55226770e</errorID>
      <errorWord>接受</errorWord>
      <group>L1_Word</group>
      <groupName>字词问题</groupName>
      <ability>L2_Typo</ability>
      <abilityName>字词错误</abilityName>
      <candidateList>
        <item>接收</item>
      </candidateList>
      <explain>存在发音相同字词的误用。</explain>
      <paraID>2AD19FB0</paraID>
      <start>176</start>
      <end>178</end>
      <status>ignored</status>
      <modifiedWord/>
      <trackRevisions>false</trackRevisions>
    </reviewItem>
    <reviewItem>
      <errorID>3b32a2e2-9821-4164-a53b-c19abc6e32cf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376BE625</paraID>
      <start>46</start>
      <end>47</end>
      <status>ignored</status>
      <modifiedWord/>
      <trackRevisions>false</trackRevisions>
    </reviewItem>
    <reviewItem>
      <errorID>58b7d6e8-1d7e-459c-a6f6-ea07e43b578f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535FC9DE</paraID>
      <start>88</start>
      <end>89</end>
      <status>ignored</status>
      <modifiedWord/>
      <trackRevisions>false</trackRevisions>
    </reviewItem>
    <reviewItem>
      <errorID>60f38b8c-7937-457e-bc1d-801bb83f27a1</errorID>
      <errorWord>除了</errorWord>
      <group>L1_Word</group>
      <groupName>字词问题</groupName>
      <ability>L2_Typo</ability>
      <abilityName>字词错误</abilityName>
      <candidateList>
        <item>除</item>
      </candidateList>
      <explain/>
      <paraID>45C77B92</paraID>
      <start>15</start>
      <end>17</end>
      <status>ignored</status>
      <modifiedWord/>
      <trackRevisions>false</trackRevisions>
    </reviewItem>
    <reviewItem>
      <errorID>435b9248-5128-43e0-8359-de7b53242541</errorID>
      <errorWord>（</errorWord>
      <group>L1_Format</group>
      <groupName>格式问题</groupName>
      <ability>L2_HalfPunc</ability>
      <abilityName>全半角检查</abilityName>
      <candidateList>
        <item>(</item>
      </candidateList>
      <explain>文本全半角错误。</explain>
      <paraID>4FF8A964</paraID>
      <start>4</start>
      <end>5</end>
      <status>ignored</status>
      <modifiedWord/>
      <trackRevisions>false</trackRevisions>
    </reviewItem>
    <reviewItem>
      <errorID>0eae8ba9-bc40-4666-a605-9e3866064914</errorID>
      <errorWord>提高</errorWord>
      <group>L1_Grammar</group>
      <groupName>语法问题</groupName>
      <ability>L2_Grammar</ability>
      <abilityName>语法错误</abilityName>
      <candidateList>
        <item>增强</item>
      </candidateList>
      <explain>“提高～意识”搭配不当，建议修改为“增强～意识”。</explain>
      <paraID>2F84FBAB</paraID>
      <start>16</start>
      <end>18</end>
      <status>ignored</status>
      <modifiedWord/>
      <trackRevisions>false</trackRevisions>
    </reviewItem>
    <reviewItem>
      <errorID>9f91ee5a-283f-4a71-a86c-b32d0308c401</errorID>
      <errorWord>连锁效应</errorWord>
      <group>L1_Knowledge</group>
      <groupName>知识性问题</groupName>
      <ability>L2_Idiom</ability>
      <abilityName>成语和诗歌</abilityName>
      <candidateList>
        <item>连锁反应</item>
      </candidateList>
      <explain>1.链式反应
2.链式反应
3.比喻若干个相关的事物，只要一个发生变化，其他都跟着发生变化：商品市场扩大了，就会引起工业生产的～。</explain>
      <paraID>125D874F</paraID>
      <start>46</start>
      <end>50</end>
      <status>ignored</status>
      <modifiedWord/>
      <trackRevisions>false</trackRevisions>
    </reviewItem>
    <reviewItem>
      <errorID>24a83103-d353-4235-85fb-fcec7914ac9e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6A68CB4F</paraID>
      <start>41</start>
      <end>42</end>
      <status>ignored</status>
      <modifiedWord/>
      <trackRevisions>false</trackRevisions>
    </reviewItem>
    <reviewItem>
      <errorID>e03d2ca8-5a13-4598-ab9d-571c52bfa9bd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484705E7</paraID>
      <start>24</start>
      <end>25</end>
      <status>ignored</status>
      <modifiedWord/>
      <trackRevisions>false</trackRevisions>
    </reviewItem>
    <reviewItem>
      <errorID>884a2cf7-5273-4894-bacc-6505aaddd251</errorID>
      <errorWord>提高</errorWord>
      <group>L1_Grammar</group>
      <groupName>语法问题</groupName>
      <ability>L2_Grammar</ability>
      <abilityName>语法错误</abilityName>
      <candidateList>
        <item>增强</item>
      </candidateList>
      <explain>“提高～意识”搭配不当，建议修改为“增强～意识”。</explain>
      <paraID>45B643B3</paraID>
      <start>16</start>
      <end>18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0bbb93-112c-4b85-b977-1f17ed8b753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100</Pages>
  <Words>11861</Words>
  <Characters>12456</Characters>
  <Lines>561</Lines>
  <Paragraphs>158</Paragraphs>
  <TotalTime>123</TotalTime>
  <ScaleCrop>false</ScaleCrop>
  <LinksUpToDate>false</LinksUpToDate>
  <CharactersWithSpaces>12691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方</cp:lastModifiedBy>
  <cp:lastPrinted>2020-12-29T02:43:00Z</cp:lastPrinted>
  <dcterms:modified xsi:type="dcterms:W3CDTF">2026-04-07T10:10:07Z</dcterms:modified>
  <dc:title>附件2</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0D8D52F8829942989997301DE199241B_13</vt:lpwstr>
  </property>
  <property fmtid="{D5CDD505-2E9C-101B-9397-08002B2CF9AE}" pid="4" name="KSOTemplateDocerSaveRecord">
    <vt:lpwstr>eyJoZGlkIjoiYWM4OTdjYmM5OTc1ZTExMjliOThhNWZiOGFiODE3Y2QiLCJ1c2VySWQiOiIxMTIxMzIwNzkyIn0=</vt:lpwstr>
  </property>
</Properties>
</file>