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2916B">
      <w:pPr>
        <w:rPr>
          <w:rFonts w:hint="default" w:ascii="仿宋_GB2312" w:hAnsi="仿宋_GB2312" w:eastAsia="仿宋_GB2312" w:cs="仿宋_GB2312"/>
          <w:color w:val="auto"/>
          <w:kern w:val="0"/>
          <w:sz w:val="36"/>
          <w:szCs w:val="36"/>
          <w:lang w:val="en-US" w:eastAsia="zh-CN"/>
        </w:rPr>
      </w:pPr>
      <w:bookmarkStart w:id="0" w:name="_Hlk57883707"/>
    </w:p>
    <w:bookmarkEnd w:id="0"/>
    <w:p w14:paraId="448E9DEC">
      <w:pPr>
        <w:adjustRightInd w:val="0"/>
        <w:snapToGrid w:val="0"/>
        <w:jc w:val="center"/>
        <w:rPr>
          <w:rFonts w:ascii="仿宋_GB2312" w:eastAsia="仿宋_GB2312"/>
          <w:b/>
          <w:color w:val="auto"/>
          <w:kern w:val="0"/>
          <w:sz w:val="72"/>
          <w:szCs w:val="72"/>
        </w:rPr>
      </w:pPr>
      <w:r>
        <w:rPr>
          <w:rFonts w:ascii="仿宋_GB2312" w:eastAsia="仿宋_GB2312"/>
          <w:b/>
          <w:color w:val="auto"/>
          <w:kern w:val="0"/>
          <w:sz w:val="72"/>
          <w:szCs w:val="72"/>
        </w:rPr>
        <w:t>建设项目环境影响报告表</w:t>
      </w:r>
    </w:p>
    <w:p w14:paraId="0F000A7E">
      <w:pPr>
        <w:adjustRightInd w:val="0"/>
        <w:snapToGrid w:val="0"/>
        <w:spacing w:before="192" w:beforeLines="80"/>
        <w:jc w:val="center"/>
        <w:rPr>
          <w:rFonts w:ascii="仿宋_GB2312" w:eastAsia="仿宋_GB2312"/>
          <w:b/>
          <w:color w:val="auto"/>
          <w:kern w:val="0"/>
          <w:sz w:val="48"/>
          <w:szCs w:val="48"/>
        </w:rPr>
      </w:pPr>
      <w:r>
        <w:rPr>
          <w:rFonts w:ascii="仿宋_GB2312" w:eastAsia="仿宋_GB2312"/>
          <w:b/>
          <w:color w:val="auto"/>
          <w:kern w:val="0"/>
          <w:sz w:val="48"/>
          <w:szCs w:val="48"/>
        </w:rPr>
        <w:t>（污染影响类）</w:t>
      </w:r>
    </w:p>
    <w:p w14:paraId="107E33CC">
      <w:pPr>
        <w:adjustRightInd w:val="0"/>
        <w:snapToGrid w:val="0"/>
        <w:ind w:left="377" w:leftChars="157"/>
        <w:jc w:val="center"/>
        <w:rPr>
          <w:rFonts w:eastAsia="仿宋_GB2312"/>
          <w:b/>
          <w:bCs/>
          <w:color w:val="auto"/>
          <w:kern w:val="0"/>
          <w:sz w:val="32"/>
          <w:szCs w:val="32"/>
        </w:rPr>
      </w:pPr>
      <w:bookmarkStart w:id="1" w:name="_Hlk57883728"/>
      <w:r>
        <w:rPr>
          <w:rFonts w:hint="eastAsia" w:eastAsia="仿宋_GB2312"/>
          <w:b/>
          <w:bCs/>
          <w:color w:val="auto"/>
          <w:kern w:val="0"/>
          <w:sz w:val="32"/>
          <w:szCs w:val="32"/>
        </w:rPr>
        <w:t>（</w:t>
      </w:r>
      <w:r>
        <w:rPr>
          <w:rFonts w:hint="eastAsia" w:asciiTheme="minorEastAsia" w:hAnsiTheme="minorEastAsia" w:eastAsiaTheme="minorEastAsia"/>
          <w:b/>
          <w:bCs/>
          <w:color w:val="auto"/>
          <w:kern w:val="0"/>
          <w:sz w:val="32"/>
          <w:szCs w:val="32"/>
        </w:rPr>
        <w:t>送审</w:t>
      </w:r>
      <w:r>
        <w:rPr>
          <w:rFonts w:hint="eastAsia" w:eastAsia="仿宋_GB2312"/>
          <w:b/>
          <w:bCs/>
          <w:color w:val="auto"/>
          <w:kern w:val="0"/>
          <w:sz w:val="32"/>
          <w:szCs w:val="32"/>
        </w:rPr>
        <w:t>稿）</w:t>
      </w:r>
    </w:p>
    <w:p w14:paraId="6E0BBABD">
      <w:pPr>
        <w:jc w:val="center"/>
        <w:rPr>
          <w:b/>
          <w:bCs/>
          <w:color w:val="auto"/>
          <w:kern w:val="0"/>
          <w:sz w:val="32"/>
          <w:szCs w:val="32"/>
        </w:rPr>
      </w:pPr>
    </w:p>
    <w:p w14:paraId="0902F173">
      <w:pPr>
        <w:jc w:val="center"/>
        <w:rPr>
          <w:rFonts w:eastAsia="仿宋"/>
          <w:color w:val="auto"/>
          <w:kern w:val="0"/>
          <w:sz w:val="52"/>
          <w:szCs w:val="52"/>
        </w:rPr>
      </w:pPr>
    </w:p>
    <w:p w14:paraId="74095039">
      <w:pPr>
        <w:ind w:firstLine="1040"/>
        <w:rPr>
          <w:rFonts w:eastAsia="仿宋"/>
          <w:color w:val="auto"/>
          <w:kern w:val="0"/>
          <w:sz w:val="44"/>
          <w:szCs w:val="44"/>
        </w:rPr>
      </w:pPr>
    </w:p>
    <w:p w14:paraId="7D3DACF4">
      <w:pPr>
        <w:ind w:firstLine="1040"/>
        <w:rPr>
          <w:rFonts w:eastAsia="仿宋"/>
          <w:color w:val="auto"/>
          <w:kern w:val="0"/>
          <w:sz w:val="44"/>
          <w:szCs w:val="44"/>
        </w:rPr>
      </w:pPr>
    </w:p>
    <w:bookmarkEnd w:id="1"/>
    <w:p w14:paraId="2EA9B981">
      <w:pPr>
        <w:adjustRightInd w:val="0"/>
        <w:snapToGrid w:val="0"/>
        <w:ind w:left="377" w:leftChars="157"/>
        <w:rPr>
          <w:rFonts w:eastAsia="仿宋_GB2312"/>
          <w:color w:val="auto"/>
          <w:kern w:val="0"/>
          <w:sz w:val="36"/>
          <w:szCs w:val="36"/>
          <w:u w:val="single"/>
        </w:rPr>
      </w:pPr>
      <w:r>
        <w:rPr>
          <w:rFonts w:hint="eastAsia" w:ascii="仿宋_GB2312" w:eastAsia="仿宋_GB2312"/>
          <w:color w:val="auto"/>
          <w:kern w:val="0"/>
          <w:sz w:val="36"/>
          <w:szCs w:val="36"/>
        </w:rPr>
        <w:t>项目名称：</w:t>
      </w:r>
      <w:r>
        <w:rPr>
          <w:rFonts w:eastAsia="仿宋_GB2312"/>
          <w:color w:val="auto"/>
          <w:kern w:val="0"/>
          <w:sz w:val="36"/>
          <w:szCs w:val="36"/>
          <w:u w:val="single"/>
        </w:rPr>
        <w:t xml:space="preserve">  </w:t>
      </w:r>
      <w:r>
        <w:rPr>
          <w:rFonts w:hint="eastAsia" w:ascii="仿宋_GB2312" w:eastAsia="仿宋_GB2312"/>
          <w:color w:val="auto"/>
          <w:kern w:val="0"/>
          <w:sz w:val="36"/>
          <w:szCs w:val="36"/>
          <w:u w:val="single"/>
        </w:rPr>
        <w:t xml:space="preserve"> </w:t>
      </w:r>
      <w:r>
        <w:rPr>
          <w:rFonts w:hint="eastAsia" w:ascii="仿宋_GB2312" w:eastAsiaTheme="minorEastAsia"/>
          <w:color w:val="auto"/>
          <w:kern w:val="0"/>
          <w:sz w:val="36"/>
          <w:szCs w:val="36"/>
          <w:u w:val="single"/>
        </w:rPr>
        <w:t xml:space="preserve">    </w:t>
      </w:r>
      <w:r>
        <w:rPr>
          <w:rFonts w:hint="eastAsia" w:ascii="仿宋_GB2312" w:eastAsia="仿宋_GB2312"/>
          <w:color w:val="auto"/>
          <w:kern w:val="0"/>
          <w:sz w:val="36"/>
          <w:szCs w:val="36"/>
          <w:u w:val="single"/>
          <w:lang w:val="en-US" w:eastAsia="zh-CN"/>
        </w:rPr>
        <w:t xml:space="preserve">   危险品车辆清洗             </w:t>
      </w:r>
      <w:r>
        <w:rPr>
          <w:rFonts w:hint="eastAsia" w:ascii="仿宋_GB2312" w:eastAsia="仿宋_GB2312"/>
          <w:color w:val="auto"/>
          <w:kern w:val="0"/>
          <w:sz w:val="36"/>
          <w:szCs w:val="36"/>
          <w:u w:val="single"/>
        </w:rPr>
        <w:t xml:space="preserve">  </w:t>
      </w:r>
    </w:p>
    <w:p w14:paraId="13385B0E">
      <w:pPr>
        <w:adjustRightInd w:val="0"/>
        <w:snapToGrid w:val="0"/>
        <w:ind w:left="360" w:leftChars="150"/>
        <w:rPr>
          <w:rFonts w:hint="default" w:eastAsia="仿宋_GB2312"/>
          <w:color w:val="auto"/>
          <w:kern w:val="0"/>
          <w:sz w:val="36"/>
          <w:szCs w:val="36"/>
          <w:u w:val="single"/>
          <w:lang w:val="en-US" w:eastAsia="zh-CN"/>
        </w:rPr>
      </w:pPr>
      <w:r>
        <w:rPr>
          <w:rFonts w:hint="eastAsia" w:ascii="仿宋_GB2312" w:eastAsia="仿宋_GB2312"/>
          <w:color w:val="auto"/>
          <w:kern w:val="0"/>
          <w:sz w:val="36"/>
          <w:szCs w:val="36"/>
        </w:rPr>
        <w:t>建设单位（盖章）：</w:t>
      </w:r>
      <w:r>
        <w:rPr>
          <w:rFonts w:hint="eastAsia" w:ascii="仿宋_GB2312" w:eastAsia="仿宋_GB2312"/>
          <w:color w:val="auto"/>
          <w:kern w:val="0"/>
          <w:sz w:val="36"/>
          <w:szCs w:val="36"/>
          <w:u w:val="single"/>
          <w:lang w:val="en-US" w:eastAsia="zh-CN"/>
        </w:rPr>
        <w:t xml:space="preserve">  </w:t>
      </w:r>
      <w:r>
        <w:rPr>
          <w:rFonts w:hint="eastAsia" w:eastAsia="仿宋_GB2312"/>
          <w:color w:val="auto"/>
          <w:kern w:val="0"/>
          <w:sz w:val="36"/>
          <w:szCs w:val="36"/>
          <w:u w:val="single"/>
          <w:lang w:val="en-US" w:eastAsia="zh-CN"/>
        </w:rPr>
        <w:t>寻甸县运良商贸</w:t>
      </w:r>
      <w:r>
        <w:rPr>
          <w:rFonts w:hint="eastAsia" w:eastAsia="仿宋_GB2312"/>
          <w:color w:val="auto"/>
          <w:kern w:val="0"/>
          <w:sz w:val="36"/>
          <w:szCs w:val="36"/>
          <w:u w:val="single"/>
        </w:rPr>
        <w:t>有限公司</w:t>
      </w:r>
      <w:r>
        <w:rPr>
          <w:rFonts w:hint="eastAsia" w:eastAsia="仿宋_GB2312"/>
          <w:color w:val="auto"/>
          <w:kern w:val="0"/>
          <w:sz w:val="36"/>
          <w:szCs w:val="36"/>
          <w:u w:val="single"/>
          <w:lang w:val="en-US" w:eastAsia="zh-CN"/>
        </w:rPr>
        <w:t xml:space="preserve">      </w:t>
      </w:r>
    </w:p>
    <w:p w14:paraId="7DEDED7E">
      <w:pPr>
        <w:adjustRightInd w:val="0"/>
        <w:snapToGrid w:val="0"/>
        <w:ind w:left="360" w:leftChars="150"/>
        <w:rPr>
          <w:rFonts w:ascii="仿宋_GB2312" w:eastAsia="仿宋_GB2312"/>
          <w:color w:val="auto"/>
          <w:kern w:val="0"/>
          <w:sz w:val="36"/>
          <w:szCs w:val="36"/>
          <w:u w:val="single"/>
        </w:rPr>
      </w:pPr>
      <w:r>
        <w:rPr>
          <w:rFonts w:hint="eastAsia" w:ascii="仿宋_GB2312" w:eastAsia="仿宋_GB2312"/>
          <w:color w:val="auto"/>
          <w:kern w:val="0"/>
          <w:sz w:val="36"/>
          <w:szCs w:val="36"/>
        </w:rPr>
        <w:t>编制日期：</w:t>
      </w:r>
      <w:r>
        <w:rPr>
          <w:rFonts w:hint="eastAsia" w:ascii="仿宋_GB2312" w:eastAsia="仿宋_GB2312"/>
          <w:color w:val="auto"/>
          <w:kern w:val="0"/>
          <w:sz w:val="36"/>
          <w:szCs w:val="36"/>
          <w:u w:val="single"/>
        </w:rPr>
        <w:t xml:space="preserve"> </w:t>
      </w:r>
      <w:r>
        <w:rPr>
          <w:rFonts w:hint="eastAsia" w:eastAsia="仿宋_GB2312"/>
          <w:color w:val="auto"/>
          <w:kern w:val="0"/>
          <w:sz w:val="36"/>
          <w:szCs w:val="36"/>
          <w:u w:val="single"/>
        </w:rPr>
        <w:t xml:space="preserve">         202</w:t>
      </w:r>
      <w:r>
        <w:rPr>
          <w:rFonts w:hint="eastAsia" w:eastAsia="仿宋_GB2312"/>
          <w:color w:val="auto"/>
          <w:kern w:val="0"/>
          <w:sz w:val="36"/>
          <w:szCs w:val="36"/>
          <w:u w:val="single"/>
          <w:lang w:val="en-US" w:eastAsia="zh-CN"/>
        </w:rPr>
        <w:t>6</w:t>
      </w:r>
      <w:r>
        <w:rPr>
          <w:rFonts w:hint="eastAsia" w:eastAsia="仿宋_GB2312"/>
          <w:color w:val="auto"/>
          <w:kern w:val="0"/>
          <w:sz w:val="36"/>
          <w:szCs w:val="36"/>
          <w:u w:val="single"/>
        </w:rPr>
        <w:t>年</w:t>
      </w:r>
      <w:r>
        <w:rPr>
          <w:rFonts w:hint="eastAsia" w:eastAsia="仿宋_GB2312"/>
          <w:color w:val="auto"/>
          <w:kern w:val="0"/>
          <w:sz w:val="36"/>
          <w:szCs w:val="36"/>
          <w:u w:val="single"/>
          <w:lang w:val="en-US" w:eastAsia="zh-CN"/>
        </w:rPr>
        <w:t>4</w:t>
      </w:r>
      <w:r>
        <w:rPr>
          <w:rFonts w:hint="eastAsia" w:eastAsia="仿宋_GB2312"/>
          <w:color w:val="auto"/>
          <w:kern w:val="0"/>
          <w:sz w:val="36"/>
          <w:szCs w:val="36"/>
          <w:u w:val="single"/>
        </w:rPr>
        <w:t xml:space="preserve">月 </w:t>
      </w:r>
      <w:r>
        <w:rPr>
          <w:rFonts w:hint="eastAsia" w:eastAsiaTheme="minorEastAsia"/>
          <w:color w:val="auto"/>
          <w:kern w:val="0"/>
          <w:sz w:val="36"/>
          <w:szCs w:val="36"/>
          <w:u w:val="single"/>
        </w:rPr>
        <w:t xml:space="preserve"> </w:t>
      </w:r>
      <w:r>
        <w:rPr>
          <w:rFonts w:hint="eastAsia" w:eastAsia="仿宋_GB2312"/>
          <w:color w:val="auto"/>
          <w:kern w:val="0"/>
          <w:sz w:val="36"/>
          <w:szCs w:val="36"/>
          <w:u w:val="single"/>
        </w:rPr>
        <w:t xml:space="preserve">     </w:t>
      </w:r>
      <w:r>
        <w:rPr>
          <w:rFonts w:hint="eastAsia" w:ascii="仿宋_GB2312" w:eastAsia="仿宋_GB2312"/>
          <w:color w:val="auto"/>
          <w:kern w:val="0"/>
          <w:sz w:val="36"/>
          <w:szCs w:val="36"/>
          <w:u w:val="single"/>
        </w:rPr>
        <w:t xml:space="preserve">    </w:t>
      </w:r>
      <w:r>
        <w:rPr>
          <w:rFonts w:hint="eastAsia" w:ascii="仿宋_GB2312" w:eastAsia="仿宋_GB2312"/>
          <w:color w:val="auto"/>
          <w:kern w:val="0"/>
          <w:sz w:val="36"/>
          <w:szCs w:val="36"/>
          <w:u w:val="single"/>
          <w:lang w:val="en-US" w:eastAsia="zh-CN"/>
        </w:rPr>
        <w:t xml:space="preserve"> </w:t>
      </w:r>
      <w:r>
        <w:rPr>
          <w:rFonts w:hint="eastAsia" w:ascii="仿宋_GB2312" w:eastAsia="仿宋_GB2312"/>
          <w:color w:val="auto"/>
          <w:kern w:val="0"/>
          <w:sz w:val="36"/>
          <w:szCs w:val="36"/>
          <w:u w:val="single"/>
        </w:rPr>
        <w:t xml:space="preserve">     </w:t>
      </w:r>
    </w:p>
    <w:p w14:paraId="6BAFBF7D">
      <w:pPr>
        <w:adjustRightInd w:val="0"/>
        <w:snapToGrid w:val="0"/>
        <w:spacing w:line="288" w:lineRule="auto"/>
        <w:ind w:firstLine="1040"/>
        <w:rPr>
          <w:rFonts w:ascii="仿宋_GB2312" w:eastAsiaTheme="minorEastAsia"/>
          <w:color w:val="auto"/>
          <w:kern w:val="0"/>
          <w:sz w:val="36"/>
          <w:szCs w:val="36"/>
          <w:u w:val="single"/>
        </w:rPr>
      </w:pPr>
    </w:p>
    <w:p w14:paraId="5D930A5A">
      <w:pPr>
        <w:adjustRightInd w:val="0"/>
        <w:snapToGrid w:val="0"/>
        <w:spacing w:line="288" w:lineRule="auto"/>
        <w:ind w:firstLine="1040"/>
        <w:rPr>
          <w:rFonts w:ascii="仿宋_GB2312" w:eastAsiaTheme="minorEastAsia"/>
          <w:color w:val="auto"/>
          <w:kern w:val="0"/>
          <w:sz w:val="36"/>
          <w:szCs w:val="36"/>
          <w:u w:val="single"/>
        </w:rPr>
      </w:pPr>
    </w:p>
    <w:p w14:paraId="3A7A6A6E">
      <w:pPr>
        <w:adjustRightInd w:val="0"/>
        <w:snapToGrid w:val="0"/>
        <w:spacing w:line="288" w:lineRule="auto"/>
        <w:ind w:firstLine="1040"/>
        <w:rPr>
          <w:rFonts w:ascii="仿宋_GB2312" w:eastAsiaTheme="minorEastAsia"/>
          <w:color w:val="auto"/>
          <w:kern w:val="0"/>
          <w:sz w:val="36"/>
          <w:szCs w:val="36"/>
          <w:u w:val="single"/>
        </w:rPr>
      </w:pPr>
    </w:p>
    <w:p w14:paraId="68933722">
      <w:pPr>
        <w:pStyle w:val="28"/>
        <w:ind w:left="0" w:leftChars="0" w:firstLine="0"/>
        <w:rPr>
          <w:rFonts w:ascii="仿宋_GB2312" w:eastAsia="仿宋_GB2312"/>
          <w:color w:val="auto"/>
          <w:sz w:val="36"/>
          <w:szCs w:val="36"/>
        </w:rPr>
      </w:pPr>
    </w:p>
    <w:p w14:paraId="0AD184DF">
      <w:pPr>
        <w:rPr>
          <w:color w:val="auto"/>
        </w:rPr>
      </w:pPr>
    </w:p>
    <w:p w14:paraId="5C532E7B">
      <w:pPr>
        <w:adjustRightInd w:val="0"/>
        <w:snapToGrid w:val="0"/>
        <w:spacing w:line="288" w:lineRule="auto"/>
        <w:jc w:val="center"/>
        <w:rPr>
          <w:rFonts w:eastAsia="仿宋_GB2312"/>
          <w:color w:val="auto"/>
          <w:kern w:val="0"/>
          <w:sz w:val="36"/>
          <w:szCs w:val="36"/>
        </w:rPr>
        <w:sectPr>
          <w:headerReference r:id="rId5" w:type="default"/>
          <w:head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r>
        <w:rPr>
          <w:rFonts w:hint="eastAsia" w:ascii="楷体_GB2312" w:eastAsia="楷体_GB2312"/>
          <w:color w:val="auto"/>
          <w:kern w:val="0"/>
          <w:sz w:val="36"/>
          <w:szCs w:val="36"/>
        </w:rPr>
        <w:t>中华人民共和国生态环境部</w:t>
      </w:r>
    </w:p>
    <w:p w14:paraId="40710C56">
      <w:pPr>
        <w:widowControl/>
        <w:spacing w:beforeAutospacing="1" w:afterAutospacing="1"/>
        <w:jc w:val="left"/>
        <w:rPr>
          <w:rFonts w:eastAsia="仿宋_GB2312"/>
          <w:color w:val="auto"/>
          <w:kern w:val="0"/>
          <w:sz w:val="36"/>
          <w:szCs w:val="36"/>
        </w:rPr>
        <w:sectPr>
          <w:headerReference r:id="rId7" w:type="default"/>
          <w:footerReference r:id="rId9" w:type="default"/>
          <w:head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bookmarkStart w:id="22" w:name="_GoBack"/>
      <w:bookmarkEnd w:id="22"/>
    </w:p>
    <w:p w14:paraId="32072BA4">
      <w:pPr>
        <w:jc w:val="center"/>
        <w:rPr>
          <w:rFonts w:hint="eastAsia"/>
          <w:color w:val="auto"/>
          <w:lang w:val="en-US" w:eastAsia="zh-CN"/>
        </w:rPr>
      </w:pPr>
      <w:r>
        <w:rPr>
          <w:rFonts w:hint="eastAsia"/>
          <w:b/>
          <w:bCs/>
          <w:color w:val="auto"/>
          <w:sz w:val="32"/>
          <w:szCs w:val="32"/>
          <w:lang w:val="en-US" w:eastAsia="zh-CN"/>
        </w:rPr>
        <w:t>目录</w:t>
      </w:r>
    </w:p>
    <w:p w14:paraId="723B2CA6">
      <w:pPr>
        <w:pStyle w:val="26"/>
        <w:tabs>
          <w:tab w:val="right" w:leader="dot" w:pos="8306"/>
        </w:tabs>
        <w:rPr>
          <w:rFonts w:hint="default" w:ascii="Times New Roman" w:hAnsi="Times New Roman" w:eastAsia="宋体" w:cs="Times New Roman"/>
          <w:color w:val="auto"/>
        </w:rPr>
      </w:pPr>
      <w:r>
        <w:rPr>
          <w:rFonts w:hint="eastAsia"/>
          <w:color w:val="auto"/>
          <w:lang w:val="en-US" w:eastAsia="zh-CN"/>
        </w:rPr>
        <w:fldChar w:fldCharType="begin"/>
      </w:r>
      <w:r>
        <w:rPr>
          <w:rFonts w:hint="eastAsia"/>
          <w:color w:val="auto"/>
          <w:lang w:val="en-US" w:eastAsia="zh-CN"/>
        </w:rPr>
        <w:instrText xml:space="preserve">TOC \o "1-1" \h \u </w:instrText>
      </w:r>
      <w:r>
        <w:rPr>
          <w:rFonts w:hint="eastAsia"/>
          <w:color w:val="auto"/>
          <w:lang w:val="en-US" w:eastAsia="zh-CN"/>
        </w:rPr>
        <w:fldChar w:fldCharType="separate"/>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_Toc1956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30"/>
          <w:lang w:val="en-US" w:eastAsia="zh-CN"/>
        </w:rPr>
        <w:t>一、建设项目基本情况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_Toc1956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3A413549">
      <w:pPr>
        <w:pStyle w:val="26"/>
        <w:tabs>
          <w:tab w:val="right" w:leader="dot" w:pos="8306"/>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_Toc30312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30"/>
          <w:lang w:val="en-US" w:eastAsia="zh-CN"/>
        </w:rPr>
        <w:t>二、建设项目工程分析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_Toc30312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2B12D729">
      <w:pPr>
        <w:pStyle w:val="26"/>
        <w:tabs>
          <w:tab w:val="right" w:leader="dot" w:pos="8306"/>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_Toc736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30"/>
          <w:lang w:val="en-US" w:eastAsia="zh-CN"/>
        </w:rPr>
        <w:t>三、区域环境质量现状、环境保护目标及评价标准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_Toc736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218AC3D6">
      <w:pPr>
        <w:pStyle w:val="26"/>
        <w:tabs>
          <w:tab w:val="right" w:leader="dot" w:pos="8306"/>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_Toc16671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val="0"/>
          <w:color w:val="auto"/>
          <w:szCs w:val="30"/>
          <w:lang w:val="en-US" w:eastAsia="zh-CN"/>
        </w:rPr>
        <w:t>四、主要环境影响和保护措施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_Toc16671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7B401277">
      <w:pPr>
        <w:pStyle w:val="26"/>
        <w:tabs>
          <w:tab w:val="right" w:leader="dot" w:pos="8306"/>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_Toc20891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30"/>
        </w:rPr>
        <w:t>五、环境保护措施监督检查清单</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_Toc20891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420C2D6C">
      <w:pPr>
        <w:pStyle w:val="26"/>
        <w:tabs>
          <w:tab w:val="right" w:leader="dot" w:pos="8306"/>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_Toc7149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30"/>
        </w:rPr>
        <w:t>六、结论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_Toc7149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61A4B68A">
      <w:pPr>
        <w:pStyle w:val="26"/>
        <w:tabs>
          <w:tab w:val="right" w:leader="dot" w:pos="8306"/>
        </w:tabs>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_Toc29012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szCs w:val="28"/>
        </w:rPr>
        <w:t>建设项目污染物排放量汇总表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_Toc29012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313FA51C">
      <w:pPr>
        <w:rPr>
          <w:rFonts w:hint="eastAsia"/>
          <w:color w:val="auto"/>
          <w:lang w:val="en-US" w:eastAsia="zh-CN"/>
        </w:rPr>
      </w:pPr>
      <w:r>
        <w:rPr>
          <w:rFonts w:hint="eastAsia"/>
          <w:color w:val="auto"/>
          <w:lang w:val="en-US" w:eastAsia="zh-CN"/>
        </w:rPr>
        <w:fldChar w:fldCharType="end"/>
      </w:r>
    </w:p>
    <w:p w14:paraId="454AA222">
      <w:pPr>
        <w:rPr>
          <w:rFonts w:hint="eastAsia"/>
          <w:color w:val="auto"/>
          <w:lang w:val="en-US" w:eastAsia="zh-CN"/>
        </w:rPr>
      </w:pPr>
    </w:p>
    <w:p w14:paraId="15A3D798">
      <w:pPr>
        <w:adjustRightInd w:val="0"/>
        <w:snapToGrid w:val="0"/>
        <w:rPr>
          <w:color w:val="auto"/>
          <w:kern w:val="0"/>
        </w:rPr>
      </w:pPr>
      <w:r>
        <w:rPr>
          <w:rFonts w:ascii="宋体" w:hAnsi="宋体"/>
          <w:color w:val="auto"/>
          <w:kern w:val="0"/>
        </w:rPr>
        <w:t>附件</w:t>
      </w:r>
    </w:p>
    <w:p w14:paraId="5003887B">
      <w:pPr>
        <w:adjustRightInd w:val="0"/>
        <w:snapToGrid w:val="0"/>
        <w:rPr>
          <w:color w:val="auto"/>
          <w:kern w:val="0"/>
        </w:rPr>
      </w:pPr>
      <w:r>
        <w:rPr>
          <w:rFonts w:ascii="宋体" w:hAnsi="宋体"/>
          <w:color w:val="auto"/>
          <w:kern w:val="0"/>
        </w:rPr>
        <w:t>附件</w:t>
      </w:r>
      <w:r>
        <w:rPr>
          <w:color w:val="auto"/>
          <w:kern w:val="0"/>
        </w:rPr>
        <w:t>1</w:t>
      </w:r>
      <w:r>
        <w:rPr>
          <w:rFonts w:ascii="宋体" w:hAnsi="宋体"/>
          <w:color w:val="auto"/>
          <w:kern w:val="0"/>
        </w:rPr>
        <w:t>：委托书</w:t>
      </w:r>
    </w:p>
    <w:p w14:paraId="76667873">
      <w:pPr>
        <w:adjustRightInd w:val="0"/>
        <w:snapToGrid w:val="0"/>
        <w:rPr>
          <w:color w:val="auto"/>
          <w:kern w:val="0"/>
        </w:rPr>
      </w:pPr>
      <w:r>
        <w:rPr>
          <w:rFonts w:ascii="宋体" w:hAnsi="宋体"/>
          <w:color w:val="auto"/>
          <w:kern w:val="0"/>
        </w:rPr>
        <w:t>附件</w:t>
      </w:r>
      <w:r>
        <w:rPr>
          <w:color w:val="auto"/>
          <w:kern w:val="0"/>
        </w:rPr>
        <w:t>2</w:t>
      </w:r>
      <w:r>
        <w:rPr>
          <w:rFonts w:ascii="宋体" w:hAnsi="宋体"/>
          <w:color w:val="auto"/>
          <w:kern w:val="0"/>
        </w:rPr>
        <w:t>：投资备案证</w:t>
      </w:r>
    </w:p>
    <w:p w14:paraId="778399C4">
      <w:pPr>
        <w:adjustRightInd w:val="0"/>
        <w:snapToGrid w:val="0"/>
        <w:rPr>
          <w:color w:val="auto"/>
          <w:kern w:val="0"/>
        </w:rPr>
      </w:pPr>
      <w:r>
        <w:rPr>
          <w:rFonts w:ascii="宋体" w:hAnsi="宋体"/>
          <w:color w:val="auto"/>
          <w:kern w:val="0"/>
        </w:rPr>
        <w:t>附件</w:t>
      </w:r>
      <w:r>
        <w:rPr>
          <w:color w:val="auto"/>
          <w:kern w:val="0"/>
        </w:rPr>
        <w:t>3</w:t>
      </w:r>
      <w:r>
        <w:rPr>
          <w:rFonts w:ascii="宋体" w:hAnsi="宋体"/>
          <w:color w:val="auto"/>
          <w:kern w:val="0"/>
        </w:rPr>
        <w:t>：营业执照</w:t>
      </w:r>
    </w:p>
    <w:p w14:paraId="3203DBBE">
      <w:pPr>
        <w:adjustRightInd w:val="0"/>
        <w:snapToGrid w:val="0"/>
        <w:rPr>
          <w:rFonts w:ascii="宋体" w:hAnsi="宋体"/>
          <w:color w:val="auto"/>
          <w:kern w:val="0"/>
        </w:rPr>
      </w:pPr>
      <w:r>
        <w:rPr>
          <w:rFonts w:ascii="宋体" w:hAnsi="宋体"/>
          <w:color w:val="auto"/>
          <w:kern w:val="0"/>
        </w:rPr>
        <w:t>附件</w:t>
      </w:r>
      <w:r>
        <w:rPr>
          <w:color w:val="auto"/>
          <w:kern w:val="0"/>
        </w:rPr>
        <w:t>4</w:t>
      </w:r>
      <w:r>
        <w:rPr>
          <w:rFonts w:ascii="宋体" w:hAnsi="宋体"/>
          <w:color w:val="auto"/>
          <w:kern w:val="0"/>
        </w:rPr>
        <w:t>：</w:t>
      </w:r>
      <w:r>
        <w:rPr>
          <w:rFonts w:hint="eastAsia" w:ascii="宋体" w:hAnsi="宋体"/>
          <w:color w:val="auto"/>
          <w:kern w:val="0"/>
        </w:rPr>
        <w:t>法人</w:t>
      </w:r>
      <w:r>
        <w:rPr>
          <w:rFonts w:ascii="宋体" w:hAnsi="宋体"/>
          <w:color w:val="auto"/>
          <w:kern w:val="0"/>
        </w:rPr>
        <w:t>身份证复印件</w:t>
      </w:r>
    </w:p>
    <w:p w14:paraId="6B001D2F">
      <w:pPr>
        <w:adjustRightInd w:val="0"/>
        <w:snapToGrid w:val="0"/>
        <w:rPr>
          <w:rFonts w:hint="default" w:ascii="Times New Roman" w:hAnsi="Times New Roman" w:cs="Times New Roman"/>
          <w:color w:val="auto"/>
          <w:kern w:val="0"/>
          <w:lang w:val="en-US" w:eastAsia="zh-CN"/>
        </w:rPr>
      </w:pPr>
      <w:r>
        <w:rPr>
          <w:rFonts w:hint="default" w:ascii="Times New Roman" w:hAnsi="Times New Roman" w:cs="Times New Roman"/>
          <w:color w:val="auto"/>
          <w:kern w:val="0"/>
        </w:rPr>
        <w:t>附件5：</w:t>
      </w:r>
      <w:r>
        <w:rPr>
          <w:rFonts w:hint="eastAsia" w:cs="Times New Roman"/>
          <w:color w:val="auto"/>
          <w:kern w:val="0"/>
          <w:lang w:val="en-US" w:eastAsia="zh-CN"/>
        </w:rPr>
        <w:t>土地人民调解协议书</w:t>
      </w:r>
    </w:p>
    <w:p w14:paraId="5CD56E26">
      <w:pPr>
        <w:adjustRightInd w:val="0"/>
        <w:snapToGrid w:val="0"/>
        <w:rPr>
          <w:rFonts w:hint="default" w:ascii="宋体" w:hAnsi="宋体"/>
          <w:color w:val="auto"/>
          <w:kern w:val="0"/>
          <w:lang w:val="en-US" w:eastAsia="zh-CN"/>
        </w:rPr>
      </w:pPr>
      <w:r>
        <w:rPr>
          <w:rFonts w:hint="default" w:ascii="Times New Roman" w:hAnsi="Times New Roman" w:cs="Times New Roman"/>
          <w:color w:val="auto"/>
          <w:kern w:val="0"/>
          <w:lang w:val="en-US" w:eastAsia="zh-CN"/>
        </w:rPr>
        <w:t>附件6：引用现</w:t>
      </w:r>
      <w:r>
        <w:rPr>
          <w:rFonts w:hint="eastAsia" w:ascii="宋体" w:hAnsi="宋体"/>
          <w:color w:val="auto"/>
          <w:kern w:val="0"/>
          <w:lang w:val="en-US" w:eastAsia="zh-CN"/>
        </w:rPr>
        <w:t>状监测报告、验收监测报告</w:t>
      </w:r>
    </w:p>
    <w:p w14:paraId="5793C905">
      <w:pPr>
        <w:adjustRightInd w:val="0"/>
        <w:snapToGrid w:val="0"/>
        <w:rPr>
          <w:rFonts w:ascii="宋体" w:hAnsi="宋体"/>
          <w:color w:val="auto"/>
          <w:kern w:val="0"/>
        </w:rPr>
      </w:pPr>
      <w:r>
        <w:rPr>
          <w:rFonts w:hint="eastAsia" w:ascii="宋体" w:hAnsi="宋体"/>
          <w:color w:val="auto"/>
          <w:kern w:val="0"/>
        </w:rPr>
        <w:t>附件</w:t>
      </w:r>
      <w:r>
        <w:rPr>
          <w:rFonts w:hint="eastAsia"/>
          <w:color w:val="auto"/>
          <w:kern w:val="0"/>
          <w:lang w:val="en-US" w:eastAsia="zh-CN"/>
        </w:rPr>
        <w:t>7</w:t>
      </w:r>
      <w:r>
        <w:rPr>
          <w:rFonts w:hint="eastAsia" w:ascii="宋体" w:hAnsi="宋体"/>
          <w:color w:val="auto"/>
          <w:kern w:val="0"/>
        </w:rPr>
        <w:t>：昆明市生态环境局关于《云南寻甸产业园区总体规划修编(2021-2035)环境影响报告书》审查意见的函</w:t>
      </w:r>
    </w:p>
    <w:p w14:paraId="6F72E8BE">
      <w:pPr>
        <w:adjustRightInd w:val="0"/>
        <w:snapToGrid w:val="0"/>
        <w:rPr>
          <w:color w:val="auto"/>
          <w:kern w:val="0"/>
        </w:rPr>
      </w:pPr>
      <w:r>
        <w:rPr>
          <w:rFonts w:ascii="宋体" w:hAnsi="宋体"/>
          <w:color w:val="auto"/>
          <w:kern w:val="0"/>
        </w:rPr>
        <w:t>附件</w:t>
      </w:r>
      <w:r>
        <w:rPr>
          <w:rFonts w:hint="eastAsia"/>
          <w:color w:val="auto"/>
          <w:kern w:val="0"/>
          <w:lang w:val="en-US" w:eastAsia="zh-CN"/>
        </w:rPr>
        <w:t>8</w:t>
      </w:r>
      <w:r>
        <w:rPr>
          <w:rFonts w:ascii="宋体" w:hAnsi="宋体"/>
          <w:color w:val="auto"/>
          <w:kern w:val="0"/>
        </w:rPr>
        <w:t>：</w:t>
      </w:r>
      <w:r>
        <w:rPr>
          <w:rFonts w:hint="eastAsia" w:ascii="宋体" w:hAnsi="宋体"/>
          <w:color w:val="auto"/>
          <w:kern w:val="0"/>
        </w:rPr>
        <w:t>建设单位提供材料真实性承诺书</w:t>
      </w:r>
    </w:p>
    <w:p w14:paraId="42EAD963">
      <w:pPr>
        <w:adjustRightInd w:val="0"/>
        <w:snapToGrid w:val="0"/>
        <w:rPr>
          <w:color w:val="auto"/>
          <w:kern w:val="0"/>
        </w:rPr>
      </w:pPr>
      <w:r>
        <w:rPr>
          <w:rFonts w:ascii="宋体" w:hAnsi="宋体"/>
          <w:color w:val="auto"/>
          <w:kern w:val="0"/>
        </w:rPr>
        <w:t>附件</w:t>
      </w:r>
      <w:r>
        <w:rPr>
          <w:rFonts w:hint="eastAsia"/>
          <w:color w:val="auto"/>
          <w:kern w:val="0"/>
          <w:lang w:val="en-US" w:eastAsia="zh-CN"/>
        </w:rPr>
        <w:t>9</w:t>
      </w:r>
      <w:r>
        <w:rPr>
          <w:rFonts w:ascii="宋体" w:hAnsi="宋体"/>
          <w:color w:val="auto"/>
          <w:kern w:val="0"/>
        </w:rPr>
        <w:t>：</w:t>
      </w:r>
      <w:r>
        <w:rPr>
          <w:rFonts w:hint="eastAsia" w:ascii="宋体" w:hAnsi="宋体"/>
          <w:color w:val="auto"/>
          <w:kern w:val="0"/>
        </w:rPr>
        <w:t>项目</w:t>
      </w:r>
      <w:r>
        <w:rPr>
          <w:rFonts w:ascii="宋体" w:hAnsi="宋体"/>
          <w:color w:val="auto"/>
          <w:kern w:val="0"/>
        </w:rPr>
        <w:t>内审表</w:t>
      </w:r>
    </w:p>
    <w:p w14:paraId="406E5E85">
      <w:pPr>
        <w:adjustRightInd w:val="0"/>
        <w:snapToGrid w:val="0"/>
        <w:rPr>
          <w:color w:val="auto"/>
          <w:kern w:val="0"/>
        </w:rPr>
      </w:pPr>
      <w:r>
        <w:rPr>
          <w:rFonts w:ascii="宋体" w:hAnsi="宋体"/>
          <w:color w:val="auto"/>
          <w:kern w:val="0"/>
        </w:rPr>
        <w:t>附件</w:t>
      </w:r>
      <w:r>
        <w:rPr>
          <w:rFonts w:hint="eastAsia"/>
          <w:color w:val="auto"/>
          <w:kern w:val="0"/>
          <w:lang w:val="en-US" w:eastAsia="zh-CN"/>
        </w:rPr>
        <w:t>10</w:t>
      </w:r>
      <w:r>
        <w:rPr>
          <w:rFonts w:ascii="宋体" w:hAnsi="宋体"/>
          <w:color w:val="auto"/>
          <w:kern w:val="0"/>
        </w:rPr>
        <w:t>：</w:t>
      </w:r>
      <w:r>
        <w:rPr>
          <w:rFonts w:hint="eastAsia" w:ascii="宋体" w:hAnsi="宋体"/>
          <w:color w:val="auto"/>
          <w:kern w:val="0"/>
        </w:rPr>
        <w:t>项目</w:t>
      </w:r>
      <w:r>
        <w:rPr>
          <w:rFonts w:ascii="宋体" w:hAnsi="宋体"/>
          <w:color w:val="auto"/>
          <w:kern w:val="0"/>
        </w:rPr>
        <w:t>进度控制表</w:t>
      </w:r>
    </w:p>
    <w:p w14:paraId="658D0591">
      <w:pPr>
        <w:adjustRightInd w:val="0"/>
        <w:snapToGrid w:val="0"/>
        <w:rPr>
          <w:color w:val="auto"/>
          <w:kern w:val="0"/>
        </w:rPr>
      </w:pPr>
      <w:r>
        <w:rPr>
          <w:rFonts w:ascii="宋体" w:hAnsi="宋体"/>
          <w:color w:val="auto"/>
          <w:kern w:val="0"/>
        </w:rPr>
        <w:t>附件</w:t>
      </w:r>
      <w:r>
        <w:rPr>
          <w:color w:val="auto"/>
          <w:kern w:val="0"/>
        </w:rPr>
        <w:t>1</w:t>
      </w:r>
      <w:r>
        <w:rPr>
          <w:rFonts w:hint="eastAsia"/>
          <w:color w:val="auto"/>
          <w:kern w:val="0"/>
          <w:lang w:val="en-US" w:eastAsia="zh-CN"/>
        </w:rPr>
        <w:t>1</w:t>
      </w:r>
      <w:r>
        <w:rPr>
          <w:color w:val="auto"/>
          <w:kern w:val="0"/>
        </w:rPr>
        <w:t>：环评合同</w:t>
      </w:r>
    </w:p>
    <w:p w14:paraId="7E5BF80F">
      <w:pPr>
        <w:adjustRightInd w:val="0"/>
        <w:snapToGrid w:val="0"/>
        <w:rPr>
          <w:rFonts w:ascii="宋体" w:hAnsi="宋体"/>
          <w:color w:val="auto"/>
          <w:kern w:val="0"/>
        </w:rPr>
      </w:pPr>
      <w:r>
        <w:rPr>
          <w:color w:val="auto"/>
          <w:kern w:val="0"/>
        </w:rPr>
        <w:t>附件1</w:t>
      </w:r>
      <w:r>
        <w:rPr>
          <w:rFonts w:hint="eastAsia"/>
          <w:color w:val="auto"/>
          <w:kern w:val="0"/>
          <w:lang w:val="en-US" w:eastAsia="zh-CN"/>
        </w:rPr>
        <w:t>2</w:t>
      </w:r>
      <w:r>
        <w:rPr>
          <w:color w:val="auto"/>
          <w:kern w:val="0"/>
        </w:rPr>
        <w:t>：</w:t>
      </w:r>
      <w:r>
        <w:rPr>
          <w:rFonts w:hint="eastAsia" w:ascii="宋体" w:hAnsi="宋体"/>
          <w:color w:val="auto"/>
          <w:kern w:val="0"/>
        </w:rPr>
        <w:t>公示截图</w:t>
      </w:r>
    </w:p>
    <w:p w14:paraId="5053A94A">
      <w:pPr>
        <w:adjustRightInd w:val="0"/>
        <w:snapToGrid w:val="0"/>
        <w:rPr>
          <w:rFonts w:ascii="宋体" w:hAnsi="宋体"/>
          <w:color w:val="auto"/>
          <w:kern w:val="0"/>
        </w:rPr>
      </w:pPr>
    </w:p>
    <w:p w14:paraId="1C6804C3">
      <w:pPr>
        <w:adjustRightInd w:val="0"/>
        <w:snapToGrid w:val="0"/>
        <w:rPr>
          <w:color w:val="auto"/>
          <w:kern w:val="0"/>
        </w:rPr>
      </w:pPr>
      <w:r>
        <w:rPr>
          <w:rFonts w:ascii="宋体" w:hAnsi="宋体"/>
          <w:color w:val="auto"/>
          <w:kern w:val="0"/>
        </w:rPr>
        <w:t>附图</w:t>
      </w:r>
    </w:p>
    <w:p w14:paraId="2749A12F">
      <w:pPr>
        <w:adjustRightInd w:val="0"/>
        <w:snapToGrid w:val="0"/>
        <w:rPr>
          <w:color w:val="auto"/>
          <w:kern w:val="0"/>
        </w:rPr>
      </w:pPr>
      <w:r>
        <w:rPr>
          <w:rFonts w:ascii="宋体" w:hAnsi="宋体"/>
          <w:color w:val="auto"/>
          <w:kern w:val="0"/>
        </w:rPr>
        <w:t>附图</w:t>
      </w:r>
      <w:r>
        <w:rPr>
          <w:color w:val="auto"/>
          <w:kern w:val="0"/>
        </w:rPr>
        <w:t>1</w:t>
      </w:r>
      <w:r>
        <w:rPr>
          <w:rFonts w:ascii="宋体" w:hAnsi="宋体"/>
          <w:color w:val="auto"/>
          <w:kern w:val="0"/>
        </w:rPr>
        <w:t>：项目地理位置图</w:t>
      </w:r>
    </w:p>
    <w:p w14:paraId="05124CC5">
      <w:pPr>
        <w:adjustRightInd w:val="0"/>
        <w:snapToGrid w:val="0"/>
        <w:rPr>
          <w:color w:val="auto"/>
          <w:kern w:val="0"/>
        </w:rPr>
      </w:pPr>
      <w:r>
        <w:rPr>
          <w:rFonts w:ascii="宋体" w:hAnsi="宋体"/>
          <w:color w:val="auto"/>
          <w:kern w:val="0"/>
        </w:rPr>
        <w:t>附图</w:t>
      </w:r>
      <w:r>
        <w:rPr>
          <w:color w:val="auto"/>
          <w:kern w:val="0"/>
        </w:rPr>
        <w:t>2</w:t>
      </w:r>
      <w:r>
        <w:rPr>
          <w:rFonts w:ascii="宋体" w:hAnsi="宋体"/>
          <w:color w:val="auto"/>
          <w:kern w:val="0"/>
        </w:rPr>
        <w:t>：项目区域水系图</w:t>
      </w:r>
    </w:p>
    <w:p w14:paraId="2CCF1C75">
      <w:pPr>
        <w:adjustRightInd w:val="0"/>
        <w:snapToGrid w:val="0"/>
        <w:rPr>
          <w:color w:val="auto"/>
          <w:kern w:val="0"/>
        </w:rPr>
      </w:pPr>
      <w:r>
        <w:rPr>
          <w:rFonts w:ascii="宋体" w:hAnsi="宋体"/>
          <w:color w:val="auto"/>
          <w:kern w:val="0"/>
        </w:rPr>
        <w:t>附图</w:t>
      </w:r>
      <w:r>
        <w:rPr>
          <w:color w:val="auto"/>
          <w:kern w:val="0"/>
        </w:rPr>
        <w:t>3</w:t>
      </w:r>
      <w:r>
        <w:rPr>
          <w:rFonts w:ascii="宋体" w:hAnsi="宋体"/>
          <w:color w:val="auto"/>
          <w:kern w:val="0"/>
        </w:rPr>
        <w:t>：</w:t>
      </w:r>
      <w:r>
        <w:rPr>
          <w:rFonts w:hint="eastAsia" w:ascii="宋体" w:hAnsi="宋体"/>
          <w:color w:val="auto"/>
          <w:kern w:val="0"/>
        </w:rPr>
        <w:t>项目周边关系及保护目标分布图</w:t>
      </w:r>
    </w:p>
    <w:p w14:paraId="2DADB03A">
      <w:pPr>
        <w:adjustRightInd w:val="0"/>
        <w:snapToGrid w:val="0"/>
        <w:rPr>
          <w:rFonts w:ascii="宋体" w:hAnsi="宋体"/>
          <w:color w:val="auto"/>
          <w:kern w:val="0"/>
        </w:rPr>
      </w:pPr>
      <w:r>
        <w:rPr>
          <w:rFonts w:ascii="宋体" w:hAnsi="宋体"/>
          <w:color w:val="auto"/>
          <w:kern w:val="0"/>
        </w:rPr>
        <w:t>附图</w:t>
      </w:r>
      <w:r>
        <w:rPr>
          <w:color w:val="auto"/>
          <w:kern w:val="0"/>
        </w:rPr>
        <w:t>4</w:t>
      </w:r>
      <w:r>
        <w:rPr>
          <w:rFonts w:ascii="宋体" w:hAnsi="宋体"/>
          <w:color w:val="auto"/>
          <w:kern w:val="0"/>
        </w:rPr>
        <w:t>：项目</w:t>
      </w:r>
      <w:r>
        <w:rPr>
          <w:rFonts w:hint="eastAsia" w:ascii="宋体" w:hAnsi="宋体"/>
          <w:color w:val="auto"/>
          <w:kern w:val="0"/>
        </w:rPr>
        <w:t>平面布置</w:t>
      </w:r>
      <w:r>
        <w:rPr>
          <w:rFonts w:ascii="宋体" w:hAnsi="宋体"/>
          <w:color w:val="auto"/>
          <w:kern w:val="0"/>
        </w:rPr>
        <w:t>图</w:t>
      </w:r>
    </w:p>
    <w:p w14:paraId="2F9D174E">
      <w:pPr>
        <w:adjustRightInd w:val="0"/>
        <w:snapToGrid w:val="0"/>
        <w:rPr>
          <w:color w:val="auto"/>
          <w:kern w:val="0"/>
        </w:rPr>
      </w:pPr>
      <w:r>
        <w:rPr>
          <w:rFonts w:ascii="宋体" w:hAnsi="宋体"/>
          <w:color w:val="auto"/>
          <w:kern w:val="0"/>
        </w:rPr>
        <w:t>附图</w:t>
      </w:r>
      <w:r>
        <w:rPr>
          <w:rFonts w:hint="eastAsia"/>
          <w:color w:val="auto"/>
          <w:kern w:val="0"/>
          <w:lang w:val="en-US" w:eastAsia="zh-CN"/>
        </w:rPr>
        <w:t>5</w:t>
      </w:r>
      <w:r>
        <w:rPr>
          <w:rFonts w:ascii="宋体" w:hAnsi="宋体"/>
          <w:color w:val="auto"/>
          <w:kern w:val="0"/>
        </w:rPr>
        <w:t>：项目</w:t>
      </w:r>
      <w:r>
        <w:rPr>
          <w:rFonts w:hint="eastAsia" w:ascii="宋体" w:hAnsi="宋体"/>
          <w:color w:val="auto"/>
          <w:kern w:val="0"/>
        </w:rPr>
        <w:t>与牛栏江水功能区划位置</w:t>
      </w:r>
      <w:r>
        <w:rPr>
          <w:rFonts w:ascii="宋体" w:hAnsi="宋体"/>
          <w:color w:val="auto"/>
          <w:kern w:val="0"/>
        </w:rPr>
        <w:t>图</w:t>
      </w:r>
    </w:p>
    <w:p w14:paraId="6A159961">
      <w:pPr>
        <w:adjustRightInd w:val="0"/>
        <w:snapToGrid w:val="0"/>
        <w:rPr>
          <w:color w:val="auto"/>
          <w:kern w:val="0"/>
        </w:rPr>
      </w:pPr>
      <w:r>
        <w:rPr>
          <w:color w:val="auto"/>
          <w:kern w:val="0"/>
        </w:rPr>
        <w:t>附图</w:t>
      </w:r>
      <w:r>
        <w:rPr>
          <w:rFonts w:hint="eastAsia"/>
          <w:color w:val="auto"/>
          <w:kern w:val="0"/>
          <w:lang w:val="en-US" w:eastAsia="zh-CN"/>
        </w:rPr>
        <w:t>6</w:t>
      </w:r>
      <w:r>
        <w:rPr>
          <w:rFonts w:hint="eastAsia"/>
          <w:color w:val="auto"/>
          <w:kern w:val="0"/>
        </w:rPr>
        <w:t>：</w:t>
      </w:r>
      <w:r>
        <w:rPr>
          <w:color w:val="auto"/>
          <w:kern w:val="0"/>
        </w:rPr>
        <w:t>生态环境分区管控单元图</w:t>
      </w:r>
    </w:p>
    <w:p w14:paraId="3785B051">
      <w:pPr>
        <w:rPr>
          <w:rFonts w:hint="eastAsia"/>
          <w:color w:val="auto"/>
          <w:kern w:val="0"/>
        </w:rPr>
      </w:pPr>
      <w:r>
        <w:rPr>
          <w:rFonts w:hint="eastAsia"/>
          <w:color w:val="auto"/>
          <w:kern w:val="0"/>
        </w:rPr>
        <w:t>附图7</w:t>
      </w:r>
      <w:r>
        <w:rPr>
          <w:rFonts w:hint="eastAsia"/>
          <w:color w:val="auto"/>
          <w:kern w:val="0"/>
          <w:lang w:eastAsia="zh-CN"/>
        </w:rPr>
        <w:t>：</w:t>
      </w:r>
      <w:r>
        <w:rPr>
          <w:rFonts w:hint="eastAsia"/>
          <w:color w:val="auto"/>
          <w:kern w:val="0"/>
        </w:rPr>
        <w:t>项目与金所片区土地利用规划图位置关系</w:t>
      </w:r>
    </w:p>
    <w:p w14:paraId="39387419">
      <w:pPr>
        <w:rPr>
          <w:rFonts w:hint="default" w:eastAsia="宋体"/>
          <w:color w:val="auto"/>
          <w:kern w:val="0"/>
          <w:lang w:val="en-US" w:eastAsia="zh-CN"/>
        </w:rPr>
      </w:pPr>
      <w:r>
        <w:rPr>
          <w:rFonts w:hint="eastAsia"/>
          <w:color w:val="auto"/>
          <w:kern w:val="0"/>
          <w:lang w:val="en-US" w:eastAsia="zh-CN"/>
        </w:rPr>
        <w:t>附图8：项目分区防渗图</w:t>
      </w:r>
    </w:p>
    <w:p w14:paraId="024FF152">
      <w:pPr>
        <w:rPr>
          <w:color w:val="auto"/>
        </w:rPr>
      </w:pPr>
    </w:p>
    <w:p w14:paraId="6A933DEE">
      <w:pPr>
        <w:rPr>
          <w:color w:val="auto"/>
        </w:rPr>
      </w:pPr>
    </w:p>
    <w:p w14:paraId="409C5C33">
      <w:pPr>
        <w:rPr>
          <w:color w:val="auto"/>
        </w:rPr>
      </w:pPr>
    </w:p>
    <w:p w14:paraId="458FADD7">
      <w:pPr>
        <w:rPr>
          <w:color w:val="auto"/>
        </w:rPr>
      </w:pPr>
    </w:p>
    <w:p w14:paraId="10504002">
      <w:pPr>
        <w:rPr>
          <w:color w:val="auto"/>
        </w:rPr>
      </w:pPr>
    </w:p>
    <w:p w14:paraId="38DDF5C7">
      <w:pPr>
        <w:rPr>
          <w:color w:val="auto"/>
        </w:rPr>
      </w:pPr>
    </w:p>
    <w:p w14:paraId="4A6AEF85">
      <w:pPr>
        <w:rPr>
          <w:color w:val="auto"/>
        </w:rPr>
      </w:pPr>
    </w:p>
    <w:p w14:paraId="6DC99624">
      <w:pPr>
        <w:rPr>
          <w:color w:val="auto"/>
        </w:rPr>
      </w:pPr>
    </w:p>
    <w:p w14:paraId="67227B5B">
      <w:pPr>
        <w:rPr>
          <w:color w:val="auto"/>
        </w:rPr>
      </w:pPr>
    </w:p>
    <w:p w14:paraId="21B7D8CC">
      <w:pPr>
        <w:rPr>
          <w:color w:val="auto"/>
        </w:rPr>
      </w:pPr>
    </w:p>
    <w:p w14:paraId="279C2B04">
      <w:pPr>
        <w:rPr>
          <w:color w:val="auto"/>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2237D6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2" w:name="_Toc1956"/>
      <w:r>
        <w:rPr>
          <w:rFonts w:hint="eastAsia" w:ascii="黑体" w:hAnsi="黑体" w:eastAsia="黑体" w:cs="黑体"/>
          <w:color w:val="auto"/>
          <w:sz w:val="30"/>
          <w:szCs w:val="30"/>
          <w:lang w:val="en-US" w:eastAsia="zh-CN"/>
        </w:rPr>
        <w:t>一、建设项目基本情况</w:t>
      </w:r>
      <w:bookmarkEnd w:id="2"/>
    </w:p>
    <w:tbl>
      <w:tblPr>
        <w:tblStyle w:val="29"/>
        <w:tblW w:w="8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8"/>
        <w:gridCol w:w="2437"/>
        <w:gridCol w:w="1771"/>
        <w:gridCol w:w="2910"/>
      </w:tblGrid>
      <w:tr w14:paraId="46DE8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037C31E6">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建设项目名称</w:t>
            </w:r>
          </w:p>
        </w:tc>
        <w:tc>
          <w:tcPr>
            <w:tcW w:w="7118" w:type="dxa"/>
            <w:gridSpan w:val="3"/>
            <w:vAlign w:val="center"/>
          </w:tcPr>
          <w:p w14:paraId="18A9A0E9">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危险品车辆清洗</w:t>
            </w:r>
          </w:p>
        </w:tc>
      </w:tr>
      <w:tr w14:paraId="323EA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53273EC">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项目代码</w:t>
            </w:r>
          </w:p>
        </w:tc>
        <w:tc>
          <w:tcPr>
            <w:tcW w:w="7118" w:type="dxa"/>
            <w:gridSpan w:val="3"/>
            <w:vAlign w:val="center"/>
          </w:tcPr>
          <w:p w14:paraId="13641549">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2412-530129-04-05-694814</w:t>
            </w:r>
          </w:p>
        </w:tc>
      </w:tr>
      <w:tr w14:paraId="598A0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4767E78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建设单位联系人</w:t>
            </w:r>
          </w:p>
        </w:tc>
        <w:tc>
          <w:tcPr>
            <w:tcW w:w="2437" w:type="dxa"/>
            <w:vAlign w:val="center"/>
          </w:tcPr>
          <w:p w14:paraId="60524F8B">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p>
        </w:tc>
        <w:tc>
          <w:tcPr>
            <w:tcW w:w="1771" w:type="dxa"/>
            <w:vAlign w:val="center"/>
          </w:tcPr>
          <w:p w14:paraId="7E45BB7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联系方式</w:t>
            </w:r>
          </w:p>
        </w:tc>
        <w:tc>
          <w:tcPr>
            <w:tcW w:w="2910" w:type="dxa"/>
            <w:vAlign w:val="center"/>
          </w:tcPr>
          <w:p w14:paraId="58812668">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p>
        </w:tc>
      </w:tr>
      <w:tr w14:paraId="2F873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4B0FC12C">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建设地点</w:t>
            </w:r>
          </w:p>
        </w:tc>
        <w:tc>
          <w:tcPr>
            <w:tcW w:w="7118" w:type="dxa"/>
            <w:gridSpan w:val="3"/>
            <w:vAlign w:val="center"/>
          </w:tcPr>
          <w:p w14:paraId="1916BCAB">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rPr>
              <w:t>云南省昆明市寻甸</w:t>
            </w:r>
            <w:r>
              <w:rPr>
                <w:rFonts w:hint="eastAsia"/>
                <w:color w:val="auto"/>
                <w:highlight w:val="none"/>
                <w:lang w:val="en-US" w:eastAsia="zh-CN"/>
              </w:rPr>
              <w:t>县特色产业园区金所片区</w:t>
            </w:r>
          </w:p>
        </w:tc>
      </w:tr>
      <w:tr w14:paraId="7B7B3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BD47869">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地理坐标</w:t>
            </w:r>
          </w:p>
        </w:tc>
        <w:tc>
          <w:tcPr>
            <w:tcW w:w="7118" w:type="dxa"/>
            <w:gridSpan w:val="3"/>
            <w:vAlign w:val="center"/>
          </w:tcPr>
          <w:p w14:paraId="38C84659">
            <w:pPr>
              <w:spacing w:line="276" w:lineRule="auto"/>
              <w:ind w:firstLine="0" w:firstLineChars="0"/>
              <w:jc w:val="center"/>
              <w:rPr>
                <w:rFonts w:ascii="Times New Roman" w:hAnsi="Times New Roman"/>
                <w:color w:val="auto"/>
                <w:highlight w:val="none"/>
              </w:rPr>
            </w:pPr>
            <w:r>
              <w:rPr>
                <w:rFonts w:hint="default"/>
                <w:color w:val="auto"/>
              </w:rPr>
              <w:t>（</w:t>
            </w:r>
            <w:bookmarkStart w:id="3" w:name="OLE_LINK3"/>
            <w:r>
              <w:rPr>
                <w:rFonts w:hint="default"/>
                <w:color w:val="auto"/>
              </w:rPr>
              <w:t>经度103°</w:t>
            </w:r>
            <w:r>
              <w:rPr>
                <w:rFonts w:hint="eastAsia"/>
                <w:color w:val="auto"/>
                <w:lang w:val="en-US" w:eastAsia="zh-CN"/>
              </w:rPr>
              <w:t>1</w:t>
            </w:r>
            <w:r>
              <w:rPr>
                <w:rFonts w:hint="default"/>
                <w:color w:val="auto"/>
              </w:rPr>
              <w:t>2′</w:t>
            </w:r>
            <w:r>
              <w:rPr>
                <w:rFonts w:hint="eastAsia"/>
                <w:color w:val="auto"/>
                <w:lang w:val="en-US" w:eastAsia="zh-CN"/>
              </w:rPr>
              <w:t>20.282</w:t>
            </w:r>
            <w:r>
              <w:rPr>
                <w:rFonts w:hint="default"/>
                <w:color w:val="auto"/>
              </w:rPr>
              <w:t>″，</w:t>
            </w:r>
            <w:r>
              <w:rPr>
                <w:rFonts w:hint="eastAsia"/>
                <w:color w:val="auto"/>
                <w:lang w:val="en-US" w:eastAsia="zh-CN"/>
              </w:rPr>
              <w:t>纬度</w:t>
            </w:r>
            <w:r>
              <w:rPr>
                <w:rFonts w:hint="default"/>
                <w:color w:val="auto"/>
              </w:rPr>
              <w:t>25°</w:t>
            </w:r>
            <w:r>
              <w:rPr>
                <w:rFonts w:hint="eastAsia"/>
                <w:color w:val="auto"/>
                <w:lang w:val="en-US" w:eastAsia="zh-CN"/>
              </w:rPr>
              <w:t>33</w:t>
            </w:r>
            <w:r>
              <w:rPr>
                <w:rFonts w:hint="default"/>
                <w:color w:val="auto"/>
              </w:rPr>
              <w:t>′</w:t>
            </w:r>
            <w:r>
              <w:rPr>
                <w:rFonts w:hint="eastAsia"/>
                <w:color w:val="auto"/>
                <w:lang w:val="en-US" w:eastAsia="zh-CN"/>
              </w:rPr>
              <w:t>19.857</w:t>
            </w:r>
            <w:r>
              <w:rPr>
                <w:rFonts w:hint="default"/>
                <w:color w:val="auto"/>
              </w:rPr>
              <w:t>″</w:t>
            </w:r>
            <w:bookmarkEnd w:id="3"/>
            <w:r>
              <w:rPr>
                <w:rFonts w:hint="default"/>
                <w:color w:val="auto"/>
              </w:rPr>
              <w:t>）</w:t>
            </w:r>
          </w:p>
        </w:tc>
      </w:tr>
      <w:tr w14:paraId="47E9B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58" w:type="dxa"/>
            <w:tcMar>
              <w:top w:w="16" w:type="dxa"/>
              <w:left w:w="16" w:type="dxa"/>
              <w:right w:w="16" w:type="dxa"/>
            </w:tcMar>
            <w:vAlign w:val="center"/>
          </w:tcPr>
          <w:p w14:paraId="1D1D57F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国民经济</w:t>
            </w:r>
          </w:p>
          <w:p w14:paraId="7AC8A32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行业类别</w:t>
            </w:r>
          </w:p>
        </w:tc>
        <w:tc>
          <w:tcPr>
            <w:tcW w:w="2437" w:type="dxa"/>
            <w:vAlign w:val="center"/>
          </w:tcPr>
          <w:p w14:paraId="20D2D0D4">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O8111汽车修理与服务</w:t>
            </w:r>
          </w:p>
        </w:tc>
        <w:tc>
          <w:tcPr>
            <w:tcW w:w="1771" w:type="dxa"/>
            <w:vAlign w:val="center"/>
          </w:tcPr>
          <w:p w14:paraId="59B5BDD6">
            <w:pPr>
              <w:adjustRightInd w:val="0"/>
              <w:snapToGrid w:val="0"/>
              <w:spacing w:line="276" w:lineRule="auto"/>
              <w:ind w:firstLine="0" w:firstLineChars="0"/>
              <w:jc w:val="center"/>
              <w:rPr>
                <w:rFonts w:ascii="Times New Roman" w:hAnsi="Times New Roman"/>
                <w:color w:val="auto"/>
                <w:highlight w:val="none"/>
              </w:rPr>
            </w:pPr>
            <w:bookmarkStart w:id="4" w:name="_Hlk49843745"/>
            <w:r>
              <w:rPr>
                <w:rFonts w:ascii="Times New Roman" w:hAnsi="Times New Roman"/>
                <w:color w:val="auto"/>
                <w:highlight w:val="none"/>
              </w:rPr>
              <w:t>建设项目</w:t>
            </w:r>
          </w:p>
          <w:p w14:paraId="268E818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行业类别</w:t>
            </w:r>
            <w:bookmarkEnd w:id="4"/>
          </w:p>
        </w:tc>
        <w:tc>
          <w:tcPr>
            <w:tcW w:w="2910" w:type="dxa"/>
            <w:vAlign w:val="center"/>
          </w:tcPr>
          <w:p w14:paraId="1F96F535">
            <w:pPr>
              <w:adjustRightInd w:val="0"/>
              <w:snapToGrid w:val="0"/>
              <w:spacing w:line="276" w:lineRule="auto"/>
              <w:ind w:firstLine="0" w:firstLineChars="0"/>
              <w:rPr>
                <w:rFonts w:ascii="Times New Roman" w:hAnsi="Times New Roman"/>
                <w:color w:val="auto"/>
                <w:highlight w:val="none"/>
              </w:rPr>
            </w:pPr>
            <w:r>
              <w:rPr>
                <w:rFonts w:hint="eastAsia"/>
                <w:color w:val="auto"/>
                <w:highlight w:val="none"/>
                <w:lang w:val="en-US" w:eastAsia="zh-CN"/>
              </w:rPr>
              <w:t>五十</w:t>
            </w:r>
            <w:r>
              <w:rPr>
                <w:rFonts w:hint="eastAsia" w:ascii="Times New Roman" w:hAnsi="Times New Roman"/>
                <w:color w:val="auto"/>
                <w:highlight w:val="none"/>
              </w:rPr>
              <w:t>、</w:t>
            </w:r>
            <w:r>
              <w:rPr>
                <w:rFonts w:hint="eastAsia"/>
                <w:color w:val="auto"/>
                <w:highlight w:val="none"/>
                <w:lang w:val="en-US" w:eastAsia="zh-CN"/>
              </w:rPr>
              <w:t>社会事业与服务业—120、洗车场—危险化学品运输车辆清洗场</w:t>
            </w:r>
          </w:p>
        </w:tc>
      </w:tr>
      <w:tr w14:paraId="69E5A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58" w:type="dxa"/>
            <w:tcMar>
              <w:top w:w="16" w:type="dxa"/>
              <w:left w:w="16" w:type="dxa"/>
              <w:right w:w="16" w:type="dxa"/>
            </w:tcMar>
            <w:vAlign w:val="center"/>
          </w:tcPr>
          <w:p w14:paraId="080C4149">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建设性质</w:t>
            </w:r>
          </w:p>
        </w:tc>
        <w:tc>
          <w:tcPr>
            <w:tcW w:w="2437" w:type="dxa"/>
            <w:vAlign w:val="center"/>
          </w:tcPr>
          <w:p w14:paraId="73630407">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新建（迁建）</w:t>
            </w:r>
          </w:p>
          <w:p w14:paraId="2F87D0D0">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改建</w:t>
            </w:r>
          </w:p>
          <w:p w14:paraId="7D5102F2">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扩建</w:t>
            </w:r>
          </w:p>
          <w:p w14:paraId="458D576C">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技术改造</w:t>
            </w:r>
          </w:p>
        </w:tc>
        <w:tc>
          <w:tcPr>
            <w:tcW w:w="1771" w:type="dxa"/>
            <w:vAlign w:val="center"/>
          </w:tcPr>
          <w:p w14:paraId="640868E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建设项目</w:t>
            </w:r>
          </w:p>
          <w:p w14:paraId="545C708F">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申报情形</w:t>
            </w:r>
          </w:p>
        </w:tc>
        <w:tc>
          <w:tcPr>
            <w:tcW w:w="2910" w:type="dxa"/>
            <w:vAlign w:val="center"/>
          </w:tcPr>
          <w:p w14:paraId="1D04F1A8">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 xml:space="preserve">首次申报项目             </w:t>
            </w:r>
          </w:p>
          <w:p w14:paraId="5EBB85D5">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不予批准后再次申报项目</w:t>
            </w:r>
          </w:p>
          <w:p w14:paraId="60698E1B">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 xml:space="preserve">超五年重新审核项目     </w:t>
            </w:r>
          </w:p>
          <w:p w14:paraId="02373109">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重大变动重新报批项目</w:t>
            </w:r>
          </w:p>
        </w:tc>
      </w:tr>
      <w:tr w14:paraId="26577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58" w:type="dxa"/>
            <w:tcMar>
              <w:top w:w="16" w:type="dxa"/>
              <w:left w:w="16" w:type="dxa"/>
              <w:right w:w="16" w:type="dxa"/>
            </w:tcMar>
            <w:vAlign w:val="center"/>
          </w:tcPr>
          <w:p w14:paraId="7413EC9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项目审批（核准/备案）部门（选填）</w:t>
            </w:r>
          </w:p>
        </w:tc>
        <w:tc>
          <w:tcPr>
            <w:tcW w:w="2437" w:type="dxa"/>
            <w:vAlign w:val="center"/>
          </w:tcPr>
          <w:p w14:paraId="3AE53195">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寻甸回族彝族自治县发展和改革局</w:t>
            </w:r>
          </w:p>
        </w:tc>
        <w:tc>
          <w:tcPr>
            <w:tcW w:w="1771" w:type="dxa"/>
            <w:vAlign w:val="center"/>
          </w:tcPr>
          <w:p w14:paraId="28311A8F">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项目审批（核准/</w:t>
            </w:r>
          </w:p>
          <w:p w14:paraId="49E0F53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备案）文号（选填）</w:t>
            </w:r>
          </w:p>
        </w:tc>
        <w:tc>
          <w:tcPr>
            <w:tcW w:w="2910" w:type="dxa"/>
            <w:vAlign w:val="center"/>
          </w:tcPr>
          <w:p w14:paraId="1EC0B530">
            <w:pPr>
              <w:pStyle w:val="19"/>
              <w:ind w:firstLine="0" w:firstLineChars="0"/>
              <w:jc w:val="center"/>
              <w:rPr>
                <w:rFonts w:ascii="Times New Roman" w:hAnsi="Times New Roman"/>
                <w:color w:val="auto"/>
                <w:highlight w:val="none"/>
              </w:rPr>
            </w:pPr>
            <w:r>
              <w:rPr>
                <w:rFonts w:hint="eastAsia" w:ascii="Times New Roman" w:hAnsi="Times New Roman"/>
                <w:color w:val="auto"/>
                <w:highlight w:val="none"/>
              </w:rPr>
              <w:t>2412-530129-04-05-694814</w:t>
            </w:r>
          </w:p>
        </w:tc>
      </w:tr>
      <w:tr w14:paraId="34142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694B4971">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总投资（万元）</w:t>
            </w:r>
          </w:p>
        </w:tc>
        <w:tc>
          <w:tcPr>
            <w:tcW w:w="2437" w:type="dxa"/>
            <w:vAlign w:val="center"/>
          </w:tcPr>
          <w:p w14:paraId="0C711B38">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50</w:t>
            </w:r>
          </w:p>
        </w:tc>
        <w:tc>
          <w:tcPr>
            <w:tcW w:w="1771" w:type="dxa"/>
            <w:tcMar>
              <w:top w:w="16" w:type="dxa"/>
              <w:left w:w="16" w:type="dxa"/>
              <w:right w:w="16" w:type="dxa"/>
            </w:tcMar>
            <w:vAlign w:val="center"/>
          </w:tcPr>
          <w:p w14:paraId="2F985E23">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环保投资（万元）</w:t>
            </w:r>
          </w:p>
        </w:tc>
        <w:tc>
          <w:tcPr>
            <w:tcW w:w="2910" w:type="dxa"/>
            <w:vAlign w:val="center"/>
          </w:tcPr>
          <w:p w14:paraId="221D7BA0">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8.7</w:t>
            </w:r>
          </w:p>
        </w:tc>
      </w:tr>
      <w:tr w14:paraId="7CC5F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1651DD4">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环保投资占比（%）</w:t>
            </w:r>
          </w:p>
        </w:tc>
        <w:tc>
          <w:tcPr>
            <w:tcW w:w="2437" w:type="dxa"/>
            <w:vAlign w:val="center"/>
          </w:tcPr>
          <w:p w14:paraId="3B0E86C0">
            <w:pPr>
              <w:adjustRightInd w:val="0"/>
              <w:snapToGrid w:val="0"/>
              <w:spacing w:line="276" w:lineRule="auto"/>
              <w:ind w:firstLine="0" w:firstLineChars="0"/>
              <w:jc w:val="center"/>
              <w:rPr>
                <w:rFonts w:ascii="Times New Roman" w:hAnsi="Times New Roman"/>
                <w:color w:val="auto"/>
                <w:highlight w:val="none"/>
              </w:rPr>
            </w:pPr>
            <w:r>
              <w:rPr>
                <w:rFonts w:hint="eastAsia"/>
                <w:color w:val="auto"/>
                <w:highlight w:val="none"/>
                <w:lang w:val="en-US" w:eastAsia="zh-CN"/>
              </w:rPr>
              <w:t>17.4</w:t>
            </w:r>
            <w:r>
              <w:rPr>
                <w:rFonts w:hint="eastAsia" w:ascii="Times New Roman" w:hAnsi="Times New Roman"/>
                <w:color w:val="auto"/>
                <w:highlight w:val="none"/>
              </w:rPr>
              <w:t>%</w:t>
            </w:r>
          </w:p>
        </w:tc>
        <w:tc>
          <w:tcPr>
            <w:tcW w:w="1771" w:type="dxa"/>
            <w:tcMar>
              <w:top w:w="16" w:type="dxa"/>
              <w:left w:w="16" w:type="dxa"/>
              <w:right w:w="16" w:type="dxa"/>
            </w:tcMar>
            <w:vAlign w:val="center"/>
          </w:tcPr>
          <w:p w14:paraId="6E20EB1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施工工期</w:t>
            </w:r>
          </w:p>
        </w:tc>
        <w:tc>
          <w:tcPr>
            <w:tcW w:w="2910" w:type="dxa"/>
            <w:vAlign w:val="center"/>
          </w:tcPr>
          <w:p w14:paraId="07984F5E">
            <w:pPr>
              <w:adjustRightInd w:val="0"/>
              <w:snapToGrid w:val="0"/>
              <w:spacing w:line="276" w:lineRule="auto"/>
              <w:ind w:firstLine="0" w:firstLineChars="0"/>
              <w:jc w:val="center"/>
              <w:rPr>
                <w:rFonts w:hint="eastAsia" w:ascii="Times New Roman" w:hAnsi="Times New Roman" w:eastAsia="宋体"/>
                <w:color w:val="auto"/>
                <w:highlight w:val="none"/>
                <w:lang w:eastAsia="zh-CN"/>
              </w:rPr>
            </w:pPr>
            <w:r>
              <w:rPr>
                <w:rFonts w:hint="eastAsia"/>
                <w:color w:val="auto"/>
                <w:highlight w:val="none"/>
                <w:lang w:val="en-US" w:eastAsia="zh-CN"/>
              </w:rPr>
              <w:t>2</w:t>
            </w:r>
          </w:p>
        </w:tc>
      </w:tr>
      <w:tr w14:paraId="3ED3B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543A2D0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是否开工建设</w:t>
            </w:r>
          </w:p>
        </w:tc>
        <w:tc>
          <w:tcPr>
            <w:tcW w:w="2437" w:type="dxa"/>
            <w:vAlign w:val="center"/>
          </w:tcPr>
          <w:p w14:paraId="266E7863">
            <w:pPr>
              <w:adjustRightInd w:val="0"/>
              <w:snapToGrid w:val="0"/>
              <w:spacing w:line="276" w:lineRule="auto"/>
              <w:ind w:firstLine="0" w:firstLineChars="0"/>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否</w:t>
            </w:r>
          </w:p>
          <w:p w14:paraId="7C9C5A60">
            <w:pPr>
              <w:adjustRightInd w:val="0"/>
              <w:snapToGrid w:val="0"/>
              <w:spacing w:line="276" w:lineRule="auto"/>
              <w:ind w:firstLine="0" w:firstLineChars="0"/>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是：</w:t>
            </w:r>
          </w:p>
        </w:tc>
        <w:tc>
          <w:tcPr>
            <w:tcW w:w="1771" w:type="dxa"/>
            <w:tcMar>
              <w:top w:w="16" w:type="dxa"/>
              <w:left w:w="16" w:type="dxa"/>
              <w:right w:w="16" w:type="dxa"/>
            </w:tcMar>
            <w:vAlign w:val="center"/>
          </w:tcPr>
          <w:p w14:paraId="2D5A451D">
            <w:pPr>
              <w:adjustRightInd w:val="0"/>
              <w:snapToGrid w:val="0"/>
              <w:spacing w:line="276" w:lineRule="auto"/>
              <w:ind w:firstLine="0" w:firstLineChars="0"/>
              <w:jc w:val="center"/>
              <w:rPr>
                <w:rFonts w:ascii="Times New Roman" w:hAnsi="Times New Roman"/>
                <w:color w:val="auto"/>
                <w:spacing w:val="-6"/>
                <w:highlight w:val="none"/>
              </w:rPr>
            </w:pPr>
            <w:r>
              <w:rPr>
                <w:rFonts w:ascii="Times New Roman" w:hAnsi="Times New Roman"/>
                <w:color w:val="auto"/>
                <w:spacing w:val="-6"/>
                <w:highlight w:val="none"/>
              </w:rPr>
              <w:t>用地（用海）</w:t>
            </w:r>
          </w:p>
          <w:p w14:paraId="10A3F250">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spacing w:val="-6"/>
                <w:highlight w:val="none"/>
              </w:rPr>
              <w:t>面积（m</w:t>
            </w:r>
            <w:r>
              <w:rPr>
                <w:rFonts w:ascii="Times New Roman" w:hAnsi="Times New Roman"/>
                <w:color w:val="auto"/>
                <w:spacing w:val="-6"/>
                <w:highlight w:val="none"/>
                <w:vertAlign w:val="superscript"/>
              </w:rPr>
              <w:t>2</w:t>
            </w:r>
            <w:r>
              <w:rPr>
                <w:rFonts w:ascii="Times New Roman" w:hAnsi="Times New Roman"/>
                <w:color w:val="auto"/>
                <w:spacing w:val="-6"/>
                <w:highlight w:val="none"/>
              </w:rPr>
              <w:t>）</w:t>
            </w:r>
          </w:p>
        </w:tc>
        <w:tc>
          <w:tcPr>
            <w:tcW w:w="2910" w:type="dxa"/>
            <w:vAlign w:val="center"/>
          </w:tcPr>
          <w:p w14:paraId="379F904D">
            <w:pPr>
              <w:adjustRightInd w:val="0"/>
              <w:snapToGrid w:val="0"/>
              <w:spacing w:line="276" w:lineRule="auto"/>
              <w:ind w:firstLine="0" w:firstLineChars="0"/>
              <w:jc w:val="center"/>
              <w:rPr>
                <w:rFonts w:ascii="Times New Roman" w:hAnsi="Times New Roman"/>
                <w:color w:val="auto"/>
                <w:highlight w:val="none"/>
              </w:rPr>
            </w:pP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p>
        </w:tc>
      </w:tr>
      <w:tr w14:paraId="3A7CE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0FE61526">
            <w:pPr>
              <w:autoSpaceDE w:val="0"/>
              <w:autoSpaceDN w:val="0"/>
              <w:adjustRightInd w:val="0"/>
              <w:snapToGrid w:val="0"/>
              <w:spacing w:line="240" w:lineRule="auto"/>
              <w:ind w:firstLine="0" w:firstLineChars="0"/>
              <w:jc w:val="center"/>
              <w:rPr>
                <w:rFonts w:ascii="Times New Roman" w:hAnsi="Times New Roman"/>
                <w:color w:val="auto"/>
                <w:kern w:val="0"/>
                <w:highlight w:val="none"/>
              </w:rPr>
            </w:pPr>
            <w:r>
              <w:rPr>
                <w:rFonts w:ascii="Times New Roman" w:hAnsi="Times New Roman"/>
                <w:color w:val="auto"/>
                <w:highlight w:val="none"/>
              </w:rPr>
              <w:t>专项评价设置情况</w:t>
            </w:r>
          </w:p>
        </w:tc>
        <w:tc>
          <w:tcPr>
            <w:tcW w:w="7118" w:type="dxa"/>
            <w:gridSpan w:val="3"/>
            <w:vAlign w:val="center"/>
          </w:tcPr>
          <w:p w14:paraId="384B7C91">
            <w:pPr>
              <w:ind w:firstLine="480"/>
              <w:rPr>
                <w:rFonts w:ascii="Times New Roman" w:hAnsi="Times New Roman"/>
                <w:color w:val="auto"/>
                <w:highlight w:val="none"/>
              </w:rPr>
            </w:pPr>
            <w:r>
              <w:rPr>
                <w:rFonts w:hint="eastAsia" w:ascii="Times New Roman" w:hAnsi="Times New Roman"/>
                <w:color w:val="auto"/>
                <w:highlight w:val="none"/>
              </w:rPr>
              <w:t>项目专项评价判定情况如下表所示。</w:t>
            </w:r>
          </w:p>
          <w:p w14:paraId="6E8F4011">
            <w:pPr>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表1-1 项目专项评价判定表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494"/>
              <w:gridCol w:w="2537"/>
              <w:gridCol w:w="1051"/>
            </w:tblGrid>
            <w:tr w14:paraId="4C9C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30662C14">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专项评价类比</w:t>
                  </w:r>
                </w:p>
              </w:tc>
              <w:tc>
                <w:tcPr>
                  <w:tcW w:w="1810" w:type="pct"/>
                  <w:vAlign w:val="center"/>
                </w:tcPr>
                <w:p w14:paraId="595CBFE3">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设置原则</w:t>
                  </w:r>
                </w:p>
              </w:tc>
              <w:tc>
                <w:tcPr>
                  <w:tcW w:w="1841" w:type="pct"/>
                  <w:vAlign w:val="center"/>
                </w:tcPr>
                <w:p w14:paraId="0773A04A">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本项目情况</w:t>
                  </w:r>
                </w:p>
              </w:tc>
              <w:tc>
                <w:tcPr>
                  <w:tcW w:w="762" w:type="pct"/>
                  <w:vAlign w:val="center"/>
                </w:tcPr>
                <w:p w14:paraId="2F85DD09">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是否设置专项评价</w:t>
                  </w:r>
                </w:p>
              </w:tc>
            </w:tr>
            <w:tr w14:paraId="041D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0098788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大气</w:t>
                  </w:r>
                </w:p>
              </w:tc>
              <w:tc>
                <w:tcPr>
                  <w:tcW w:w="1810" w:type="pct"/>
                  <w:vAlign w:val="center"/>
                </w:tcPr>
                <w:p w14:paraId="0B95A6B4">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排放废气含有毒有害污染物</w:t>
                  </w:r>
                  <w:r>
                    <w:rPr>
                      <w:rFonts w:hint="eastAsia" w:ascii="Times New Roman" w:hAnsi="Times New Roman"/>
                      <w:color w:val="auto"/>
                      <w:sz w:val="21"/>
                      <w:szCs w:val="21"/>
                      <w:highlight w:val="none"/>
                      <w:vertAlign w:val="superscript"/>
                    </w:rPr>
                    <w:t>1</w:t>
                  </w:r>
                  <w:r>
                    <w:rPr>
                      <w:rFonts w:hint="eastAsia" w:ascii="Times New Roman" w:hAnsi="Times New Roman"/>
                      <w:color w:val="auto"/>
                      <w:sz w:val="21"/>
                      <w:szCs w:val="21"/>
                      <w:highlight w:val="none"/>
                    </w:rPr>
                    <w:t>、二噁英、苯并[a]芘、氰化物、氯气且厂界500m范围内有环境空气保护目标</w:t>
                  </w:r>
                  <w:r>
                    <w:rPr>
                      <w:rFonts w:hint="eastAsia" w:ascii="Times New Roman" w:hAnsi="Times New Roman"/>
                      <w:color w:val="auto"/>
                      <w:sz w:val="21"/>
                      <w:szCs w:val="21"/>
                      <w:highlight w:val="none"/>
                      <w:vertAlign w:val="superscript"/>
                    </w:rPr>
                    <w:t>2</w:t>
                  </w:r>
                  <w:r>
                    <w:rPr>
                      <w:rFonts w:hint="eastAsia" w:ascii="Times New Roman" w:hAnsi="Times New Roman"/>
                      <w:color w:val="auto"/>
                      <w:sz w:val="21"/>
                      <w:szCs w:val="21"/>
                      <w:highlight w:val="none"/>
                    </w:rPr>
                    <w:t>的建设项目。</w:t>
                  </w:r>
                </w:p>
              </w:tc>
              <w:tc>
                <w:tcPr>
                  <w:tcW w:w="1841" w:type="pct"/>
                  <w:vAlign w:val="center"/>
                </w:tcPr>
                <w:p w14:paraId="0B1D3AF0">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项目排放废气主要为非甲烷总烃，不含需设置大气专项评价的排放因子</w:t>
                  </w:r>
                  <w:r>
                    <w:rPr>
                      <w:rFonts w:hint="eastAsia"/>
                      <w:color w:val="auto"/>
                      <w:sz w:val="21"/>
                      <w:szCs w:val="21"/>
                      <w:highlight w:val="none"/>
                      <w:lang w:eastAsia="zh-CN"/>
                    </w:rPr>
                    <w:t>，</w:t>
                  </w:r>
                  <w:r>
                    <w:rPr>
                      <w:rFonts w:hint="eastAsia"/>
                      <w:color w:val="auto"/>
                      <w:kern w:val="0"/>
                      <w:sz w:val="21"/>
                      <w:szCs w:val="21"/>
                      <w:lang w:val="en-US" w:eastAsia="zh-CN"/>
                    </w:rPr>
                    <w:t>不需设置专项评价。</w:t>
                  </w:r>
                </w:p>
              </w:tc>
              <w:tc>
                <w:tcPr>
                  <w:tcW w:w="762" w:type="pct"/>
                  <w:vAlign w:val="center"/>
                </w:tcPr>
                <w:p w14:paraId="7D4FA95F">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否</w:t>
                  </w:r>
                </w:p>
              </w:tc>
            </w:tr>
            <w:tr w14:paraId="5AED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5979AF95">
                  <w:pPr>
                    <w:tabs>
                      <w:tab w:val="left" w:pos="5327"/>
                      <w:tab w:val="left" w:pos="6326"/>
                      <w:tab w:val="left" w:pos="7230"/>
                      <w:tab w:val="left" w:pos="9301"/>
                    </w:tabs>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地表水</w:t>
                  </w:r>
                </w:p>
              </w:tc>
              <w:tc>
                <w:tcPr>
                  <w:tcW w:w="1810" w:type="pct"/>
                  <w:vAlign w:val="center"/>
                </w:tcPr>
                <w:p w14:paraId="57789888">
                  <w:pPr>
                    <w:tabs>
                      <w:tab w:val="left" w:pos="5327"/>
                      <w:tab w:val="left" w:pos="6326"/>
                      <w:tab w:val="left" w:pos="7230"/>
                      <w:tab w:val="left" w:pos="9301"/>
                    </w:tabs>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新增工业废水直排建设项目（槽罐车外送污水处理厂的除外）；新增废水直排的污水集中处理厂。</w:t>
                  </w:r>
                </w:p>
              </w:tc>
              <w:tc>
                <w:tcPr>
                  <w:tcW w:w="1841" w:type="pct"/>
                  <w:vAlign w:val="center"/>
                </w:tcPr>
                <w:p w14:paraId="1A5F665E">
                  <w:pPr>
                    <w:spacing w:line="240" w:lineRule="auto"/>
                    <w:ind w:firstLine="0" w:firstLineChars="0"/>
                    <w:jc w:val="center"/>
                    <w:rPr>
                      <w:rFonts w:ascii="Times New Roman" w:hAnsi="Times New Roman"/>
                      <w:color w:val="auto"/>
                      <w:sz w:val="21"/>
                      <w:szCs w:val="21"/>
                      <w:highlight w:val="none"/>
                    </w:rPr>
                  </w:pPr>
                  <w:r>
                    <w:rPr>
                      <w:rFonts w:hint="eastAsia"/>
                      <w:color w:val="auto"/>
                      <w:kern w:val="0"/>
                      <w:sz w:val="21"/>
                      <w:szCs w:val="21"/>
                    </w:rPr>
                    <w:t>本项目实施雨污分流排水体制，</w:t>
                  </w:r>
                  <w:r>
                    <w:rPr>
                      <w:rFonts w:hint="eastAsia"/>
                      <w:color w:val="auto"/>
                      <w:kern w:val="0"/>
                      <w:sz w:val="21"/>
                      <w:szCs w:val="21"/>
                      <w:highlight w:val="none"/>
                      <w:lang w:val="en-US" w:eastAsia="zh-CN"/>
                    </w:rPr>
                    <w:t>初期</w:t>
                  </w:r>
                  <w:r>
                    <w:rPr>
                      <w:rFonts w:hint="eastAsia"/>
                      <w:color w:val="auto"/>
                      <w:kern w:val="0"/>
                      <w:sz w:val="21"/>
                      <w:szCs w:val="21"/>
                      <w:highlight w:val="none"/>
                    </w:rPr>
                    <w:t>雨水经厂区</w:t>
                  </w:r>
                  <w:r>
                    <w:rPr>
                      <w:rFonts w:hint="eastAsia"/>
                      <w:color w:val="auto"/>
                      <w:kern w:val="0"/>
                      <w:sz w:val="21"/>
                      <w:szCs w:val="21"/>
                      <w:highlight w:val="none"/>
                      <w:lang w:val="en-US" w:eastAsia="zh-CN"/>
                    </w:rPr>
                    <w:t>初期雨水池沉淀后回用场地洒水降尘及绿化用水，其余雨水排入周边地表沟渠。</w:t>
                  </w:r>
                  <w:r>
                    <w:rPr>
                      <w:rFonts w:hint="eastAsia"/>
                      <w:color w:val="auto"/>
                      <w:kern w:val="0"/>
                      <w:sz w:val="21"/>
                      <w:szCs w:val="21"/>
                    </w:rPr>
                    <w:t>生活废水进入化粪池处理后，由于项目区未接通园区管网，定期委托环卫部门清掏，不外排。若今后项目区接通园区管网，项目生活废水经化粪池处理后排入园区市政污水管网</w:t>
                  </w:r>
                  <w:r>
                    <w:rPr>
                      <w:rFonts w:hint="eastAsia"/>
                      <w:color w:val="auto"/>
                      <w:kern w:val="0"/>
                      <w:sz w:val="21"/>
                      <w:szCs w:val="21"/>
                      <w:lang w:eastAsia="zh-CN"/>
                    </w:rPr>
                    <w:t>，</w:t>
                  </w:r>
                  <w:r>
                    <w:rPr>
                      <w:rFonts w:hint="eastAsia"/>
                      <w:color w:val="auto"/>
                      <w:kern w:val="0"/>
                      <w:sz w:val="21"/>
                      <w:szCs w:val="21"/>
                      <w:lang w:val="en-US" w:eastAsia="zh-CN"/>
                    </w:rPr>
                    <w:t>进入园区污水处理厂；生产废水收集后经一体化污水处理设施处理后回用，不外排，</w:t>
                  </w:r>
                  <w:r>
                    <w:rPr>
                      <w:rFonts w:hint="eastAsia"/>
                      <w:color w:val="auto"/>
                      <w:kern w:val="0"/>
                      <w:sz w:val="21"/>
                      <w:szCs w:val="21"/>
                    </w:rPr>
                    <w:t>不</w:t>
                  </w:r>
                  <w:r>
                    <w:rPr>
                      <w:rFonts w:hint="eastAsia"/>
                      <w:color w:val="auto"/>
                      <w:kern w:val="0"/>
                      <w:sz w:val="21"/>
                      <w:szCs w:val="21"/>
                      <w:lang w:val="en-US" w:eastAsia="zh-CN"/>
                    </w:rPr>
                    <w:t>需</w:t>
                  </w:r>
                  <w:r>
                    <w:rPr>
                      <w:rFonts w:hint="eastAsia"/>
                      <w:color w:val="auto"/>
                      <w:kern w:val="0"/>
                      <w:sz w:val="21"/>
                      <w:szCs w:val="21"/>
                    </w:rPr>
                    <w:t>设置专项</w:t>
                  </w:r>
                  <w:r>
                    <w:rPr>
                      <w:rFonts w:hint="eastAsia"/>
                      <w:color w:val="auto"/>
                      <w:kern w:val="0"/>
                      <w:sz w:val="21"/>
                      <w:szCs w:val="21"/>
                      <w:lang w:val="en-US" w:eastAsia="zh-CN"/>
                    </w:rPr>
                    <w:t>评价</w:t>
                  </w:r>
                  <w:r>
                    <w:rPr>
                      <w:rFonts w:hint="eastAsia"/>
                      <w:color w:val="auto"/>
                      <w:kern w:val="0"/>
                      <w:sz w:val="21"/>
                      <w:szCs w:val="21"/>
                    </w:rPr>
                    <w:t>。</w:t>
                  </w:r>
                </w:p>
              </w:tc>
              <w:tc>
                <w:tcPr>
                  <w:tcW w:w="762" w:type="pct"/>
                  <w:vAlign w:val="center"/>
                </w:tcPr>
                <w:p w14:paraId="6D2DE375">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47CC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797B26C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环境风险</w:t>
                  </w:r>
                </w:p>
              </w:tc>
              <w:tc>
                <w:tcPr>
                  <w:tcW w:w="1810" w:type="pct"/>
                  <w:vAlign w:val="center"/>
                </w:tcPr>
                <w:p w14:paraId="2AA9F32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有毒有害和易燃易爆危险物质存储量超过临界量</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的建设项目。</w:t>
                  </w:r>
                </w:p>
              </w:tc>
              <w:tc>
                <w:tcPr>
                  <w:tcW w:w="1841" w:type="pct"/>
                  <w:vAlign w:val="center"/>
                </w:tcPr>
                <w:p w14:paraId="31A09F5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项目风险物质主要为</w:t>
                  </w:r>
                  <w:r>
                    <w:rPr>
                      <w:rFonts w:hint="eastAsia"/>
                      <w:color w:val="auto"/>
                      <w:sz w:val="21"/>
                      <w:szCs w:val="21"/>
                      <w:highlight w:val="none"/>
                      <w:lang w:val="en-US" w:eastAsia="zh-CN"/>
                    </w:rPr>
                    <w:t>柴油</w:t>
                  </w:r>
                  <w:r>
                    <w:rPr>
                      <w:rFonts w:hint="eastAsia" w:ascii="Times New Roman" w:hAnsi="Times New Roman"/>
                      <w:color w:val="auto"/>
                      <w:sz w:val="21"/>
                      <w:szCs w:val="21"/>
                      <w:highlight w:val="none"/>
                    </w:rPr>
                    <w:t>，最大暂存量与临界量比值（Q）＜1，不</w:t>
                  </w:r>
                  <w:r>
                    <w:rPr>
                      <w:rFonts w:hint="eastAsia"/>
                      <w:color w:val="auto"/>
                      <w:sz w:val="21"/>
                      <w:szCs w:val="21"/>
                      <w:highlight w:val="none"/>
                      <w:lang w:val="en-US" w:eastAsia="zh-CN"/>
                    </w:rPr>
                    <w:t>需</w:t>
                  </w:r>
                  <w:r>
                    <w:rPr>
                      <w:rFonts w:hint="eastAsia" w:ascii="Times New Roman" w:hAnsi="Times New Roman"/>
                      <w:color w:val="auto"/>
                      <w:sz w:val="21"/>
                      <w:szCs w:val="21"/>
                      <w:highlight w:val="none"/>
                    </w:rPr>
                    <w:t>设</w:t>
                  </w:r>
                  <w:r>
                    <w:rPr>
                      <w:rFonts w:hint="eastAsia"/>
                      <w:color w:val="auto"/>
                      <w:sz w:val="21"/>
                      <w:szCs w:val="21"/>
                      <w:highlight w:val="none"/>
                      <w:lang w:val="en-US" w:eastAsia="zh-CN"/>
                    </w:rPr>
                    <w:t>置</w:t>
                  </w:r>
                  <w:r>
                    <w:rPr>
                      <w:rFonts w:hint="eastAsia" w:ascii="Times New Roman" w:hAnsi="Times New Roman"/>
                      <w:color w:val="auto"/>
                      <w:sz w:val="21"/>
                      <w:szCs w:val="21"/>
                      <w:highlight w:val="none"/>
                    </w:rPr>
                    <w:t>专项评价。</w:t>
                  </w:r>
                </w:p>
              </w:tc>
              <w:tc>
                <w:tcPr>
                  <w:tcW w:w="762" w:type="pct"/>
                  <w:vAlign w:val="center"/>
                </w:tcPr>
                <w:p w14:paraId="3991A143">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444E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58406A1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生态</w:t>
                  </w:r>
                </w:p>
              </w:tc>
              <w:tc>
                <w:tcPr>
                  <w:tcW w:w="1810" w:type="pct"/>
                  <w:vAlign w:val="center"/>
                </w:tcPr>
                <w:p w14:paraId="0F4887D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取水口下游500米范围内有重要水生生物的自然产卵场、索饵场、越冬场和洄游通道的新增河道取水的污染类建设项目。</w:t>
                  </w:r>
                </w:p>
              </w:tc>
              <w:tc>
                <w:tcPr>
                  <w:tcW w:w="1841" w:type="pct"/>
                  <w:vAlign w:val="center"/>
                </w:tcPr>
                <w:p w14:paraId="449EF49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本项目不涉及取水口，不需设置专项评价</w:t>
                  </w:r>
                </w:p>
              </w:tc>
              <w:tc>
                <w:tcPr>
                  <w:tcW w:w="762" w:type="pct"/>
                  <w:vAlign w:val="center"/>
                </w:tcPr>
                <w:p w14:paraId="32156EBB">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1C86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4232FB0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海洋</w:t>
                  </w:r>
                </w:p>
              </w:tc>
              <w:tc>
                <w:tcPr>
                  <w:tcW w:w="1810" w:type="pct"/>
                  <w:vAlign w:val="center"/>
                </w:tcPr>
                <w:p w14:paraId="158D433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直接向海排放污染物的海洋工程建设项目。</w:t>
                  </w:r>
                </w:p>
              </w:tc>
              <w:tc>
                <w:tcPr>
                  <w:tcW w:w="1841" w:type="pct"/>
                  <w:vAlign w:val="center"/>
                </w:tcPr>
                <w:p w14:paraId="307D1FB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项目不属于海洋工程建设项目，不向海洋排放污染物。</w:t>
                  </w:r>
                </w:p>
              </w:tc>
              <w:tc>
                <w:tcPr>
                  <w:tcW w:w="762" w:type="pct"/>
                  <w:vAlign w:val="center"/>
                </w:tcPr>
                <w:p w14:paraId="1B4B8C90">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6623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DCD3784">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注：1.废气中有毒有害污染物指纳入《有毒有害大气污染物名录》的污染物（不包括无排放标准的污染物）。</w:t>
                  </w:r>
                </w:p>
                <w:p w14:paraId="390EAE31">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2.环境空气保护目标指自然保护区、风景名胜区、居住区、文化区和农村地区中人群较集中的区域。</w:t>
                  </w:r>
                </w:p>
                <w:p w14:paraId="7E3F13DC">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3.临界量及其计算方法可参考《建设项目环境风险评价技术导则》（HJ169）附录B、附录C。</w:t>
                  </w:r>
                </w:p>
              </w:tc>
            </w:tr>
          </w:tbl>
          <w:p w14:paraId="130EED72">
            <w:pPr>
              <w:ind w:firstLine="480"/>
              <w:rPr>
                <w:rFonts w:ascii="Times New Roman" w:hAnsi="Times New Roman"/>
                <w:color w:val="auto"/>
                <w:highlight w:val="none"/>
              </w:rPr>
            </w:pPr>
            <w:r>
              <w:rPr>
                <w:rFonts w:hint="eastAsia" w:ascii="Times New Roman" w:hAnsi="Times New Roman"/>
                <w:color w:val="auto"/>
                <w:highlight w:val="none"/>
              </w:rPr>
              <w:t>由上表可知，本项目不设置专项评价。</w:t>
            </w:r>
          </w:p>
        </w:tc>
      </w:tr>
      <w:tr w14:paraId="2A7A4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417C3717">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规划情况</w:t>
            </w:r>
          </w:p>
        </w:tc>
        <w:tc>
          <w:tcPr>
            <w:tcW w:w="7118" w:type="dxa"/>
            <w:gridSpan w:val="3"/>
            <w:vAlign w:val="center"/>
          </w:tcPr>
          <w:p w14:paraId="11512CB6">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规划名称：</w:t>
            </w:r>
            <w:r>
              <w:rPr>
                <w:rFonts w:hint="eastAsia" w:ascii="Times New Roman" w:hAnsi="Times New Roman"/>
                <w:color w:val="auto"/>
                <w:kern w:val="0"/>
                <w:highlight w:val="none"/>
              </w:rPr>
              <w:t>《云南寻甸产业园区总体规划修编（2021—2035年）》</w:t>
            </w:r>
          </w:p>
          <w:p w14:paraId="2BA787ED">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审批机关：</w:t>
            </w:r>
            <w:r>
              <w:rPr>
                <w:rFonts w:hint="eastAsia" w:ascii="Times New Roman" w:hAnsi="Times New Roman"/>
                <w:color w:val="auto"/>
                <w:kern w:val="0"/>
                <w:highlight w:val="none"/>
              </w:rPr>
              <w:t>昆明市人民政府</w:t>
            </w:r>
          </w:p>
          <w:p w14:paraId="08C1006A">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审批文件名称及文号：</w:t>
            </w:r>
            <w:r>
              <w:rPr>
                <w:rFonts w:hint="eastAsia" w:ascii="Times New Roman" w:hAnsi="Times New Roman"/>
                <w:color w:val="auto"/>
                <w:kern w:val="0"/>
                <w:highlight w:val="none"/>
              </w:rPr>
              <w:t>昆明市人民政府关于《云南寻甸产业园区总体规划修编（2021-2035年）》的批复（昆政复[2023]63号）。</w:t>
            </w:r>
          </w:p>
        </w:tc>
      </w:tr>
      <w:tr w14:paraId="479C0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04A40AD2">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规划环境影响评价情况</w:t>
            </w:r>
          </w:p>
        </w:tc>
        <w:tc>
          <w:tcPr>
            <w:tcW w:w="7118" w:type="dxa"/>
            <w:gridSpan w:val="3"/>
            <w:vAlign w:val="center"/>
          </w:tcPr>
          <w:p w14:paraId="4DE90025">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规划环评名称：</w:t>
            </w:r>
            <w:r>
              <w:rPr>
                <w:rFonts w:hint="eastAsia" w:ascii="Times New Roman" w:hAnsi="Times New Roman"/>
                <w:color w:val="auto"/>
                <w:kern w:val="0"/>
                <w:highlight w:val="none"/>
              </w:rPr>
              <w:t>《云南寻甸产业园区总体规划修编（2021—2035年）环境影响报告书》</w:t>
            </w:r>
          </w:p>
          <w:p w14:paraId="0C9CA27D">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审查机关：</w:t>
            </w:r>
            <w:r>
              <w:rPr>
                <w:rFonts w:hint="eastAsia" w:ascii="Times New Roman" w:hAnsi="Times New Roman"/>
                <w:color w:val="auto"/>
                <w:kern w:val="0"/>
                <w:highlight w:val="none"/>
              </w:rPr>
              <w:t>昆明市生态环境局</w:t>
            </w:r>
          </w:p>
          <w:p w14:paraId="02B22355">
            <w:pPr>
              <w:autoSpaceDE w:val="0"/>
              <w:autoSpaceDN w:val="0"/>
              <w:adjustRightInd w:val="0"/>
              <w:snapToGrid w:val="0"/>
              <w:ind w:firstLine="0" w:firstLineChars="0"/>
              <w:jc w:val="left"/>
              <w:rPr>
                <w:rFonts w:ascii="Times New Roman" w:hAnsi="Times New Roman"/>
                <w:color w:val="auto"/>
                <w:highlight w:val="none"/>
              </w:rPr>
            </w:pPr>
            <w:r>
              <w:rPr>
                <w:rFonts w:hint="eastAsia" w:ascii="Times New Roman" w:hAnsi="Times New Roman"/>
                <w:b/>
                <w:bCs/>
                <w:color w:val="auto"/>
                <w:kern w:val="0"/>
                <w:highlight w:val="none"/>
              </w:rPr>
              <w:t>审查文件名称及文号：</w:t>
            </w:r>
            <w:r>
              <w:rPr>
                <w:rFonts w:hint="eastAsia" w:ascii="Times New Roman" w:hAnsi="Times New Roman"/>
                <w:color w:val="auto"/>
                <w:kern w:val="0"/>
                <w:highlight w:val="none"/>
              </w:rPr>
              <w:t>昆明市生态环境局关于《云南寻甸产业园区总体规划修编（2021-2035）环境影响报告书》审查意见的函（昆环审[2023]5号）。</w:t>
            </w:r>
          </w:p>
        </w:tc>
      </w:tr>
      <w:tr w14:paraId="59A5F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658" w:type="dxa"/>
            <w:vAlign w:val="center"/>
          </w:tcPr>
          <w:p w14:paraId="280ED8A7">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规划及规划环境影响评价符合性分析</w:t>
            </w:r>
          </w:p>
        </w:tc>
        <w:tc>
          <w:tcPr>
            <w:tcW w:w="7118" w:type="dxa"/>
            <w:gridSpan w:val="3"/>
            <w:vAlign w:val="center"/>
          </w:tcPr>
          <w:p w14:paraId="38ADC181">
            <w:pPr>
              <w:numPr>
                <w:ilvl w:val="0"/>
                <w:numId w:val="3"/>
              </w:numPr>
              <w:ind w:firstLine="0" w:firstLineChars="0"/>
              <w:rPr>
                <w:rFonts w:ascii="Times New Roman" w:hAnsi="Times New Roman"/>
                <w:b/>
                <w:bCs/>
                <w:color w:val="auto"/>
                <w:kern w:val="0"/>
                <w:highlight w:val="none"/>
              </w:rPr>
            </w:pPr>
            <w:r>
              <w:rPr>
                <w:rFonts w:ascii="Times New Roman" w:hAnsi="Times New Roman"/>
                <w:b/>
                <w:bCs/>
                <w:color w:val="auto"/>
                <w:highlight w:val="none"/>
              </w:rPr>
              <w:t>与</w:t>
            </w:r>
            <w:r>
              <w:rPr>
                <w:rFonts w:hint="eastAsia" w:ascii="Times New Roman" w:hAnsi="Times New Roman"/>
                <w:b/>
                <w:bCs/>
                <w:color w:val="auto"/>
                <w:kern w:val="0"/>
                <w:highlight w:val="none"/>
              </w:rPr>
              <w:t>《云南寻甸产业园区总体规划修编（2021—2035年）》相符性分析</w:t>
            </w:r>
          </w:p>
          <w:p w14:paraId="1A219825">
            <w:pPr>
              <w:pStyle w:val="27"/>
              <w:spacing w:before="0" w:beforeAutospacing="0" w:after="0" w:afterAutospacing="0"/>
              <w:ind w:firstLine="482"/>
              <w:rPr>
                <w:rFonts w:ascii="Times New Roman" w:hAnsi="Times New Roman"/>
                <w:b/>
                <w:bCs/>
                <w:color w:val="auto"/>
                <w:highlight w:val="none"/>
              </w:rPr>
            </w:pPr>
            <w:r>
              <w:rPr>
                <w:rFonts w:hint="eastAsia" w:ascii="Times New Roman" w:hAnsi="Times New Roman"/>
                <w:b/>
                <w:bCs/>
                <w:color w:val="auto"/>
                <w:highlight w:val="none"/>
              </w:rPr>
              <w:t>（1）规划简介</w:t>
            </w:r>
          </w:p>
          <w:p w14:paraId="2BAE3FBC">
            <w:pPr>
              <w:ind w:firstLine="480"/>
              <w:rPr>
                <w:rFonts w:hint="default" w:ascii="Times New Roman" w:hAnsi="Times New Roman" w:eastAsia="宋体"/>
                <w:color w:val="auto"/>
                <w:highlight w:val="none"/>
                <w:lang w:val="en-US" w:eastAsia="zh-CN"/>
              </w:rPr>
            </w:pPr>
            <w:r>
              <w:rPr>
                <w:rFonts w:hint="eastAsia" w:ascii="Times New Roman" w:hAnsi="Times New Roman"/>
                <w:color w:val="auto"/>
                <w:highlight w:val="none"/>
              </w:rPr>
              <w:t>根据《规划》，修编后云南寻甸产业园区远期规划范围至2035年占地面积为1214.59公顷。总体布局规划为“一园三片区”一园即云南寻甸产业园区；三片即羊街片区、金所片区（含金所组团、天生桥组团）、倘甸片区。金所片区（金所组团）占地522.60公顷，定位以先进装备制造产业区、非烟轻工业区、绿色建材产业区、绿色化工产业区、公共服务配套区、中转物流区为主；金所片区（天生桥组团）占地158.92公顷，定位以绿色化工产业区、先进装备制造产业区为主；羊街片区占地263.39公顷，定位以先进装备制造产业区、非烟轻工业区、商贸物流及冷链加工区为主；倘甸片区占地269.69公顷，定位以生物医疗产业区、先进装备制造产业区、非烟轻工业区、公共服务配套区为主。</w:t>
            </w:r>
          </w:p>
          <w:p w14:paraId="21C11901">
            <w:pPr>
              <w:ind w:firstLine="482"/>
              <w:rPr>
                <w:rFonts w:ascii="Times New Roman" w:hAnsi="Times New Roman"/>
                <w:b/>
                <w:bCs/>
                <w:color w:val="auto"/>
                <w:highlight w:val="none"/>
              </w:rPr>
            </w:pPr>
            <w:r>
              <w:rPr>
                <w:rFonts w:hint="eastAsia" w:ascii="Times New Roman" w:hAnsi="Times New Roman"/>
                <w:b/>
                <w:bCs/>
                <w:color w:val="auto"/>
                <w:highlight w:val="none"/>
              </w:rPr>
              <w:t>（2）</w:t>
            </w:r>
            <w:r>
              <w:rPr>
                <w:rFonts w:hint="eastAsia"/>
                <w:b/>
                <w:bCs/>
                <w:color w:val="auto"/>
                <w:highlight w:val="none"/>
                <w:lang w:val="en-US" w:eastAsia="zh-CN"/>
              </w:rPr>
              <w:t>金所</w:t>
            </w:r>
            <w:r>
              <w:rPr>
                <w:rFonts w:hint="eastAsia"/>
                <w:b/>
                <w:bCs/>
                <w:color w:val="auto"/>
                <w:highlight w:val="none"/>
                <w:lang w:eastAsia="zh-CN"/>
              </w:rPr>
              <w:t>片区</w:t>
            </w:r>
            <w:r>
              <w:rPr>
                <w:rFonts w:hint="eastAsia" w:ascii="Times New Roman" w:hAnsi="Times New Roman"/>
                <w:b/>
                <w:bCs/>
                <w:color w:val="auto"/>
                <w:highlight w:val="none"/>
              </w:rPr>
              <w:t>产业布局</w:t>
            </w:r>
          </w:p>
          <w:p w14:paraId="6ED6E7E5">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规划布局为以先进装备制造产业、消费品制造产业、建材产业、传统化工产业、公共服务配套、磷化工产业为主</w:t>
            </w:r>
            <w:r>
              <w:rPr>
                <w:rFonts w:hint="eastAsia"/>
                <w:color w:val="auto"/>
                <w:highlight w:val="none"/>
                <w:lang w:eastAsia="zh-CN"/>
              </w:rPr>
              <w:t>。</w:t>
            </w:r>
          </w:p>
          <w:p w14:paraId="44C50BC3">
            <w:pPr>
              <w:ind w:firstLine="482"/>
              <w:rPr>
                <w:rFonts w:ascii="Times New Roman" w:hAnsi="Times New Roman"/>
                <w:b/>
                <w:bCs/>
                <w:color w:val="auto"/>
                <w:highlight w:val="none"/>
              </w:rPr>
            </w:pPr>
            <w:r>
              <w:rPr>
                <w:rFonts w:hint="eastAsia" w:ascii="Times New Roman" w:hAnsi="Times New Roman"/>
                <w:b/>
                <w:bCs/>
                <w:color w:val="auto"/>
                <w:highlight w:val="none"/>
              </w:rPr>
              <w:t>（3）相符性分析</w:t>
            </w:r>
          </w:p>
          <w:p w14:paraId="200BECBD">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本项目位于云南省昆明市寻甸</w:t>
            </w:r>
            <w:r>
              <w:rPr>
                <w:rFonts w:hint="eastAsia"/>
                <w:color w:val="auto"/>
                <w:highlight w:val="none"/>
                <w:lang w:val="en-US" w:eastAsia="zh-CN"/>
              </w:rPr>
              <w:t>县特色产业园区金所片区，金所</w:t>
            </w:r>
            <w:r>
              <w:rPr>
                <w:rFonts w:hint="eastAsia" w:ascii="Times New Roman" w:hAnsi="Times New Roman"/>
                <w:color w:val="auto"/>
                <w:highlight w:val="none"/>
              </w:rPr>
              <w:t>片区产业布局是以先进装备制造产业、消费品制造产业、建材产业、传统化工产业、公共服务配套、磷化工产业为主。</w:t>
            </w:r>
            <w:r>
              <w:rPr>
                <w:rFonts w:hint="eastAsia"/>
                <w:color w:val="auto"/>
                <w:highlight w:val="none"/>
                <w:lang w:val="en-US" w:eastAsia="zh-CN"/>
              </w:rPr>
              <w:t>根据金所片区功能分区规划图，本项目位于中转物流区，用地性质为仓储物流用地。项目主要为周边化工企业危化品运输车辆提供清洁服务</w:t>
            </w:r>
            <w:r>
              <w:rPr>
                <w:rFonts w:hint="eastAsia"/>
                <w:color w:val="auto"/>
                <w:highlight w:val="none"/>
                <w:lang w:eastAsia="zh-CN"/>
              </w:rPr>
              <w:t>、停车服务，属于园区公共服务配套设施，</w:t>
            </w:r>
            <w:r>
              <w:rPr>
                <w:rFonts w:hint="eastAsia"/>
                <w:color w:val="auto"/>
                <w:highlight w:val="none"/>
                <w:lang w:val="en-US" w:eastAsia="zh-CN"/>
              </w:rPr>
              <w:t>为园区中转物流功能的一部分</w:t>
            </w:r>
            <w:r>
              <w:rPr>
                <w:rFonts w:hint="eastAsia"/>
                <w:color w:val="auto"/>
                <w:highlight w:val="none"/>
                <w:lang w:eastAsia="zh-CN"/>
              </w:rPr>
              <w:t>。</w:t>
            </w:r>
            <w:r>
              <w:rPr>
                <w:rFonts w:hint="eastAsia"/>
                <w:color w:val="auto"/>
                <w:highlight w:val="none"/>
                <w:lang w:val="en-US" w:eastAsia="zh-CN"/>
              </w:rPr>
              <w:t>因此，本项目</w:t>
            </w:r>
            <w:r>
              <w:rPr>
                <w:rFonts w:hint="eastAsia" w:ascii="Times New Roman" w:hAnsi="Times New Roman"/>
                <w:color w:val="auto"/>
                <w:highlight w:val="none"/>
              </w:rPr>
              <w:t>的建设符合园区总体规划</w:t>
            </w:r>
            <w:r>
              <w:rPr>
                <w:rFonts w:hint="eastAsia"/>
                <w:color w:val="auto"/>
                <w:highlight w:val="none"/>
                <w:lang w:eastAsia="zh-CN"/>
              </w:rPr>
              <w:t>。</w:t>
            </w:r>
          </w:p>
          <w:p w14:paraId="7D9AE6AB">
            <w:pPr>
              <w:numPr>
                <w:ilvl w:val="0"/>
                <w:numId w:val="0"/>
              </w:numPr>
              <w:rPr>
                <w:rFonts w:ascii="Times New Roman" w:hAnsi="Times New Roman"/>
                <w:b/>
                <w:bCs/>
                <w:color w:val="auto"/>
                <w:highlight w:val="none"/>
              </w:rPr>
            </w:pPr>
            <w:r>
              <w:rPr>
                <w:rFonts w:hint="eastAsia"/>
                <w:b/>
                <w:bCs/>
                <w:color w:val="auto"/>
                <w:highlight w:val="none"/>
                <w:lang w:val="en-US" w:eastAsia="zh-CN"/>
              </w:rPr>
              <w:t>2</w:t>
            </w:r>
            <w:r>
              <w:rPr>
                <w:rFonts w:hint="eastAsia" w:ascii="Times New Roman" w:hAnsi="Times New Roman"/>
                <w:b/>
                <w:bCs/>
                <w:color w:val="auto"/>
                <w:highlight w:val="none"/>
              </w:rPr>
              <w:t>、</w:t>
            </w:r>
            <w:r>
              <w:rPr>
                <w:rFonts w:hint="eastAsia"/>
                <w:b/>
                <w:bCs/>
                <w:color w:val="auto"/>
                <w:highlight w:val="none"/>
                <w:lang w:val="en-US" w:eastAsia="zh-CN"/>
              </w:rPr>
              <w:t>与</w:t>
            </w:r>
            <w:r>
              <w:rPr>
                <w:rFonts w:hint="eastAsia" w:ascii="Times New Roman" w:hAnsi="Times New Roman"/>
                <w:b/>
                <w:bCs/>
                <w:color w:val="auto"/>
                <w:highlight w:val="none"/>
              </w:rPr>
              <w:t>规划环评及审查意见符合性分析</w:t>
            </w:r>
          </w:p>
          <w:p w14:paraId="1D0AC90C">
            <w:pPr>
              <w:ind w:firstLine="482"/>
              <w:rPr>
                <w:rFonts w:ascii="Times New Roman" w:hAnsi="Times New Roman"/>
                <w:b/>
                <w:bCs/>
                <w:color w:val="auto"/>
                <w:highlight w:val="none"/>
              </w:rPr>
            </w:pPr>
            <w:r>
              <w:rPr>
                <w:rFonts w:hint="eastAsia" w:ascii="Times New Roman" w:hAnsi="Times New Roman"/>
                <w:b/>
                <w:bCs/>
                <w:color w:val="auto"/>
                <w:highlight w:val="none"/>
              </w:rPr>
              <w:t>（</w:t>
            </w:r>
            <w:r>
              <w:rPr>
                <w:rFonts w:hint="eastAsia"/>
                <w:b/>
                <w:bCs/>
                <w:color w:val="auto"/>
                <w:highlight w:val="none"/>
                <w:lang w:val="en-US" w:eastAsia="zh-CN"/>
              </w:rPr>
              <w:t>1</w:t>
            </w:r>
            <w:r>
              <w:rPr>
                <w:rFonts w:hint="eastAsia" w:ascii="Times New Roman" w:hAnsi="Times New Roman"/>
                <w:b/>
                <w:bCs/>
                <w:color w:val="auto"/>
                <w:highlight w:val="none"/>
              </w:rPr>
              <w:t>）园区环境准入负面清单符合性分析</w:t>
            </w:r>
          </w:p>
          <w:p w14:paraId="01E1D624">
            <w:pPr>
              <w:ind w:firstLine="480"/>
              <w:rPr>
                <w:rFonts w:hint="eastAsia" w:ascii="Times New Roman" w:hAnsi="Times New Roman"/>
                <w:color w:val="auto"/>
                <w:highlight w:val="none"/>
              </w:rPr>
            </w:pPr>
            <w:r>
              <w:rPr>
                <w:rFonts w:hint="eastAsia" w:ascii="Times New Roman" w:hAnsi="Times New Roman"/>
                <w:color w:val="auto"/>
                <w:highlight w:val="none"/>
              </w:rPr>
              <w:t>根据《云南寻甸产业园区总体规划修编（2021-2035）环境影响报告书》，园区环境准入负面清单及对照情况如下：</w:t>
            </w:r>
          </w:p>
          <w:p w14:paraId="58ED6AF0">
            <w:pPr>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表1-</w:t>
            </w:r>
            <w:r>
              <w:rPr>
                <w:rFonts w:hint="eastAsia"/>
                <w:b/>
                <w:bCs/>
                <w:color w:val="auto"/>
                <w:sz w:val="21"/>
                <w:szCs w:val="21"/>
                <w:highlight w:val="none"/>
                <w:lang w:val="en-US" w:eastAsia="zh-CN"/>
              </w:rPr>
              <w:t>2</w:t>
            </w:r>
            <w:r>
              <w:rPr>
                <w:rFonts w:ascii="Times New Roman" w:hAnsi="Times New Roman"/>
                <w:b/>
                <w:bCs/>
                <w:color w:val="auto"/>
                <w:sz w:val="21"/>
                <w:szCs w:val="21"/>
                <w:highlight w:val="none"/>
              </w:rPr>
              <w:t xml:space="preserve">  </w:t>
            </w:r>
            <w:r>
              <w:rPr>
                <w:rFonts w:hint="eastAsia" w:ascii="Times New Roman" w:hAnsi="Times New Roman"/>
                <w:b/>
                <w:bCs/>
                <w:color w:val="auto"/>
                <w:sz w:val="21"/>
                <w:szCs w:val="21"/>
                <w:highlight w:val="none"/>
              </w:rPr>
              <w:t>准入负面清单对照情况表</w:t>
            </w:r>
          </w:p>
          <w:tbl>
            <w:tblPr>
              <w:tblStyle w:val="3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747"/>
              <w:gridCol w:w="2579"/>
              <w:gridCol w:w="2683"/>
              <w:gridCol w:w="523"/>
            </w:tblGrid>
            <w:tr w14:paraId="5E88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725" w:type="dxa"/>
                  <w:gridSpan w:val="3"/>
                  <w:vAlign w:val="center"/>
                </w:tcPr>
                <w:p w14:paraId="21B518AE">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限制和禁止引进的项目和行业</w:t>
                  </w:r>
                </w:p>
              </w:tc>
              <w:tc>
                <w:tcPr>
                  <w:tcW w:w="2683" w:type="dxa"/>
                  <w:vAlign w:val="center"/>
                </w:tcPr>
                <w:p w14:paraId="325B8FFB">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本项目情况</w:t>
                  </w:r>
                </w:p>
              </w:tc>
              <w:tc>
                <w:tcPr>
                  <w:tcW w:w="523" w:type="dxa"/>
                  <w:vAlign w:val="center"/>
                </w:tcPr>
                <w:p w14:paraId="640709E8">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符合性</w:t>
                  </w:r>
                </w:p>
              </w:tc>
            </w:tr>
            <w:tr w14:paraId="524F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restart"/>
                  <w:vAlign w:val="center"/>
                </w:tcPr>
                <w:p w14:paraId="19C7B3D3">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总体要求</w:t>
                  </w:r>
                </w:p>
                <w:p w14:paraId="1501F0E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规划产业要求</w:t>
                  </w:r>
                </w:p>
              </w:tc>
              <w:tc>
                <w:tcPr>
                  <w:tcW w:w="747" w:type="dxa"/>
                  <w:vMerge w:val="restart"/>
                  <w:vAlign w:val="center"/>
                </w:tcPr>
                <w:p w14:paraId="027EBCCD">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禁入行业</w:t>
                  </w:r>
                </w:p>
              </w:tc>
              <w:tc>
                <w:tcPr>
                  <w:tcW w:w="2579" w:type="dxa"/>
                  <w:vAlign w:val="center"/>
                </w:tcPr>
                <w:p w14:paraId="55D3FE48">
                  <w:pPr>
                    <w:adjustRightInd w:val="0"/>
                    <w:snapToGrid w:val="0"/>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w:t>
                  </w:r>
                  <w:r>
                    <w:rPr>
                      <w:rFonts w:hint="eastAsia" w:ascii="Times New Roman" w:hAnsi="Times New Roman" w:cs="宋体"/>
                      <w:color w:val="auto"/>
                      <w:sz w:val="21"/>
                      <w:szCs w:val="21"/>
                      <w:highlight w:val="none"/>
                    </w:rPr>
                    <w:t>）《产业结构调整指导目录（</w:t>
                  </w:r>
                  <w:r>
                    <w:rPr>
                      <w:rFonts w:ascii="Times New Roman" w:hAnsi="Times New Roman"/>
                      <w:color w:val="auto"/>
                      <w:sz w:val="21"/>
                      <w:szCs w:val="21"/>
                      <w:highlight w:val="none"/>
                    </w:rPr>
                    <w:t>2019</w:t>
                  </w:r>
                  <w:r>
                    <w:rPr>
                      <w:rFonts w:hint="eastAsia" w:ascii="Times New Roman" w:hAnsi="Times New Roman" w:cs="宋体"/>
                      <w:color w:val="auto"/>
                      <w:sz w:val="21"/>
                      <w:szCs w:val="21"/>
                      <w:highlight w:val="none"/>
                    </w:rPr>
                    <w:t>年本）》（或更新）中禁止、限制类的行业。</w:t>
                  </w:r>
                </w:p>
              </w:tc>
              <w:tc>
                <w:tcPr>
                  <w:tcW w:w="2683" w:type="dxa"/>
                  <w:vAlign w:val="center"/>
                </w:tcPr>
                <w:p w14:paraId="37788E86">
                  <w:pPr>
                    <w:spacing w:line="240" w:lineRule="auto"/>
                    <w:ind w:firstLine="0" w:firstLineChars="0"/>
                    <w:rPr>
                      <w:rFonts w:hint="eastAsia" w:ascii="Times New Roman" w:hAnsi="Times New Roman"/>
                      <w:color w:val="auto"/>
                      <w:kern w:val="0"/>
                      <w:sz w:val="21"/>
                      <w:szCs w:val="21"/>
                      <w:highlight w:val="none"/>
                    </w:rPr>
                  </w:pPr>
                  <w:r>
                    <w:rPr>
                      <w:rFonts w:ascii="Times New Roman" w:hAnsi="Times New Roman"/>
                      <w:color w:val="auto"/>
                      <w:kern w:val="0"/>
                      <w:sz w:val="21"/>
                      <w:szCs w:val="21"/>
                      <w:highlight w:val="none"/>
                    </w:rPr>
                    <w:t>本项目</w:t>
                  </w:r>
                  <w:r>
                    <w:rPr>
                      <w:rFonts w:hint="eastAsia"/>
                      <w:color w:val="auto"/>
                      <w:kern w:val="0"/>
                      <w:sz w:val="21"/>
                      <w:szCs w:val="21"/>
                      <w:highlight w:val="none"/>
                      <w:lang w:val="en-US" w:eastAsia="zh-CN"/>
                    </w:rPr>
                    <w:t>为危化品车辆清洗场</w:t>
                  </w:r>
                  <w:r>
                    <w:rPr>
                      <w:rFonts w:ascii="Times New Roman" w:hAnsi="Times New Roman"/>
                      <w:color w:val="auto"/>
                      <w:kern w:val="0"/>
                      <w:sz w:val="21"/>
                      <w:szCs w:val="21"/>
                      <w:highlight w:val="none"/>
                    </w:rPr>
                    <w:t>，</w:t>
                  </w:r>
                  <w:r>
                    <w:rPr>
                      <w:rFonts w:hint="eastAsia" w:ascii="Times New Roman" w:hAnsi="Times New Roman"/>
                      <w:color w:val="auto"/>
                      <w:kern w:val="0"/>
                      <w:sz w:val="21"/>
                      <w:szCs w:val="21"/>
                      <w:highlight w:val="none"/>
                    </w:rPr>
                    <w:t>根</w:t>
                  </w:r>
                  <w:r>
                    <w:rPr>
                      <w:rFonts w:ascii="Times New Roman" w:hAnsi="Times New Roman"/>
                      <w:color w:val="auto"/>
                      <w:kern w:val="0"/>
                      <w:sz w:val="21"/>
                      <w:szCs w:val="21"/>
                      <w:highlight w:val="none"/>
                    </w:rPr>
                    <w:t>据《产业结构调整指导目录(20</w:t>
                  </w:r>
                  <w:r>
                    <w:rPr>
                      <w:rFonts w:hint="eastAsia" w:ascii="Times New Roman" w:hAnsi="Times New Roman"/>
                      <w:color w:val="auto"/>
                      <w:kern w:val="0"/>
                      <w:sz w:val="21"/>
                      <w:szCs w:val="21"/>
                      <w:highlight w:val="none"/>
                    </w:rPr>
                    <w:t>24</w:t>
                  </w:r>
                  <w:r>
                    <w:rPr>
                      <w:rFonts w:ascii="Times New Roman" w:hAnsi="Times New Roman"/>
                      <w:color w:val="auto"/>
                      <w:kern w:val="0"/>
                      <w:sz w:val="21"/>
                      <w:szCs w:val="21"/>
                      <w:highlight w:val="none"/>
                    </w:rPr>
                    <w:t>年本)》项目不属于限制类和淘汰类项目</w:t>
                  </w:r>
                  <w:r>
                    <w:rPr>
                      <w:rFonts w:hint="eastAsia"/>
                      <w:color w:val="auto"/>
                      <w:kern w:val="0"/>
                      <w:sz w:val="21"/>
                      <w:szCs w:val="21"/>
                      <w:highlight w:val="none"/>
                      <w:lang w:eastAsia="zh-CN"/>
                    </w:rPr>
                    <w:t>。</w:t>
                  </w:r>
                </w:p>
              </w:tc>
              <w:tc>
                <w:tcPr>
                  <w:tcW w:w="523" w:type="dxa"/>
                  <w:vAlign w:val="center"/>
                </w:tcPr>
                <w:p w14:paraId="07D24CC7">
                  <w:pPr>
                    <w:spacing w:line="240" w:lineRule="auto"/>
                    <w:ind w:firstLine="0" w:firstLineChars="0"/>
                    <w:jc w:val="center"/>
                    <w:rPr>
                      <w:rFonts w:hint="eastAsia"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符合</w:t>
                  </w:r>
                </w:p>
              </w:tc>
            </w:tr>
            <w:tr w14:paraId="7E58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395C38DC">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1F38544C">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256747A">
                  <w:pPr>
                    <w:adjustRightInd w:val="0"/>
                    <w:snapToGrid w:val="0"/>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2</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2017</w:t>
                  </w:r>
                  <w:r>
                    <w:rPr>
                      <w:rFonts w:hint="eastAsia" w:ascii="Times New Roman" w:hAnsi="Times New Roman" w:cs="宋体"/>
                      <w:color w:val="auto"/>
                      <w:sz w:val="21"/>
                      <w:szCs w:val="21"/>
                      <w:highlight w:val="none"/>
                    </w:rPr>
                    <w:t>年修订）》（或更新）中的禁止类。</w:t>
                  </w:r>
                </w:p>
              </w:tc>
              <w:tc>
                <w:tcPr>
                  <w:tcW w:w="2683" w:type="dxa"/>
                  <w:vAlign w:val="center"/>
                </w:tcPr>
                <w:p w14:paraId="5E406316">
                  <w:pPr>
                    <w:spacing w:line="240" w:lineRule="auto"/>
                    <w:ind w:firstLine="0" w:firstLineChars="0"/>
                    <w:rPr>
                      <w:rFonts w:hint="eastAsia" w:ascii="Times New Roman" w:hAnsi="Times New Roman" w:eastAsia="宋体"/>
                      <w:color w:val="auto"/>
                      <w:kern w:val="0"/>
                      <w:sz w:val="21"/>
                      <w:szCs w:val="21"/>
                      <w:highlight w:val="none"/>
                      <w:lang w:val="en-US" w:eastAsia="zh-CN"/>
                    </w:rPr>
                  </w:pPr>
                  <w:r>
                    <w:rPr>
                      <w:rFonts w:ascii="Times New Roman" w:hAnsi="Times New Roman"/>
                      <w:color w:val="auto"/>
                      <w:kern w:val="0"/>
                      <w:sz w:val="21"/>
                      <w:szCs w:val="21"/>
                      <w:highlight w:val="none"/>
                    </w:rPr>
                    <w:t>本项目</w:t>
                  </w:r>
                  <w:r>
                    <w:rPr>
                      <w:rFonts w:hint="eastAsia"/>
                      <w:color w:val="auto"/>
                      <w:kern w:val="0"/>
                      <w:sz w:val="21"/>
                      <w:szCs w:val="21"/>
                      <w:highlight w:val="none"/>
                      <w:lang w:val="en-US" w:eastAsia="zh-CN"/>
                    </w:rPr>
                    <w:t>不属于</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2017</w:t>
                  </w:r>
                  <w:r>
                    <w:rPr>
                      <w:rFonts w:hint="eastAsia" w:ascii="Times New Roman" w:hAnsi="Times New Roman" w:cs="宋体"/>
                      <w:color w:val="auto"/>
                      <w:sz w:val="21"/>
                      <w:szCs w:val="21"/>
                      <w:highlight w:val="none"/>
                    </w:rPr>
                    <w:t>年修订）》（或更新）中的禁止类。</w:t>
                  </w:r>
                </w:p>
              </w:tc>
              <w:tc>
                <w:tcPr>
                  <w:tcW w:w="523" w:type="dxa"/>
                  <w:vAlign w:val="center"/>
                </w:tcPr>
                <w:p w14:paraId="4C31DD7E">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3438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1076763">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10285041">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71AE32CC">
                  <w:pPr>
                    <w:widowControl/>
                    <w:spacing w:line="240" w:lineRule="auto"/>
                    <w:ind w:firstLine="0" w:firstLineChars="0"/>
                    <w:jc w:val="left"/>
                    <w:rPr>
                      <w:rFonts w:hint="eastAsia" w:ascii="Times New Roman" w:hAnsi="Times New Roman"/>
                      <w:color w:val="auto"/>
                      <w:sz w:val="21"/>
                      <w:szCs w:val="21"/>
                      <w:highlight w:val="none"/>
                    </w:rPr>
                  </w:pPr>
                  <w:r>
                    <w:rPr>
                      <w:rFonts w:hint="eastAsia"/>
                      <w:color w:val="auto"/>
                      <w:sz w:val="21"/>
                      <w:szCs w:val="21"/>
                      <w:highlight w:val="none"/>
                      <w:lang w:eastAsia="zh-CN"/>
                    </w:rPr>
                    <w:t>（</w:t>
                  </w:r>
                  <w:r>
                    <w:rPr>
                      <w:rFonts w:ascii="Times New Roman" w:hAnsi="Times New Roman"/>
                      <w:color w:val="auto"/>
                      <w:sz w:val="21"/>
                      <w:szCs w:val="21"/>
                      <w:highlight w:val="none"/>
                    </w:rPr>
                    <w:t>3</w:t>
                  </w:r>
                  <w:r>
                    <w:rPr>
                      <w:rFonts w:hint="eastAsia" w:ascii="Times New Roman" w:hAnsi="Times New Roman" w:cs="宋体"/>
                      <w:color w:val="auto"/>
                      <w:sz w:val="21"/>
                      <w:szCs w:val="21"/>
                      <w:highlight w:val="none"/>
                    </w:rPr>
                    <w:t>）严禁不符合要求的高风险高污染行业入驻。</w:t>
                  </w:r>
                </w:p>
              </w:tc>
              <w:tc>
                <w:tcPr>
                  <w:tcW w:w="2683" w:type="dxa"/>
                  <w:vAlign w:val="center"/>
                </w:tcPr>
                <w:p w14:paraId="6EE02031">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本项目不属于《环境保护综合名录》中高风险高污染类行业</w:t>
                  </w:r>
                  <w:r>
                    <w:rPr>
                      <w:rFonts w:hint="eastAsia"/>
                      <w:color w:val="auto"/>
                      <w:kern w:val="0"/>
                      <w:sz w:val="21"/>
                      <w:szCs w:val="21"/>
                      <w:highlight w:val="none"/>
                      <w:lang w:eastAsia="zh-CN"/>
                    </w:rPr>
                    <w:t>。</w:t>
                  </w:r>
                </w:p>
              </w:tc>
              <w:tc>
                <w:tcPr>
                  <w:tcW w:w="523" w:type="dxa"/>
                  <w:vAlign w:val="center"/>
                </w:tcPr>
                <w:p w14:paraId="29F05745">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22AA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233F940">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F34CCA3">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0B3AF35">
                  <w:pPr>
                    <w:spacing w:line="240" w:lineRule="auto"/>
                    <w:ind w:firstLine="0" w:firstLineChars="0"/>
                    <w:jc w:val="left"/>
                    <w:rPr>
                      <w:rFonts w:hint="eastAsia" w:ascii="Times New Roman" w:hAnsi="Times New Roman"/>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Times New Roman" w:hAnsi="Times New Roman" w:cs="宋体"/>
                      <w:color w:val="auto"/>
                      <w:sz w:val="21"/>
                      <w:szCs w:val="21"/>
                      <w:highlight w:val="none"/>
                    </w:rPr>
                    <w:t>禁止引入其他不在园区产业定位、不符合园区环保要求项目，如造纸制浆、印染、染料、制革、炼焦、炼硫、炼砷、炼油、有色金属等项目。</w:t>
                  </w:r>
                </w:p>
              </w:tc>
              <w:tc>
                <w:tcPr>
                  <w:tcW w:w="2683" w:type="dxa"/>
                  <w:vAlign w:val="center"/>
                </w:tcPr>
                <w:p w14:paraId="224BAF3C">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w:t>
                  </w:r>
                  <w:r>
                    <w:rPr>
                      <w:rFonts w:ascii="Times New Roman" w:hAnsi="Times New Roman"/>
                      <w:color w:val="auto"/>
                      <w:kern w:val="0"/>
                      <w:sz w:val="21"/>
                      <w:szCs w:val="21"/>
                      <w:highlight w:val="none"/>
                    </w:rPr>
                    <w:t>不属于</w:t>
                  </w:r>
                  <w:r>
                    <w:rPr>
                      <w:rFonts w:hint="eastAsia" w:ascii="Times New Roman" w:hAnsi="Times New Roman"/>
                      <w:color w:val="auto"/>
                      <w:kern w:val="0"/>
                      <w:sz w:val="21"/>
                      <w:szCs w:val="21"/>
                      <w:highlight w:val="none"/>
                    </w:rPr>
                    <w:t>造纸制浆、印染、染料、制革、炼焦、炼硫、炼砷、炼油、有色金属等其他不在园区产业定位、不符合园区环保要求项目；</w:t>
                  </w:r>
                </w:p>
              </w:tc>
              <w:tc>
                <w:tcPr>
                  <w:tcW w:w="523" w:type="dxa"/>
                  <w:vAlign w:val="center"/>
                </w:tcPr>
                <w:p w14:paraId="3C607909">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2C4E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483D7AE9">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E594F79">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1C611666">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（5）污水成分复杂或废水、废液按现有技术无法妥善处置的产业。</w:t>
                  </w:r>
                </w:p>
              </w:tc>
              <w:tc>
                <w:tcPr>
                  <w:tcW w:w="2683" w:type="dxa"/>
                  <w:vAlign w:val="center"/>
                </w:tcPr>
                <w:p w14:paraId="5BB5BFAB">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p>
              </w:tc>
              <w:tc>
                <w:tcPr>
                  <w:tcW w:w="523" w:type="dxa"/>
                  <w:vAlign w:val="center"/>
                </w:tcPr>
                <w:p w14:paraId="7D788F48">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B46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68CCDE19">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33E0B82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7D9E64C5">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6</w:t>
                  </w:r>
                  <w:r>
                    <w:rPr>
                      <w:rFonts w:hint="eastAsia" w:ascii="Times New Roman" w:hAnsi="Times New Roman" w:cs="宋体"/>
                      <w:color w:val="auto"/>
                      <w:sz w:val="21"/>
                      <w:szCs w:val="21"/>
                      <w:highlight w:val="none"/>
                    </w:rPr>
                    <w:t>）物耗、能耗相对较高，产生的大气污染类型复杂、环境风险较大的产业、项目或工艺；且产生的大气污染物无法自身治理或妥善处置或处理成本较高的产生。</w:t>
                  </w:r>
                </w:p>
              </w:tc>
              <w:tc>
                <w:tcPr>
                  <w:tcW w:w="2683" w:type="dxa"/>
                  <w:vAlign w:val="center"/>
                </w:tcPr>
                <w:p w14:paraId="330D4A9C">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s="宋体"/>
                      <w:color w:val="auto"/>
                      <w:sz w:val="21"/>
                      <w:szCs w:val="21"/>
                      <w:highlight w:val="none"/>
                    </w:rPr>
                    <w:t>本项目物耗、能耗相对较低，产生的大气污染类型主要为</w:t>
                  </w:r>
                  <w:r>
                    <w:rPr>
                      <w:rFonts w:hint="eastAsia" w:ascii="Times New Roman" w:hAnsi="Times New Roman" w:cs="宋体"/>
                      <w:color w:val="auto"/>
                      <w:kern w:val="0"/>
                      <w:sz w:val="21"/>
                      <w:szCs w:val="21"/>
                      <w:highlight w:val="none"/>
                    </w:rPr>
                    <w:t>非甲烷总烃</w:t>
                  </w:r>
                  <w:r>
                    <w:rPr>
                      <w:rFonts w:hint="eastAsia" w:ascii="Times New Roman" w:hAnsi="Times New Roman" w:cs="宋体"/>
                      <w:color w:val="auto"/>
                      <w:sz w:val="21"/>
                      <w:szCs w:val="21"/>
                      <w:highlight w:val="none"/>
                    </w:rPr>
                    <w:t>，大气污染物经采取措施治理后达标排放，处理成本一般；环境风险为一般环境风险</w:t>
                  </w:r>
                  <w:r>
                    <w:rPr>
                      <w:rFonts w:hint="eastAsia" w:cs="宋体"/>
                      <w:color w:val="auto"/>
                      <w:sz w:val="21"/>
                      <w:szCs w:val="21"/>
                      <w:highlight w:val="none"/>
                      <w:lang w:eastAsia="zh-CN"/>
                    </w:rPr>
                    <w:t>。</w:t>
                  </w:r>
                </w:p>
              </w:tc>
              <w:tc>
                <w:tcPr>
                  <w:tcW w:w="523" w:type="dxa"/>
                  <w:vAlign w:val="center"/>
                </w:tcPr>
                <w:p w14:paraId="28FD32F5">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103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7F14FFDB">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BD3DA3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27931F6E">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7</w:t>
                  </w:r>
                  <w:r>
                    <w:rPr>
                      <w:rFonts w:hint="eastAsia" w:ascii="Times New Roman" w:hAnsi="Times New Roman" w:cs="宋体"/>
                      <w:color w:val="auto"/>
                      <w:sz w:val="21"/>
                      <w:szCs w:val="21"/>
                      <w:highlight w:val="none"/>
                    </w:rPr>
                    <w:t>）不能严格按</w:t>
                  </w:r>
                  <w:r>
                    <w:rPr>
                      <w:rFonts w:ascii="Times New Roman" w:hAnsi="Times New Roman"/>
                      <w:color w:val="auto"/>
                      <w:sz w:val="21"/>
                      <w:szCs w:val="21"/>
                      <w:highlight w:val="none"/>
                    </w:rPr>
                    <w:t>“</w:t>
                  </w:r>
                  <w:r>
                    <w:rPr>
                      <w:rFonts w:hint="eastAsia" w:ascii="Times New Roman" w:hAnsi="Times New Roman" w:cs="宋体"/>
                      <w:color w:val="auto"/>
                      <w:sz w:val="21"/>
                      <w:szCs w:val="21"/>
                      <w:highlight w:val="none"/>
                    </w:rPr>
                    <w:t>三同时</w:t>
                  </w:r>
                  <w:r>
                    <w:rPr>
                      <w:rFonts w:ascii="Times New Roman" w:hAnsi="Times New Roman"/>
                      <w:color w:val="auto"/>
                      <w:sz w:val="21"/>
                      <w:szCs w:val="21"/>
                      <w:highlight w:val="none"/>
                    </w:rPr>
                    <w:t>”</w:t>
                  </w:r>
                  <w:r>
                    <w:rPr>
                      <w:rFonts w:hint="eastAsia" w:ascii="Times New Roman" w:hAnsi="Times New Roman" w:cs="宋体"/>
                      <w:color w:val="auto"/>
                      <w:sz w:val="21"/>
                      <w:szCs w:val="21"/>
                      <w:highlight w:val="none"/>
                    </w:rPr>
                    <w:t>要求建厂的企业，无法满足卫生防护距离、大气环境防护距离的企业。</w:t>
                  </w:r>
                </w:p>
              </w:tc>
              <w:tc>
                <w:tcPr>
                  <w:tcW w:w="2683" w:type="dxa"/>
                  <w:vAlign w:val="center"/>
                </w:tcPr>
                <w:p w14:paraId="5D3BF3CB">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新建</w:t>
                  </w:r>
                  <w:r>
                    <w:rPr>
                      <w:rFonts w:hint="eastAsia" w:ascii="Times New Roman" w:hAnsi="Times New Roman"/>
                      <w:color w:val="auto"/>
                      <w:kern w:val="0"/>
                      <w:sz w:val="21"/>
                      <w:szCs w:val="21"/>
                      <w:highlight w:val="none"/>
                    </w:rPr>
                    <w:t>项目，严格按“三同时”要求进行建设，</w:t>
                  </w:r>
                  <w:r>
                    <w:rPr>
                      <w:rFonts w:hint="eastAsia"/>
                      <w:color w:val="auto"/>
                      <w:kern w:val="0"/>
                      <w:sz w:val="21"/>
                      <w:szCs w:val="21"/>
                      <w:highlight w:val="none"/>
                      <w:lang w:val="en-US" w:eastAsia="zh-CN"/>
                    </w:rPr>
                    <w:t>项目不设置</w:t>
                  </w:r>
                  <w:r>
                    <w:rPr>
                      <w:rFonts w:hint="eastAsia" w:ascii="Times New Roman" w:hAnsi="Times New Roman"/>
                      <w:color w:val="auto"/>
                      <w:kern w:val="0"/>
                      <w:sz w:val="21"/>
                      <w:szCs w:val="21"/>
                      <w:highlight w:val="none"/>
                    </w:rPr>
                    <w:t>卫生防护距离</w:t>
                  </w:r>
                  <w:r>
                    <w:rPr>
                      <w:rFonts w:hint="eastAsia"/>
                      <w:color w:val="auto"/>
                      <w:kern w:val="0"/>
                      <w:sz w:val="21"/>
                      <w:szCs w:val="21"/>
                      <w:highlight w:val="none"/>
                      <w:lang w:eastAsia="zh-CN"/>
                    </w:rPr>
                    <w:t>、</w:t>
                  </w:r>
                  <w:r>
                    <w:rPr>
                      <w:rFonts w:hint="eastAsia" w:ascii="Times New Roman" w:hAnsi="Times New Roman"/>
                      <w:color w:val="auto"/>
                      <w:kern w:val="0"/>
                      <w:sz w:val="21"/>
                      <w:szCs w:val="21"/>
                      <w:highlight w:val="none"/>
                    </w:rPr>
                    <w:t>大气防护距离。</w:t>
                  </w:r>
                </w:p>
              </w:tc>
              <w:tc>
                <w:tcPr>
                  <w:tcW w:w="523" w:type="dxa"/>
                  <w:vAlign w:val="center"/>
                </w:tcPr>
                <w:p w14:paraId="620E28E0">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393B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5C5E4CC6">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5C8C98C6">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3AA240B1">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8</w:t>
                  </w:r>
                  <w:r>
                    <w:rPr>
                      <w:rFonts w:hint="eastAsia" w:ascii="Times New Roman" w:hAnsi="Times New Roman" w:cs="宋体"/>
                      <w:color w:val="auto"/>
                      <w:sz w:val="21"/>
                      <w:szCs w:val="21"/>
                      <w:highlight w:val="none"/>
                    </w:rPr>
                    <w:t>）与《云南省牛栏江保护条例》存在冲突的项目。</w:t>
                  </w:r>
                </w:p>
              </w:tc>
              <w:tc>
                <w:tcPr>
                  <w:tcW w:w="2683" w:type="dxa"/>
                  <w:vAlign w:val="center"/>
                </w:tcPr>
                <w:p w14:paraId="25CA5FB2">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color w:val="auto"/>
                      <w:kern w:val="0"/>
                      <w:sz w:val="21"/>
                      <w:szCs w:val="21"/>
                      <w:highlight w:val="none"/>
                      <w:lang w:val="en-US" w:eastAsia="zh-CN"/>
                    </w:rPr>
                    <w:t>本</w:t>
                  </w:r>
                  <w:r>
                    <w:rPr>
                      <w:rFonts w:ascii="Times New Roman" w:hAnsi="Times New Roman"/>
                      <w:color w:val="auto"/>
                      <w:kern w:val="0"/>
                      <w:sz w:val="21"/>
                      <w:szCs w:val="21"/>
                      <w:highlight w:val="none"/>
                    </w:rPr>
                    <w:t>项目与《云南省牛栏江保护条例》不冲突</w:t>
                  </w:r>
                  <w:r>
                    <w:rPr>
                      <w:rFonts w:hint="eastAsia"/>
                      <w:color w:val="auto"/>
                      <w:kern w:val="0"/>
                      <w:sz w:val="21"/>
                      <w:szCs w:val="21"/>
                      <w:highlight w:val="none"/>
                      <w:lang w:eastAsia="zh-CN"/>
                    </w:rPr>
                    <w:t>。</w:t>
                  </w:r>
                </w:p>
              </w:tc>
              <w:tc>
                <w:tcPr>
                  <w:tcW w:w="523" w:type="dxa"/>
                  <w:vAlign w:val="center"/>
                </w:tcPr>
                <w:p w14:paraId="15889BE1">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1B9E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5D74FEA8">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5F722D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F05A265">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9</w:t>
                  </w:r>
                  <w:r>
                    <w:rPr>
                      <w:rFonts w:hint="eastAsia" w:ascii="Times New Roman" w:hAnsi="Times New Roman" w:cs="宋体"/>
                      <w:color w:val="auto"/>
                      <w:sz w:val="21"/>
                      <w:szCs w:val="21"/>
                      <w:highlight w:val="none"/>
                    </w:rPr>
                    <w:t>）《长江经济带发展负面清单指南（试行，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年版）》和《云南省推动长江经济带发展负面清单指南实施细则（试行，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年版）》中的禁止项目。</w:t>
                  </w:r>
                </w:p>
              </w:tc>
              <w:tc>
                <w:tcPr>
                  <w:tcW w:w="2683" w:type="dxa"/>
                  <w:vAlign w:val="center"/>
                </w:tcPr>
                <w:p w14:paraId="55930459">
                  <w:pPr>
                    <w:adjustRightInd w:val="0"/>
                    <w:snapToGrid w:val="0"/>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eastAsia" w:ascii="Times New Roman" w:hAnsi="Times New Roman" w:cs="宋体"/>
                      <w:color w:val="auto"/>
                      <w:sz w:val="21"/>
                      <w:szCs w:val="21"/>
                      <w:highlight w:val="none"/>
                    </w:rPr>
                    <w:t>本项目不属于《长江经济带发展负面清单指南（试行，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年版）》和《云南省推动长江经济带发展负面清单指南实施细则（试行，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年版）》中的禁止项目</w:t>
                  </w:r>
                  <w:r>
                    <w:rPr>
                      <w:rFonts w:hint="eastAsia" w:cs="宋体"/>
                      <w:color w:val="auto"/>
                      <w:sz w:val="21"/>
                      <w:szCs w:val="21"/>
                      <w:highlight w:val="none"/>
                      <w:lang w:eastAsia="zh-CN"/>
                    </w:rPr>
                    <w:t>。</w:t>
                  </w:r>
                </w:p>
              </w:tc>
              <w:tc>
                <w:tcPr>
                  <w:tcW w:w="523" w:type="dxa"/>
                  <w:vAlign w:val="center"/>
                </w:tcPr>
                <w:p w14:paraId="4A3330A2">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2A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133F57EB">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20BFE68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BEE5A33">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10</w:t>
                  </w:r>
                  <w:r>
                    <w:rPr>
                      <w:rFonts w:hint="eastAsia" w:ascii="Times New Roman" w:hAnsi="Times New Roman" w:cs="宋体"/>
                      <w:color w:val="auto"/>
                      <w:sz w:val="21"/>
                      <w:szCs w:val="21"/>
                      <w:highlight w:val="none"/>
                    </w:rPr>
                    <w:t>）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tc>
              <w:tc>
                <w:tcPr>
                  <w:tcW w:w="2683" w:type="dxa"/>
                  <w:vAlign w:val="center"/>
                </w:tcPr>
                <w:p w14:paraId="5EADCBC8">
                  <w:pPr>
                    <w:spacing w:line="240" w:lineRule="auto"/>
                    <w:ind w:firstLine="0" w:firstLineChars="0"/>
                    <w:rPr>
                      <w:rFonts w:hint="eastAsia"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本项目不属于单位产品能耗、物耗、污染物产生量和排放量等清洁生产指标达不到国内先进水平的产业</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项目</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不属于</w:t>
                  </w:r>
                  <w:r>
                    <w:rPr>
                      <w:rFonts w:ascii="Times New Roman" w:hAnsi="Times New Roman"/>
                      <w:color w:val="auto"/>
                      <w:kern w:val="0"/>
                      <w:sz w:val="21"/>
                      <w:szCs w:val="21"/>
                      <w:highlight w:val="none"/>
                    </w:rPr>
                    <w:t>资源综合利用率低、产生废物量大，且按近期技术水平不能综合利用的行业；</w:t>
                  </w:r>
                  <w:r>
                    <w:rPr>
                      <w:rFonts w:hint="eastAsia"/>
                      <w:color w:val="auto"/>
                      <w:kern w:val="0"/>
                      <w:sz w:val="21"/>
                      <w:szCs w:val="21"/>
                      <w:highlight w:val="none"/>
                      <w:lang w:val="en-US" w:eastAsia="zh-CN"/>
                    </w:rPr>
                    <w:t>不属于</w:t>
                  </w:r>
                  <w:r>
                    <w:rPr>
                      <w:rFonts w:ascii="Times New Roman" w:hAnsi="Times New Roman"/>
                      <w:color w:val="auto"/>
                      <w:kern w:val="0"/>
                      <w:sz w:val="21"/>
                      <w:szCs w:val="21"/>
                      <w:highlight w:val="none"/>
                    </w:rPr>
                    <w:t>高耗水且排放污水、废液按现有技术经济无法治理或妥善处置的产业。</w:t>
                  </w:r>
                </w:p>
              </w:tc>
              <w:tc>
                <w:tcPr>
                  <w:tcW w:w="523" w:type="dxa"/>
                  <w:vAlign w:val="center"/>
                </w:tcPr>
                <w:p w14:paraId="5CB15122">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506E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4CF538F8">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00FD4E91">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9B767F7">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11</w:t>
                  </w:r>
                  <w:r>
                    <w:rPr>
                      <w:rFonts w:hint="eastAsia" w:ascii="Times New Roman" w:hAnsi="Times New Roman" w:cs="宋体"/>
                      <w:color w:val="auto"/>
                      <w:sz w:val="21"/>
                      <w:szCs w:val="21"/>
                      <w:highlight w:val="none"/>
                    </w:rPr>
                    <w:t>）未来入驻企业禁止在园区内新建永久性工业固废处置场。</w:t>
                  </w:r>
                </w:p>
              </w:tc>
              <w:tc>
                <w:tcPr>
                  <w:tcW w:w="2683" w:type="dxa"/>
                  <w:vAlign w:val="center"/>
                </w:tcPr>
                <w:p w14:paraId="3B5CEDF9">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本项目不涉及新建永久性工业固废处置场</w:t>
                  </w:r>
                  <w:r>
                    <w:rPr>
                      <w:rFonts w:hint="eastAsia"/>
                      <w:color w:val="auto"/>
                      <w:kern w:val="0"/>
                      <w:sz w:val="21"/>
                      <w:szCs w:val="21"/>
                      <w:highlight w:val="none"/>
                      <w:lang w:eastAsia="zh-CN"/>
                    </w:rPr>
                    <w:t>。</w:t>
                  </w:r>
                </w:p>
              </w:tc>
              <w:tc>
                <w:tcPr>
                  <w:tcW w:w="523" w:type="dxa"/>
                  <w:vAlign w:val="center"/>
                </w:tcPr>
                <w:p w14:paraId="79B9BC8D">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6C8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371ACF6">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F44807F">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2C17BA9">
                  <w:pPr>
                    <w:widowControl/>
                    <w:spacing w:line="240" w:lineRule="auto"/>
                    <w:ind w:firstLine="0" w:firstLineChars="0"/>
                    <w:jc w:val="left"/>
                    <w:rPr>
                      <w:rFonts w:hint="eastAsia" w:ascii="Times New Roman" w:hAnsi="Times New Roman"/>
                      <w:color w:val="auto"/>
                      <w:sz w:val="21"/>
                      <w:szCs w:val="21"/>
                      <w:highlight w:val="none"/>
                    </w:rPr>
                  </w:pPr>
                  <w:r>
                    <w:rPr>
                      <w:rFonts w:ascii="Times New Roman" w:hAnsi="Times New Roman"/>
                      <w:color w:val="auto"/>
                      <w:sz w:val="21"/>
                      <w:szCs w:val="21"/>
                      <w:highlight w:val="none"/>
                    </w:rPr>
                    <w:t>12</w:t>
                  </w:r>
                  <w:r>
                    <w:rPr>
                      <w:rFonts w:hint="eastAsia" w:ascii="Times New Roman" w:hAnsi="Times New Roman" w:cs="宋体"/>
                      <w:color w:val="auto"/>
                      <w:sz w:val="21"/>
                      <w:szCs w:val="21"/>
                      <w:highlight w:val="none"/>
                    </w:rPr>
                    <w:t>）严禁引入物耗、水耗和能耗相对较高，但符合园区总体规划产业类别的其他产业（</w:t>
                  </w:r>
                  <w:r>
                    <w:rPr>
                      <w:rFonts w:ascii="Times New Roman" w:hAnsi="Times New Roman"/>
                      <w:color w:val="auto"/>
                      <w:sz w:val="21"/>
                      <w:szCs w:val="21"/>
                      <w:highlight w:val="none"/>
                    </w:rPr>
                    <w:t>①</w:t>
                  </w:r>
                  <w:r>
                    <w:rPr>
                      <w:rFonts w:hint="eastAsia" w:ascii="Times New Roman" w:hAnsi="Times New Roman" w:cs="宋体"/>
                      <w:color w:val="auto"/>
                      <w:sz w:val="21"/>
                      <w:szCs w:val="21"/>
                      <w:highlight w:val="none"/>
                    </w:rPr>
                    <w:t>属于规划既定行业，但污染类型复杂、环境风险较大的产业、项目或工艺；</w:t>
                  </w:r>
                  <w:r>
                    <w:rPr>
                      <w:rFonts w:ascii="Times New Roman" w:hAnsi="Times New Roman"/>
                      <w:color w:val="auto"/>
                      <w:sz w:val="21"/>
                      <w:szCs w:val="21"/>
                      <w:highlight w:val="none"/>
                    </w:rPr>
                    <w:t>②</w:t>
                  </w:r>
                  <w:r>
                    <w:rPr>
                      <w:rFonts w:hint="eastAsia" w:ascii="Times New Roman" w:hAnsi="Times New Roman" w:cs="宋体"/>
                      <w:color w:val="auto"/>
                      <w:sz w:val="21"/>
                      <w:szCs w:val="21"/>
                      <w:highlight w:val="none"/>
                    </w:rPr>
                    <w:t>产生废物，且按自有技术水平无法治理或妥善处置的；</w:t>
                  </w:r>
                  <w:r>
                    <w:rPr>
                      <w:rFonts w:ascii="Times New Roman" w:hAnsi="Times New Roman"/>
                      <w:color w:val="auto"/>
                      <w:sz w:val="21"/>
                      <w:szCs w:val="21"/>
                      <w:highlight w:val="none"/>
                    </w:rPr>
                    <w:t>③</w:t>
                  </w:r>
                  <w:r>
                    <w:rPr>
                      <w:rFonts w:hint="eastAsia" w:ascii="Times New Roman" w:hAnsi="Times New Roman" w:cs="宋体"/>
                      <w:color w:val="auto"/>
                      <w:sz w:val="21"/>
                      <w:szCs w:val="21"/>
                      <w:highlight w:val="none"/>
                    </w:rPr>
                    <w:t>现有污染治理技术不成熟，或现有技术经济条件难以承受污染物治理成本的）。</w:t>
                  </w:r>
                </w:p>
              </w:tc>
              <w:tc>
                <w:tcPr>
                  <w:tcW w:w="2683" w:type="dxa"/>
                  <w:vAlign w:val="center"/>
                </w:tcPr>
                <w:p w14:paraId="63EA85B1">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本项目不属于物耗、水耗和能耗相对较高的生产企业</w:t>
                  </w:r>
                  <w:r>
                    <w:rPr>
                      <w:rFonts w:hint="eastAsia"/>
                      <w:color w:val="auto"/>
                      <w:kern w:val="0"/>
                      <w:sz w:val="21"/>
                      <w:szCs w:val="21"/>
                      <w:highlight w:val="none"/>
                      <w:lang w:eastAsia="zh-CN"/>
                    </w:rPr>
                    <w:t>。</w:t>
                  </w:r>
                </w:p>
              </w:tc>
              <w:tc>
                <w:tcPr>
                  <w:tcW w:w="523" w:type="dxa"/>
                  <w:vAlign w:val="center"/>
                </w:tcPr>
                <w:p w14:paraId="3113DD89">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C7D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DF96F3E">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2D08DC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1B40072">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13</w:t>
                  </w:r>
                  <w:r>
                    <w:rPr>
                      <w:rFonts w:hint="eastAsia" w:ascii="Times New Roman" w:hAnsi="Times New Roman"/>
                      <w:color w:val="auto"/>
                      <w:sz w:val="21"/>
                      <w:szCs w:val="21"/>
                      <w:highlight w:val="none"/>
                    </w:rPr>
                    <w:t>）禁止入园企业开采地下水作为生产、生活用水。</w:t>
                  </w:r>
                </w:p>
              </w:tc>
              <w:tc>
                <w:tcPr>
                  <w:tcW w:w="2683" w:type="dxa"/>
                  <w:vAlign w:val="center"/>
                </w:tcPr>
                <w:p w14:paraId="4C9CD6DD">
                  <w:pPr>
                    <w:spacing w:line="240" w:lineRule="auto"/>
                    <w:ind w:firstLine="0" w:firstLineChars="0"/>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本项目用水为市政管网供水，不进行地下水的开采。</w:t>
                  </w:r>
                </w:p>
              </w:tc>
              <w:tc>
                <w:tcPr>
                  <w:tcW w:w="523" w:type="dxa"/>
                  <w:vAlign w:val="center"/>
                </w:tcPr>
                <w:p w14:paraId="3EB2BDA6">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6836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399" w:type="dxa"/>
                  <w:vMerge w:val="continue"/>
                  <w:vAlign w:val="center"/>
                </w:tcPr>
                <w:p w14:paraId="6FC8174F">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732546DB">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禁入工艺</w:t>
                  </w:r>
                </w:p>
              </w:tc>
              <w:tc>
                <w:tcPr>
                  <w:tcW w:w="2579" w:type="dxa"/>
                  <w:vAlign w:val="center"/>
                </w:tcPr>
                <w:p w14:paraId="3C676D16">
                  <w:pPr>
                    <w:spacing w:line="240" w:lineRule="auto"/>
                    <w:ind w:firstLine="0" w:firstLineChars="0"/>
                    <w:jc w:val="left"/>
                    <w:rPr>
                      <w:rFonts w:ascii="Times New Roman" w:hAnsi="Times New Roman"/>
                      <w:color w:val="auto"/>
                      <w:sz w:val="21"/>
                      <w:szCs w:val="21"/>
                      <w:highlight w:val="none"/>
                    </w:rPr>
                  </w:pPr>
                  <w:r>
                    <w:rPr>
                      <w:rFonts w:ascii="Times New Roman" w:hAnsi="Times New Roman"/>
                      <w:color w:val="auto"/>
                      <w:sz w:val="21"/>
                      <w:szCs w:val="21"/>
                      <w:highlight w:val="none"/>
                    </w:rPr>
                    <w:t>（1）《产业结构调整指导目录（201</w:t>
                  </w:r>
                  <w:r>
                    <w:rPr>
                      <w:rFonts w:hint="eastAsia" w:ascii="Times New Roman" w:hAnsi="Times New Roman"/>
                      <w:color w:val="auto"/>
                      <w:sz w:val="21"/>
                      <w:szCs w:val="21"/>
                      <w:highlight w:val="none"/>
                    </w:rPr>
                    <w:t>9</w:t>
                  </w:r>
                  <w:r>
                    <w:rPr>
                      <w:rFonts w:ascii="Times New Roman" w:hAnsi="Times New Roman"/>
                      <w:color w:val="auto"/>
                      <w:sz w:val="21"/>
                      <w:szCs w:val="21"/>
                      <w:highlight w:val="none"/>
                    </w:rPr>
                    <w:t>年本）》（或更新）中淘汰、落后的生产工艺；</w:t>
                  </w:r>
                </w:p>
              </w:tc>
              <w:tc>
                <w:tcPr>
                  <w:tcW w:w="2683" w:type="dxa"/>
                  <w:vAlign w:val="center"/>
                </w:tcPr>
                <w:p w14:paraId="685021C2">
                  <w:pPr>
                    <w:spacing w:line="240" w:lineRule="auto"/>
                    <w:ind w:firstLine="0" w:firstLineChars="0"/>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经查阅《产业结构调整指导目录》（2024年版），本项目所有工艺不属于该目录中淘汰、落后的生产工艺；</w:t>
                  </w:r>
                </w:p>
              </w:tc>
              <w:tc>
                <w:tcPr>
                  <w:tcW w:w="523" w:type="dxa"/>
                  <w:vMerge w:val="restart"/>
                  <w:vAlign w:val="center"/>
                </w:tcPr>
                <w:p w14:paraId="625FD7F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5D87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399" w:type="dxa"/>
                  <w:vMerge w:val="continue"/>
                  <w:vAlign w:val="center"/>
                </w:tcPr>
                <w:p w14:paraId="13E63CCC">
                  <w:pPr>
                    <w:spacing w:line="240" w:lineRule="auto"/>
                    <w:ind w:firstLine="0" w:firstLineChars="0"/>
                    <w:jc w:val="left"/>
                    <w:rPr>
                      <w:color w:val="auto"/>
                    </w:rPr>
                  </w:pPr>
                </w:p>
              </w:tc>
              <w:tc>
                <w:tcPr>
                  <w:tcW w:w="747" w:type="dxa"/>
                  <w:vMerge w:val="continue"/>
                  <w:vAlign w:val="center"/>
                </w:tcPr>
                <w:p w14:paraId="3AD222F9">
                  <w:pPr>
                    <w:spacing w:line="240" w:lineRule="auto"/>
                    <w:ind w:firstLine="0" w:firstLineChars="0"/>
                    <w:jc w:val="left"/>
                    <w:rPr>
                      <w:color w:val="auto"/>
                    </w:rPr>
                  </w:pPr>
                </w:p>
              </w:tc>
              <w:tc>
                <w:tcPr>
                  <w:tcW w:w="2579" w:type="dxa"/>
                  <w:vAlign w:val="center"/>
                </w:tcPr>
                <w:p w14:paraId="0AD3CC15">
                  <w:pPr>
                    <w:spacing w:line="240" w:lineRule="auto"/>
                    <w:ind w:firstLine="0" w:firstLineChars="0"/>
                    <w:jc w:val="left"/>
                    <w:rPr>
                      <w:rFonts w:ascii="Times New Roman" w:hAnsi="Times New Roman"/>
                      <w:color w:val="auto"/>
                      <w:sz w:val="21"/>
                      <w:szCs w:val="21"/>
                      <w:highlight w:val="none"/>
                    </w:rPr>
                  </w:pPr>
                  <w:r>
                    <w:rPr>
                      <w:rFonts w:ascii="Times New Roman" w:hAnsi="Times New Roman"/>
                      <w:color w:val="auto"/>
                      <w:sz w:val="21"/>
                      <w:szCs w:val="21"/>
                      <w:highlight w:val="none"/>
                    </w:rPr>
                    <w:t>（2）《部分工业行业淘汰落后生产工艺装备和产品指导目录（20</w:t>
                  </w:r>
                  <w:r>
                    <w:rPr>
                      <w:rFonts w:hint="eastAsia" w:ascii="Times New Roman" w:hAnsi="Times New Roman"/>
                      <w:color w:val="auto"/>
                      <w:sz w:val="21"/>
                      <w:szCs w:val="21"/>
                      <w:highlight w:val="none"/>
                    </w:rPr>
                    <w:t>22</w:t>
                  </w:r>
                  <w:r>
                    <w:rPr>
                      <w:rFonts w:ascii="Times New Roman" w:hAnsi="Times New Roman"/>
                      <w:color w:val="auto"/>
                      <w:sz w:val="21"/>
                      <w:szCs w:val="21"/>
                      <w:highlight w:val="none"/>
                    </w:rPr>
                    <w:t>年本）》</w:t>
                  </w:r>
                  <w:r>
                    <w:rPr>
                      <w:rFonts w:hint="eastAsia" w:ascii="Times New Roman" w:hAnsi="Times New Roman"/>
                      <w:color w:val="auto"/>
                      <w:sz w:val="21"/>
                      <w:szCs w:val="21"/>
                      <w:highlight w:val="none"/>
                    </w:rPr>
                    <w:t>（或更新）</w:t>
                  </w:r>
                  <w:r>
                    <w:rPr>
                      <w:rFonts w:ascii="Times New Roman" w:hAnsi="Times New Roman"/>
                      <w:color w:val="auto"/>
                      <w:sz w:val="21"/>
                      <w:szCs w:val="21"/>
                      <w:highlight w:val="none"/>
                    </w:rPr>
                    <w:t>的生产工艺；</w:t>
                  </w:r>
                </w:p>
              </w:tc>
              <w:tc>
                <w:tcPr>
                  <w:tcW w:w="2683" w:type="dxa"/>
                  <w:vAlign w:val="center"/>
                </w:tcPr>
                <w:p w14:paraId="2369C2D1">
                  <w:pPr>
                    <w:spacing w:line="240" w:lineRule="auto"/>
                    <w:ind w:firstLine="0" w:firstLineChars="0"/>
                    <w:jc w:val="left"/>
                    <w:rPr>
                      <w:rFonts w:ascii="Times New Roman" w:hAnsi="Times New Roman"/>
                      <w:color w:val="auto"/>
                      <w:sz w:val="21"/>
                      <w:szCs w:val="21"/>
                      <w:highlight w:val="none"/>
                    </w:rPr>
                  </w:pPr>
                  <w:r>
                    <w:rPr>
                      <w:rFonts w:hint="eastAsia"/>
                      <w:color w:val="auto"/>
                      <w:kern w:val="0"/>
                      <w:sz w:val="21"/>
                      <w:szCs w:val="21"/>
                      <w:highlight w:val="none"/>
                      <w:lang w:val="en-US" w:eastAsia="zh-CN"/>
                    </w:rPr>
                    <w:t>本项目</w:t>
                  </w:r>
                  <w:r>
                    <w:rPr>
                      <w:rFonts w:hint="eastAsia" w:ascii="Times New Roman" w:hAnsi="Times New Roman"/>
                      <w:color w:val="auto"/>
                      <w:kern w:val="0"/>
                      <w:sz w:val="21"/>
                      <w:szCs w:val="21"/>
                      <w:highlight w:val="none"/>
                    </w:rPr>
                    <w:t>不属于《部分工业行业淘汰落后生产工艺装备和产品指导目录（2022年本）》的生产工艺。</w:t>
                  </w:r>
                </w:p>
              </w:tc>
              <w:tc>
                <w:tcPr>
                  <w:tcW w:w="523" w:type="dxa"/>
                  <w:vMerge w:val="continue"/>
                  <w:vAlign w:val="center"/>
                </w:tcPr>
                <w:p w14:paraId="3D41EA63">
                  <w:pPr>
                    <w:spacing w:line="240" w:lineRule="auto"/>
                    <w:ind w:firstLine="0" w:firstLineChars="0"/>
                    <w:jc w:val="left"/>
                    <w:rPr>
                      <w:rFonts w:ascii="Times New Roman" w:hAnsi="Times New Roman"/>
                      <w:color w:val="auto"/>
                      <w:sz w:val="21"/>
                      <w:szCs w:val="21"/>
                      <w:highlight w:val="none"/>
                    </w:rPr>
                  </w:pPr>
                </w:p>
              </w:tc>
            </w:tr>
            <w:tr w14:paraId="10B2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74A7247B">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035318D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禁入产品</w:t>
                  </w:r>
                </w:p>
              </w:tc>
              <w:tc>
                <w:tcPr>
                  <w:tcW w:w="2579" w:type="dxa"/>
                  <w:vAlign w:val="center"/>
                </w:tcPr>
                <w:p w14:paraId="3EA0AF4C">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《部分工业行业淘汰落后生产工艺装备和产品指导目录（</w:t>
                  </w:r>
                  <w:r>
                    <w:rPr>
                      <w:rFonts w:hint="eastAsia" w:ascii="Times New Roman" w:hAnsi="Times New Roman"/>
                      <w:color w:val="auto"/>
                      <w:kern w:val="0"/>
                      <w:sz w:val="21"/>
                      <w:szCs w:val="21"/>
                      <w:highlight w:val="none"/>
                    </w:rPr>
                    <w:t>2022</w:t>
                  </w:r>
                  <w:r>
                    <w:rPr>
                      <w:rFonts w:ascii="Times New Roman" w:hAnsi="Times New Roman"/>
                      <w:color w:val="auto"/>
                      <w:kern w:val="0"/>
                      <w:sz w:val="21"/>
                      <w:szCs w:val="21"/>
                      <w:highlight w:val="none"/>
                    </w:rPr>
                    <w:t>年本）》</w:t>
                  </w:r>
                  <w:r>
                    <w:rPr>
                      <w:rFonts w:hint="eastAsia" w:ascii="Times New Roman" w:hAnsi="Times New Roman"/>
                      <w:color w:val="auto"/>
                      <w:kern w:val="0"/>
                      <w:sz w:val="21"/>
                      <w:szCs w:val="21"/>
                      <w:highlight w:val="none"/>
                    </w:rPr>
                    <w:t>（或更新）</w:t>
                  </w:r>
                  <w:r>
                    <w:rPr>
                      <w:rFonts w:ascii="Times New Roman" w:hAnsi="Times New Roman"/>
                      <w:color w:val="auto"/>
                      <w:kern w:val="0"/>
                      <w:sz w:val="21"/>
                      <w:szCs w:val="21"/>
                      <w:highlight w:val="none"/>
                    </w:rPr>
                    <w:t>的产品。</w:t>
                  </w:r>
                </w:p>
              </w:tc>
              <w:tc>
                <w:tcPr>
                  <w:tcW w:w="2683" w:type="dxa"/>
                  <w:vAlign w:val="center"/>
                </w:tcPr>
                <w:p w14:paraId="71F2940C">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本项目不属于《部分工业行业淘汰落后生产工艺装备和产品指导目录（</w:t>
                  </w:r>
                  <w:r>
                    <w:rPr>
                      <w:rFonts w:hint="eastAsia" w:ascii="Times New Roman" w:hAnsi="Times New Roman"/>
                      <w:color w:val="auto"/>
                      <w:kern w:val="0"/>
                      <w:sz w:val="21"/>
                      <w:szCs w:val="21"/>
                      <w:highlight w:val="none"/>
                    </w:rPr>
                    <w:t>2022</w:t>
                  </w:r>
                  <w:r>
                    <w:rPr>
                      <w:rFonts w:ascii="Times New Roman" w:hAnsi="Times New Roman"/>
                      <w:color w:val="auto"/>
                      <w:kern w:val="0"/>
                      <w:sz w:val="21"/>
                      <w:szCs w:val="21"/>
                      <w:highlight w:val="none"/>
                    </w:rPr>
                    <w:t>年本）》的产品。</w:t>
                  </w:r>
                </w:p>
              </w:tc>
              <w:tc>
                <w:tcPr>
                  <w:tcW w:w="523" w:type="dxa"/>
                  <w:vAlign w:val="center"/>
                </w:tcPr>
                <w:p w14:paraId="2A52BE2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7C2B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4EBC4199">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52E6B196">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清洁生产水平</w:t>
                  </w:r>
                </w:p>
              </w:tc>
              <w:tc>
                <w:tcPr>
                  <w:tcW w:w="2579" w:type="dxa"/>
                  <w:vAlign w:val="center"/>
                </w:tcPr>
                <w:p w14:paraId="66EF7EDB">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清洁生产水平低于国家清洁生产标准的国内先进水平。</w:t>
                  </w:r>
                </w:p>
              </w:tc>
              <w:tc>
                <w:tcPr>
                  <w:tcW w:w="2683" w:type="dxa"/>
                  <w:vAlign w:val="center"/>
                </w:tcPr>
                <w:p w14:paraId="35428BE6">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s="宋体"/>
                      <w:color w:val="auto"/>
                      <w:sz w:val="21"/>
                      <w:szCs w:val="21"/>
                      <w:highlight w:val="none"/>
                    </w:rPr>
                    <w:t>本项目不属于物耗、能耗高、产生的大气污染类型复杂、环境风险较大的产业，且产生的废气、废水、固废等均得到有效处置</w:t>
                  </w:r>
                  <w:r>
                    <w:rPr>
                      <w:rFonts w:ascii="Times New Roman" w:hAnsi="Times New Roman"/>
                      <w:color w:val="auto"/>
                      <w:kern w:val="0"/>
                      <w:sz w:val="21"/>
                      <w:szCs w:val="21"/>
                      <w:highlight w:val="none"/>
                    </w:rPr>
                    <w:t>。</w:t>
                  </w:r>
                </w:p>
              </w:tc>
              <w:tc>
                <w:tcPr>
                  <w:tcW w:w="523" w:type="dxa"/>
                  <w:vAlign w:val="center"/>
                </w:tcPr>
                <w:p w14:paraId="69F6B2A8">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44D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71935855">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34C9A892">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限制禁入</w:t>
                  </w:r>
                </w:p>
              </w:tc>
              <w:tc>
                <w:tcPr>
                  <w:tcW w:w="2579" w:type="dxa"/>
                  <w:vAlign w:val="center"/>
                </w:tcPr>
                <w:p w14:paraId="61E1C3F0">
                  <w:pPr>
                    <w:spacing w:line="240" w:lineRule="auto"/>
                    <w:ind w:firstLine="0" w:firstLineChars="0"/>
                    <w:jc w:val="left"/>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（1）</w:t>
                  </w:r>
                  <w:r>
                    <w:rPr>
                      <w:rFonts w:hint="eastAsia" w:ascii="Times New Roman" w:hAnsi="Times New Roman"/>
                      <w:color w:val="auto"/>
                      <w:sz w:val="21"/>
                      <w:szCs w:val="21"/>
                      <w:highlight w:val="none"/>
                    </w:rPr>
                    <w:t>严格限制引进《产业结构调整指导目录（</w:t>
                  </w:r>
                  <w:r>
                    <w:rPr>
                      <w:rFonts w:ascii="Times New Roman" w:hAnsi="Times New Roman"/>
                      <w:color w:val="auto"/>
                      <w:sz w:val="21"/>
                      <w:szCs w:val="21"/>
                      <w:highlight w:val="none"/>
                    </w:rPr>
                    <w:t>2019</w:t>
                  </w:r>
                  <w:r>
                    <w:rPr>
                      <w:rFonts w:hint="eastAsia" w:ascii="Times New Roman" w:hAnsi="Times New Roman"/>
                      <w:color w:val="auto"/>
                      <w:sz w:val="21"/>
                      <w:szCs w:val="21"/>
                      <w:highlight w:val="none"/>
                    </w:rPr>
                    <w:t>年本）》（或更新）中所列的限制类项目。</w:t>
                  </w:r>
                </w:p>
              </w:tc>
              <w:tc>
                <w:tcPr>
                  <w:tcW w:w="2683" w:type="dxa"/>
                  <w:vAlign w:val="center"/>
                </w:tcPr>
                <w:p w14:paraId="2D75B133">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w:t>
                  </w:r>
                  <w:r>
                    <w:rPr>
                      <w:rFonts w:hint="eastAsia" w:ascii="Times New Roman" w:hAnsi="Times New Roman"/>
                      <w:color w:val="auto"/>
                      <w:sz w:val="21"/>
                      <w:szCs w:val="21"/>
                      <w:highlight w:val="none"/>
                    </w:rPr>
                    <w:t>《产业结构调整指导目录（2024年版）》中所列的限制类项目；</w:t>
                  </w:r>
                </w:p>
              </w:tc>
              <w:tc>
                <w:tcPr>
                  <w:tcW w:w="523" w:type="dxa"/>
                  <w:vAlign w:val="center"/>
                </w:tcPr>
                <w:p w14:paraId="2618862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7FD5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0AE64D8F">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EA0A633">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194966BE">
                  <w:pPr>
                    <w:spacing w:line="240" w:lineRule="auto"/>
                    <w:ind w:firstLine="0" w:firstLineChars="0"/>
                    <w:jc w:val="left"/>
                    <w:rPr>
                      <w:rFonts w:ascii="Times New Roman" w:hAnsi="Times New Roman"/>
                      <w:color w:val="auto"/>
                      <w:kern w:val="0"/>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2</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 xml:space="preserve">2017 </w:t>
                  </w:r>
                  <w:r>
                    <w:rPr>
                      <w:rFonts w:hint="eastAsia" w:ascii="Times New Roman" w:hAnsi="Times New Roman" w:cs="宋体"/>
                      <w:color w:val="auto"/>
                      <w:sz w:val="21"/>
                      <w:szCs w:val="21"/>
                      <w:highlight w:val="none"/>
                    </w:rPr>
                    <w:t>年修订）》（或更新）中所列的限制类项目。</w:t>
                  </w:r>
                </w:p>
              </w:tc>
              <w:tc>
                <w:tcPr>
                  <w:tcW w:w="2683" w:type="dxa"/>
                  <w:vAlign w:val="center"/>
                </w:tcPr>
                <w:p w14:paraId="7411C018">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本项目不属于《外商投资产业指导目录（2017年修订）》中所列的限制类项目；</w:t>
                  </w:r>
                </w:p>
              </w:tc>
              <w:tc>
                <w:tcPr>
                  <w:tcW w:w="523" w:type="dxa"/>
                  <w:vAlign w:val="center"/>
                </w:tcPr>
                <w:p w14:paraId="67EFB762">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符合</w:t>
                  </w:r>
                </w:p>
              </w:tc>
            </w:tr>
            <w:tr w14:paraId="5E7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38B866EE">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D1C9130">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6AB8FD33">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（3）严格限制引进涉及《中国严格限制进出口的有毒化学品目录（2020年本）》（或更新）中所列有毒化学品的项目。</w:t>
                  </w:r>
                </w:p>
              </w:tc>
              <w:tc>
                <w:tcPr>
                  <w:tcW w:w="2683" w:type="dxa"/>
                  <w:vAlign w:val="center"/>
                </w:tcPr>
                <w:p w14:paraId="16694A5E">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本只进行柴油罐车清洗，</w:t>
                  </w:r>
                  <w:r>
                    <w:rPr>
                      <w:rFonts w:ascii="Times New Roman" w:hAnsi="Times New Roman"/>
                      <w:color w:val="auto"/>
                      <w:kern w:val="0"/>
                      <w:sz w:val="21"/>
                      <w:szCs w:val="21"/>
                      <w:highlight w:val="none"/>
                    </w:rPr>
                    <w:t>不涉及《中国严格限制进出口的有毒化学品目录(</w:t>
                  </w:r>
                  <w:r>
                    <w:rPr>
                      <w:rFonts w:hint="eastAsia" w:ascii="Times New Roman" w:hAnsi="Times New Roman"/>
                      <w:color w:val="auto"/>
                      <w:kern w:val="0"/>
                      <w:sz w:val="21"/>
                      <w:szCs w:val="21"/>
                      <w:highlight w:val="none"/>
                    </w:rPr>
                    <w:t>2020</w:t>
                  </w:r>
                  <w:r>
                    <w:rPr>
                      <w:rFonts w:ascii="Times New Roman" w:hAnsi="Times New Roman"/>
                      <w:color w:val="auto"/>
                      <w:kern w:val="0"/>
                      <w:sz w:val="21"/>
                      <w:szCs w:val="21"/>
                      <w:highlight w:val="none"/>
                    </w:rPr>
                    <w:t>年本)》中所列有毒化学品；</w:t>
                  </w:r>
                </w:p>
              </w:tc>
              <w:tc>
                <w:tcPr>
                  <w:tcW w:w="523" w:type="dxa"/>
                  <w:vAlign w:val="center"/>
                </w:tcPr>
                <w:p w14:paraId="40295EA0">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符合</w:t>
                  </w:r>
                </w:p>
              </w:tc>
            </w:tr>
            <w:tr w14:paraId="58E4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dxa"/>
                  <w:vMerge w:val="continue"/>
                  <w:vAlign w:val="center"/>
                </w:tcPr>
                <w:p w14:paraId="33623EB0">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10479514">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现状产业区</w:t>
                  </w:r>
                </w:p>
              </w:tc>
              <w:tc>
                <w:tcPr>
                  <w:tcW w:w="2579" w:type="dxa"/>
                  <w:vMerge w:val="restart"/>
                  <w:vAlign w:val="center"/>
                </w:tcPr>
                <w:p w14:paraId="39C6912D">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允许现有煤磷盐化工及配套产业进行环保提升改造。</w:t>
                  </w:r>
                </w:p>
              </w:tc>
              <w:tc>
                <w:tcPr>
                  <w:tcW w:w="2683" w:type="dxa"/>
                  <w:vMerge w:val="restart"/>
                  <w:vAlign w:val="center"/>
                </w:tcPr>
                <w:p w14:paraId="22229FD9">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危化品车辆清洗场</w:t>
                  </w:r>
                  <w:r>
                    <w:rPr>
                      <w:rFonts w:ascii="Times New Roman" w:hAnsi="Times New Roman"/>
                      <w:color w:val="auto"/>
                      <w:kern w:val="0"/>
                      <w:sz w:val="21"/>
                      <w:szCs w:val="21"/>
                      <w:highlight w:val="none"/>
                    </w:rPr>
                    <w:t>，为</w:t>
                  </w:r>
                  <w:r>
                    <w:rPr>
                      <w:rFonts w:hint="eastAsia"/>
                      <w:color w:val="auto"/>
                      <w:kern w:val="0"/>
                      <w:sz w:val="21"/>
                      <w:szCs w:val="21"/>
                      <w:highlight w:val="none"/>
                      <w:lang w:val="en-US" w:eastAsia="zh-CN"/>
                    </w:rPr>
                    <w:t>新</w:t>
                  </w:r>
                  <w:r>
                    <w:rPr>
                      <w:rFonts w:hint="eastAsia" w:ascii="Times New Roman" w:hAnsi="Times New Roman"/>
                      <w:color w:val="auto"/>
                      <w:kern w:val="0"/>
                      <w:sz w:val="21"/>
                      <w:szCs w:val="21"/>
                      <w:highlight w:val="none"/>
                    </w:rPr>
                    <w:t>建</w:t>
                  </w:r>
                  <w:r>
                    <w:rPr>
                      <w:rFonts w:ascii="Times New Roman" w:hAnsi="Times New Roman"/>
                      <w:color w:val="auto"/>
                      <w:kern w:val="0"/>
                      <w:sz w:val="21"/>
                      <w:szCs w:val="21"/>
                      <w:highlight w:val="none"/>
                    </w:rPr>
                    <w:t>项目，</w:t>
                  </w:r>
                  <w:r>
                    <w:rPr>
                      <w:rFonts w:hint="eastAsia" w:ascii="Times New Roman" w:hAnsi="Times New Roman"/>
                      <w:color w:val="auto"/>
                      <w:kern w:val="0"/>
                      <w:sz w:val="21"/>
                      <w:szCs w:val="21"/>
                      <w:highlight w:val="none"/>
                    </w:rPr>
                    <w:t>位于</w:t>
                  </w:r>
                  <w:r>
                    <w:rPr>
                      <w:rFonts w:hint="eastAsia"/>
                      <w:color w:val="auto"/>
                      <w:kern w:val="0"/>
                      <w:sz w:val="21"/>
                      <w:szCs w:val="21"/>
                      <w:highlight w:val="none"/>
                      <w:lang w:val="en-US" w:eastAsia="zh-CN"/>
                    </w:rPr>
                    <w:t>金所</w:t>
                  </w:r>
                  <w:r>
                    <w:rPr>
                      <w:rFonts w:hint="eastAsia" w:ascii="Times New Roman" w:hAnsi="Times New Roman"/>
                      <w:color w:val="auto"/>
                      <w:kern w:val="0"/>
                      <w:sz w:val="21"/>
                      <w:szCs w:val="21"/>
                      <w:highlight w:val="none"/>
                    </w:rPr>
                    <w:t>片区</w:t>
                  </w:r>
                  <w:r>
                    <w:rPr>
                      <w:rFonts w:hint="eastAsia"/>
                      <w:color w:val="auto"/>
                      <w:kern w:val="0"/>
                      <w:sz w:val="21"/>
                      <w:szCs w:val="21"/>
                      <w:highlight w:val="none"/>
                      <w:lang w:val="en-US" w:eastAsia="zh-CN"/>
                    </w:rPr>
                    <w:t>中转物流</w:t>
                  </w:r>
                  <w:r>
                    <w:rPr>
                      <w:rFonts w:hint="eastAsia" w:ascii="Times New Roman" w:hAnsi="Times New Roman"/>
                      <w:color w:val="auto"/>
                      <w:kern w:val="0"/>
                      <w:sz w:val="21"/>
                      <w:szCs w:val="21"/>
                      <w:highlight w:val="none"/>
                    </w:rPr>
                    <w:t>区。</w:t>
                  </w:r>
                </w:p>
              </w:tc>
              <w:tc>
                <w:tcPr>
                  <w:tcW w:w="523" w:type="dxa"/>
                  <w:vMerge w:val="restart"/>
                  <w:vAlign w:val="center"/>
                </w:tcPr>
                <w:p w14:paraId="3C066BD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6E43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99" w:type="dxa"/>
                  <w:vMerge w:val="restart"/>
                  <w:vAlign w:val="center"/>
                </w:tcPr>
                <w:p w14:paraId="4CBE9F90">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规划产业要求</w:t>
                  </w:r>
                </w:p>
              </w:tc>
              <w:tc>
                <w:tcPr>
                  <w:tcW w:w="747" w:type="dxa"/>
                  <w:vMerge w:val="continue"/>
                  <w:vAlign w:val="center"/>
                </w:tcPr>
                <w:p w14:paraId="26ED7731">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p>
              </w:tc>
              <w:tc>
                <w:tcPr>
                  <w:tcW w:w="2579" w:type="dxa"/>
                  <w:vMerge w:val="continue"/>
                  <w:vAlign w:val="center"/>
                </w:tcPr>
                <w:p w14:paraId="074C9582">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p>
              </w:tc>
              <w:tc>
                <w:tcPr>
                  <w:tcW w:w="2683" w:type="dxa"/>
                  <w:vMerge w:val="continue"/>
                  <w:vAlign w:val="center"/>
                </w:tcPr>
                <w:p w14:paraId="4CC3BA0E">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color w:val="auto"/>
                      <w:kern w:val="0"/>
                      <w:sz w:val="21"/>
                      <w:szCs w:val="21"/>
                      <w:highlight w:val="none"/>
                    </w:rPr>
                  </w:pPr>
                </w:p>
              </w:tc>
              <w:tc>
                <w:tcPr>
                  <w:tcW w:w="523" w:type="dxa"/>
                  <w:vMerge w:val="continue"/>
                  <w:vAlign w:val="center"/>
                </w:tcPr>
                <w:p w14:paraId="22901CFC">
                  <w:pPr>
                    <w:spacing w:line="240" w:lineRule="auto"/>
                    <w:ind w:firstLine="0" w:firstLineChars="0"/>
                    <w:jc w:val="center"/>
                    <w:rPr>
                      <w:rFonts w:ascii="Times New Roman" w:hAnsi="Times New Roman"/>
                      <w:color w:val="auto"/>
                      <w:kern w:val="0"/>
                      <w:sz w:val="21"/>
                      <w:szCs w:val="21"/>
                      <w:highlight w:val="none"/>
                    </w:rPr>
                  </w:pPr>
                </w:p>
              </w:tc>
            </w:tr>
            <w:tr w14:paraId="2D3C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2D7CD7BF">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726AD3F3">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绿色建材产</w:t>
                  </w:r>
                  <w:r>
                    <w:rPr>
                      <w:rFonts w:ascii="Times New Roman" w:hAnsi="Times New Roman" w:cs="Times New Roman"/>
                      <w:color w:val="auto"/>
                      <w:sz w:val="21"/>
                      <w:szCs w:val="21"/>
                      <w:highlight w:val="none"/>
                    </w:rPr>
                    <w:t>业</w:t>
                  </w:r>
                </w:p>
              </w:tc>
              <w:tc>
                <w:tcPr>
                  <w:tcW w:w="2579" w:type="dxa"/>
                  <w:vMerge w:val="restart"/>
                  <w:vAlign w:val="center"/>
                </w:tcPr>
                <w:p w14:paraId="226A8B2B">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禁止生产废水不能循环回用，且向牛栏江流域排放生产废水的企业入驻。</w:t>
                  </w:r>
                </w:p>
              </w:tc>
              <w:tc>
                <w:tcPr>
                  <w:tcW w:w="2683" w:type="dxa"/>
                  <w:vMerge w:val="restart"/>
                  <w:vAlign w:val="center"/>
                </w:tcPr>
                <w:p w14:paraId="16A8F5DE">
                  <w:pPr>
                    <w:keepNext w:val="0"/>
                    <w:keepLines w:val="0"/>
                    <w:pageBreakBefore w:val="0"/>
                    <w:widowControl w:val="0"/>
                    <w:kinsoku/>
                    <w:wordWrap/>
                    <w:overflowPunct/>
                    <w:topLinePunct w:val="0"/>
                    <w:bidi w:val="0"/>
                    <w:snapToGrid/>
                    <w:spacing w:line="240" w:lineRule="auto"/>
                    <w:ind w:firstLine="0" w:firstLineChars="0"/>
                    <w:textAlignment w:val="auto"/>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本项目不向牛栏江流域排放生产废水。</w:t>
                  </w:r>
                </w:p>
              </w:tc>
              <w:tc>
                <w:tcPr>
                  <w:tcW w:w="523" w:type="dxa"/>
                  <w:vMerge w:val="restart"/>
                  <w:vAlign w:val="center"/>
                </w:tcPr>
                <w:p w14:paraId="139790B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1B7D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57EDE578">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6919EEAD">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先进装备制造产</w:t>
                  </w:r>
                  <w:r>
                    <w:rPr>
                      <w:rFonts w:ascii="Times New Roman" w:hAnsi="Times New Roman" w:cs="Times New Roman"/>
                      <w:color w:val="auto"/>
                      <w:sz w:val="21"/>
                      <w:szCs w:val="21"/>
                      <w:highlight w:val="none"/>
                    </w:rPr>
                    <w:t>业</w:t>
                  </w:r>
                </w:p>
              </w:tc>
              <w:tc>
                <w:tcPr>
                  <w:tcW w:w="2579" w:type="dxa"/>
                  <w:vMerge w:val="continue"/>
                  <w:vAlign w:val="center"/>
                </w:tcPr>
                <w:p w14:paraId="1C45139B">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p>
              </w:tc>
              <w:tc>
                <w:tcPr>
                  <w:tcW w:w="2683" w:type="dxa"/>
                  <w:vMerge w:val="continue"/>
                  <w:vAlign w:val="center"/>
                </w:tcPr>
                <w:p w14:paraId="699E9B57">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color w:val="auto"/>
                      <w:kern w:val="0"/>
                      <w:sz w:val="21"/>
                      <w:szCs w:val="21"/>
                      <w:highlight w:val="none"/>
                    </w:rPr>
                  </w:pPr>
                </w:p>
              </w:tc>
              <w:tc>
                <w:tcPr>
                  <w:tcW w:w="523" w:type="dxa"/>
                  <w:vMerge w:val="continue"/>
                  <w:vAlign w:val="center"/>
                </w:tcPr>
                <w:p w14:paraId="0876A848">
                  <w:pPr>
                    <w:spacing w:line="240" w:lineRule="auto"/>
                    <w:ind w:firstLine="0" w:firstLineChars="0"/>
                    <w:jc w:val="center"/>
                    <w:rPr>
                      <w:rFonts w:ascii="Times New Roman" w:hAnsi="Times New Roman"/>
                      <w:color w:val="auto"/>
                      <w:kern w:val="0"/>
                      <w:sz w:val="21"/>
                      <w:szCs w:val="21"/>
                      <w:highlight w:val="none"/>
                    </w:rPr>
                  </w:pPr>
                </w:p>
              </w:tc>
            </w:tr>
            <w:tr w14:paraId="4821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399" w:type="dxa"/>
                  <w:vMerge w:val="continue"/>
                  <w:vAlign w:val="center"/>
                </w:tcPr>
                <w:p w14:paraId="44E88F35">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43ED7B2C">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非烟轻工产业</w:t>
                  </w:r>
                </w:p>
              </w:tc>
              <w:tc>
                <w:tcPr>
                  <w:tcW w:w="2579" w:type="dxa"/>
                  <w:vAlign w:val="center"/>
                </w:tcPr>
                <w:p w14:paraId="0FEE900E">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w:t>
                  </w:r>
                  <w:r>
                    <w:rPr>
                      <w:rFonts w:hint="eastAsia" w:ascii="Times New Roman" w:hAnsi="Times New Roman" w:cs="Times New Roman"/>
                      <w:color w:val="auto"/>
                      <w:sz w:val="21"/>
                      <w:szCs w:val="21"/>
                      <w:highlight w:val="none"/>
                    </w:rPr>
                    <w:t>木材加工及家具制造业：禁止含有制胶工艺的企业入驻。</w:t>
                  </w:r>
                </w:p>
                <w:p w14:paraId="22261CE6">
                  <w:pPr>
                    <w:pStyle w:val="20"/>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②</w:t>
                  </w:r>
                  <w:r>
                    <w:rPr>
                      <w:rFonts w:hint="eastAsia" w:ascii="Times New Roman" w:hAnsi="Times New Roman" w:cs="Times New Roman"/>
                      <w:color w:val="auto"/>
                      <w:sz w:val="21"/>
                      <w:szCs w:val="21"/>
                      <w:highlight w:val="none"/>
                    </w:rPr>
                    <w:t>食品业：要求规上企业工业用水重复利用率＞65%。</w:t>
                  </w:r>
                </w:p>
              </w:tc>
              <w:tc>
                <w:tcPr>
                  <w:tcW w:w="2683" w:type="dxa"/>
                  <w:vAlign w:val="center"/>
                </w:tcPr>
                <w:p w14:paraId="52C605F3">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s="Times New Roman"/>
                      <w:color w:val="auto"/>
                      <w:sz w:val="21"/>
                      <w:szCs w:val="21"/>
                      <w:highlight w:val="none"/>
                    </w:rPr>
                    <w:t>①</w:t>
                  </w:r>
                  <w:r>
                    <w:rPr>
                      <w:rFonts w:hint="eastAsia"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危化品车辆清洗场</w:t>
                  </w:r>
                  <w:r>
                    <w:rPr>
                      <w:rFonts w:hint="eastAsia" w:ascii="Times New Roman" w:hAnsi="Times New Roman"/>
                      <w:color w:val="auto"/>
                      <w:kern w:val="0"/>
                      <w:sz w:val="21"/>
                      <w:szCs w:val="21"/>
                      <w:highlight w:val="none"/>
                    </w:rPr>
                    <w:t>，不涉及制胶</w:t>
                  </w:r>
                  <w:r>
                    <w:rPr>
                      <w:rFonts w:hint="eastAsia"/>
                      <w:color w:val="auto"/>
                      <w:kern w:val="0"/>
                      <w:sz w:val="21"/>
                      <w:szCs w:val="21"/>
                      <w:highlight w:val="none"/>
                      <w:lang w:val="en-US" w:eastAsia="zh-CN"/>
                    </w:rPr>
                    <w:t>工艺</w:t>
                  </w:r>
                  <w:r>
                    <w:rPr>
                      <w:rFonts w:hint="eastAsia" w:ascii="Times New Roman" w:hAnsi="Times New Roman"/>
                      <w:color w:val="auto"/>
                      <w:kern w:val="0"/>
                      <w:sz w:val="21"/>
                      <w:szCs w:val="21"/>
                      <w:highlight w:val="none"/>
                    </w:rPr>
                    <w:t>。</w:t>
                  </w:r>
                </w:p>
                <w:p w14:paraId="4979E81D">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s="Times New Roman"/>
                      <w:color w:val="auto"/>
                      <w:sz w:val="21"/>
                      <w:szCs w:val="21"/>
                      <w:highlight w:val="none"/>
                    </w:rPr>
                    <w:t>②</w:t>
                  </w:r>
                  <w:r>
                    <w:rPr>
                      <w:rFonts w:hint="eastAsia" w:ascii="Times New Roman" w:hAnsi="Times New Roman"/>
                      <w:color w:val="auto"/>
                      <w:kern w:val="0"/>
                      <w:sz w:val="21"/>
                      <w:szCs w:val="21"/>
                      <w:highlight w:val="none"/>
                    </w:rPr>
                    <w:t>本项目不属于食品业中的规上企业。</w:t>
                  </w:r>
                </w:p>
              </w:tc>
              <w:tc>
                <w:tcPr>
                  <w:tcW w:w="523" w:type="dxa"/>
                  <w:vAlign w:val="center"/>
                </w:tcPr>
                <w:p w14:paraId="531D79B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bl>
          <w:p w14:paraId="3463896A">
            <w:pPr>
              <w:ind w:firstLine="480"/>
              <w:rPr>
                <w:rFonts w:ascii="Times New Roman" w:hAnsi="Times New Roman"/>
                <w:color w:val="auto"/>
                <w:kern w:val="0"/>
                <w:highlight w:val="none"/>
              </w:rPr>
            </w:pPr>
            <w:r>
              <w:rPr>
                <w:rFonts w:hint="eastAsia" w:ascii="Times New Roman" w:hAnsi="Times New Roman"/>
                <w:color w:val="auto"/>
                <w:kern w:val="0"/>
                <w:highlight w:val="none"/>
              </w:rPr>
              <w:t>综上所述，本项目不属于园区环境准入负面清单规定的范围内，符合环境准入负面清单要求。</w:t>
            </w:r>
          </w:p>
          <w:p w14:paraId="05341C8B">
            <w:pPr>
              <w:ind w:firstLine="482"/>
              <w:rPr>
                <w:rFonts w:ascii="Times New Roman" w:hAnsi="Times New Roman"/>
                <w:b/>
                <w:bCs/>
                <w:color w:val="auto"/>
                <w:kern w:val="0"/>
                <w:highlight w:val="none"/>
              </w:rPr>
            </w:pPr>
            <w:r>
              <w:rPr>
                <w:rFonts w:hint="eastAsia" w:ascii="Times New Roman" w:hAnsi="Times New Roman"/>
                <w:b/>
                <w:bCs/>
                <w:color w:val="auto"/>
                <w:kern w:val="0"/>
                <w:highlight w:val="none"/>
              </w:rPr>
              <w:t>（</w:t>
            </w:r>
            <w:r>
              <w:rPr>
                <w:rFonts w:hint="eastAsia"/>
                <w:b/>
                <w:bCs/>
                <w:color w:val="auto"/>
                <w:kern w:val="0"/>
                <w:highlight w:val="none"/>
                <w:lang w:val="en-US" w:eastAsia="zh-CN"/>
              </w:rPr>
              <w:t>2</w:t>
            </w:r>
            <w:r>
              <w:rPr>
                <w:rFonts w:hint="eastAsia" w:ascii="Times New Roman" w:hAnsi="Times New Roman"/>
                <w:b/>
                <w:bCs/>
                <w:color w:val="auto"/>
                <w:kern w:val="0"/>
                <w:highlight w:val="none"/>
              </w:rPr>
              <w:t>）本项目与规划环评审查意见（昆环审[2023]5号）的符合性分析</w:t>
            </w:r>
          </w:p>
          <w:p w14:paraId="70CD6D5C">
            <w:pPr>
              <w:ind w:firstLine="480"/>
              <w:rPr>
                <w:rFonts w:hint="default" w:ascii="Times New Roman" w:hAnsi="Times New Roman" w:eastAsia="宋体"/>
                <w:color w:val="auto"/>
                <w:kern w:val="0"/>
                <w:highlight w:val="none"/>
                <w:lang w:val="en-US" w:eastAsia="zh-CN"/>
              </w:rPr>
            </w:pPr>
            <w:r>
              <w:rPr>
                <w:rFonts w:hint="eastAsia" w:ascii="Times New Roman" w:hAnsi="Times New Roman"/>
                <w:color w:val="auto"/>
                <w:kern w:val="0"/>
                <w:highlight w:val="none"/>
              </w:rPr>
              <w:t>项目与规划环评审查意见对照情况如下：</w:t>
            </w:r>
          </w:p>
          <w:p w14:paraId="62EBC9BF">
            <w:pPr>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3</w:t>
            </w:r>
            <w:r>
              <w:rPr>
                <w:rFonts w:hint="eastAsia" w:ascii="Times New Roman" w:hAnsi="Times New Roman"/>
                <w:b/>
                <w:bCs/>
                <w:color w:val="auto"/>
                <w:sz w:val="21"/>
                <w:szCs w:val="21"/>
                <w:highlight w:val="none"/>
              </w:rPr>
              <w:t xml:space="preserve">  项目与审查意见的符合性分析</w:t>
            </w:r>
          </w:p>
          <w:tbl>
            <w:tblPr>
              <w:tblStyle w:val="30"/>
              <w:tblW w:w="6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2342"/>
              <w:gridCol w:w="471"/>
            </w:tblGrid>
            <w:tr w14:paraId="71B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137" w:type="dxa"/>
                  <w:vAlign w:val="center"/>
                </w:tcPr>
                <w:p w14:paraId="4CF9C21F">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审查意见中要求</w:t>
                  </w:r>
                </w:p>
              </w:tc>
              <w:tc>
                <w:tcPr>
                  <w:tcW w:w="2342" w:type="dxa"/>
                  <w:vAlign w:val="center"/>
                </w:tcPr>
                <w:p w14:paraId="35FC51FD">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本项目情况</w:t>
                  </w:r>
                </w:p>
              </w:tc>
              <w:tc>
                <w:tcPr>
                  <w:tcW w:w="471" w:type="dxa"/>
                  <w:vAlign w:val="center"/>
                </w:tcPr>
                <w:p w14:paraId="19DF5D25">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符合性</w:t>
                  </w:r>
                </w:p>
              </w:tc>
            </w:tr>
            <w:tr w14:paraId="71BC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137" w:type="dxa"/>
                  <w:vAlign w:val="center"/>
                </w:tcPr>
                <w:p w14:paraId="4359B5C8">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32B04B90">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0C73BB6C">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33A8CD8E">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将土壤污染防治工作纳入园区规划及相关生态环境保护规划，采取有效预防措施，防止、减少土壤污染，确保满足土壤环境管控要求。</w:t>
                  </w:r>
                </w:p>
              </w:tc>
              <w:tc>
                <w:tcPr>
                  <w:tcW w:w="2342" w:type="dxa"/>
                  <w:vAlign w:val="center"/>
                </w:tcPr>
                <w:p w14:paraId="7C25DAE6">
                  <w:pPr>
                    <w:spacing w:line="240" w:lineRule="auto"/>
                    <w:ind w:firstLine="0" w:firstLineChars="0"/>
                    <w:jc w:val="both"/>
                    <w:rPr>
                      <w:rFonts w:hint="default"/>
                      <w:color w:val="auto"/>
                      <w:kern w:val="0"/>
                      <w:sz w:val="21"/>
                      <w:szCs w:val="21"/>
                      <w:highlight w:val="none"/>
                      <w:lang w:val="en-US" w:eastAsia="zh-CN"/>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。项目采取本次评价提出的相关环保措施后可有效减少主要污染物的排放总量，符合国家和云南省有关大气、水、土壤污染防治行动计划相关要求。</w:t>
                  </w:r>
                </w:p>
              </w:tc>
              <w:tc>
                <w:tcPr>
                  <w:tcW w:w="471" w:type="dxa"/>
                  <w:vAlign w:val="center"/>
                </w:tcPr>
                <w:p w14:paraId="2AF02D55">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3FC6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trPr>
              <w:tc>
                <w:tcPr>
                  <w:tcW w:w="4137" w:type="dxa"/>
                  <w:vAlign w:val="center"/>
                </w:tcPr>
                <w:p w14:paraId="6A96C095">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2342" w:type="dxa"/>
                  <w:vAlign w:val="center"/>
                </w:tcPr>
                <w:p w14:paraId="3E91B145">
                  <w:pPr>
                    <w:spacing w:line="240" w:lineRule="auto"/>
                    <w:ind w:firstLine="0" w:firstLineChars="0"/>
                    <w:jc w:val="both"/>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危险废物暂存间内设置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eastAsia" w:ascii="Times New Roman" w:hAnsi="Times New Roman"/>
                      <w:color w:val="auto"/>
                      <w:kern w:val="0"/>
                      <w:sz w:val="21"/>
                      <w:szCs w:val="21"/>
                      <w:highlight w:val="none"/>
                    </w:rPr>
                    <w:t>的储存罐用于储存废油，危废暂存间</w:t>
                  </w:r>
                  <w:r>
                    <w:rPr>
                      <w:rFonts w:hint="eastAsia"/>
                      <w:color w:val="auto"/>
                      <w:kern w:val="0"/>
                      <w:sz w:val="21"/>
                      <w:szCs w:val="21"/>
                      <w:highlight w:val="none"/>
                      <w:lang w:val="en-US" w:eastAsia="zh-CN"/>
                    </w:rPr>
                    <w:t>设置围堰，</w:t>
                  </w:r>
                  <w:r>
                    <w:rPr>
                      <w:rFonts w:hint="eastAsia" w:ascii="Times New Roman" w:hAnsi="Times New Roman"/>
                      <w:color w:val="auto"/>
                      <w:kern w:val="0"/>
                      <w:sz w:val="21"/>
                      <w:szCs w:val="21"/>
                      <w:highlight w:val="none"/>
                    </w:rPr>
                    <w:t>地面和四周墙裙脚进行防渗处理</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项目</w:t>
                  </w:r>
                  <w:r>
                    <w:rPr>
                      <w:rFonts w:hint="eastAsia" w:ascii="Times New Roman" w:hAnsi="Times New Roman"/>
                      <w:color w:val="auto"/>
                      <w:kern w:val="0"/>
                      <w:sz w:val="21"/>
                      <w:szCs w:val="21"/>
                      <w:highlight w:val="none"/>
                    </w:rPr>
                    <w:t>不属于煤、磷、盐化工企业，环境风险一般，在采取相应措施后，环境风险能达可接受水平。项目取得环评批复后将尽快编制应急预案，报昆明市生态环境局</w:t>
                  </w:r>
                  <w:r>
                    <w:rPr>
                      <w:rFonts w:hint="eastAsia"/>
                      <w:color w:val="auto"/>
                      <w:kern w:val="0"/>
                      <w:sz w:val="21"/>
                      <w:szCs w:val="21"/>
                      <w:highlight w:val="none"/>
                      <w:lang w:val="en-US" w:eastAsia="zh-CN"/>
                    </w:rPr>
                    <w:t>寻甸</w:t>
                  </w:r>
                  <w:r>
                    <w:rPr>
                      <w:rFonts w:hint="eastAsia" w:ascii="Times New Roman" w:hAnsi="Times New Roman"/>
                      <w:color w:val="auto"/>
                      <w:kern w:val="0"/>
                      <w:sz w:val="21"/>
                      <w:szCs w:val="21"/>
                      <w:highlight w:val="none"/>
                    </w:rPr>
                    <w:t>分局备案</w:t>
                  </w:r>
                  <w:r>
                    <w:rPr>
                      <w:rFonts w:hint="eastAsia"/>
                      <w:color w:val="auto"/>
                      <w:kern w:val="0"/>
                      <w:sz w:val="21"/>
                      <w:szCs w:val="21"/>
                      <w:highlight w:val="none"/>
                      <w:lang w:eastAsia="zh-CN"/>
                    </w:rPr>
                    <w:t>。</w:t>
                  </w:r>
                </w:p>
              </w:tc>
              <w:tc>
                <w:tcPr>
                  <w:tcW w:w="471" w:type="dxa"/>
                  <w:vAlign w:val="center"/>
                </w:tcPr>
                <w:p w14:paraId="224D839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0BCB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137" w:type="dxa"/>
                  <w:vAlign w:val="center"/>
                </w:tcPr>
                <w:p w14:paraId="7B59D888">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予以简化。</w:t>
                  </w:r>
                </w:p>
              </w:tc>
              <w:tc>
                <w:tcPr>
                  <w:tcW w:w="2342" w:type="dxa"/>
                  <w:vAlign w:val="center"/>
                </w:tcPr>
                <w:p w14:paraId="6C739047">
                  <w:pPr>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落实。</w:t>
                  </w:r>
                </w:p>
              </w:tc>
              <w:tc>
                <w:tcPr>
                  <w:tcW w:w="471" w:type="dxa"/>
                  <w:vAlign w:val="center"/>
                </w:tcPr>
                <w:p w14:paraId="28338BBD">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bl>
          <w:p w14:paraId="678B22F6">
            <w:pPr>
              <w:ind w:firstLine="480"/>
              <w:rPr>
                <w:rFonts w:ascii="Times New Roman" w:hAnsi="Times New Roman"/>
                <w:color w:val="auto"/>
                <w:kern w:val="0"/>
                <w:highlight w:val="none"/>
              </w:rPr>
            </w:pPr>
            <w:r>
              <w:rPr>
                <w:rFonts w:ascii="Times New Roman" w:hAnsi="Times New Roman"/>
                <w:color w:val="auto"/>
                <w:kern w:val="0"/>
                <w:highlight w:val="none"/>
              </w:rPr>
              <w:t>综上，</w:t>
            </w:r>
            <w:r>
              <w:rPr>
                <w:rFonts w:hint="eastAsia" w:ascii="Times New Roman" w:hAnsi="Times New Roman"/>
                <w:color w:val="auto"/>
                <w:kern w:val="0"/>
                <w:highlight w:val="none"/>
              </w:rPr>
              <w:t>项目建设与《云南寻甸产业园区总体规划修编（2021-2035环境影响报告书）》及审查意见的函（昆环审[2023]5号）相符。</w:t>
            </w:r>
          </w:p>
        </w:tc>
      </w:tr>
      <w:tr w14:paraId="06858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658" w:type="dxa"/>
            <w:vAlign w:val="center"/>
          </w:tcPr>
          <w:p w14:paraId="38C393B6">
            <w:pPr>
              <w:autoSpaceDE w:val="0"/>
              <w:autoSpaceDN w:val="0"/>
              <w:adjustRightInd w:val="0"/>
              <w:snapToGrid w:val="0"/>
              <w:ind w:firstLine="0" w:firstLineChars="0"/>
              <w:jc w:val="center"/>
              <w:rPr>
                <w:rFonts w:ascii="Times New Roman" w:hAnsi="Times New Roman"/>
                <w:color w:val="auto"/>
                <w:kern w:val="0"/>
                <w:highlight w:val="none"/>
              </w:rPr>
            </w:pPr>
            <w:r>
              <w:rPr>
                <w:rFonts w:ascii="Times New Roman" w:hAnsi="Times New Roman"/>
                <w:color w:val="auto"/>
                <w:highlight w:val="none"/>
              </w:rPr>
              <w:t>其他符合性分析</w:t>
            </w:r>
          </w:p>
        </w:tc>
        <w:tc>
          <w:tcPr>
            <w:tcW w:w="7118" w:type="dxa"/>
            <w:gridSpan w:val="3"/>
            <w:vAlign w:val="center"/>
          </w:tcPr>
          <w:p w14:paraId="27F60BDA">
            <w:pPr>
              <w:numPr>
                <w:ilvl w:val="0"/>
                <w:numId w:val="0"/>
              </w:numPr>
              <w:rPr>
                <w:rFonts w:ascii="Times New Roman" w:hAnsi="Times New Roman"/>
                <w:b/>
                <w:bCs/>
                <w:color w:val="auto"/>
                <w:highlight w:val="none"/>
              </w:rPr>
            </w:pPr>
            <w:r>
              <w:rPr>
                <w:rFonts w:hint="eastAsia"/>
                <w:b/>
                <w:bCs/>
                <w:color w:val="auto"/>
                <w:highlight w:val="none"/>
                <w:lang w:val="en-US" w:eastAsia="zh-CN"/>
              </w:rPr>
              <w:t>1、</w:t>
            </w:r>
            <w:r>
              <w:rPr>
                <w:rFonts w:ascii="Times New Roman" w:hAnsi="Times New Roman"/>
                <w:b/>
                <w:bCs/>
                <w:color w:val="auto"/>
                <w:highlight w:val="none"/>
              </w:rPr>
              <w:t>产业政策</w:t>
            </w:r>
            <w:r>
              <w:rPr>
                <w:rFonts w:hint="eastAsia" w:ascii="Times New Roman" w:hAnsi="Times New Roman"/>
                <w:b/>
                <w:bCs/>
                <w:color w:val="auto"/>
                <w:highlight w:val="none"/>
              </w:rPr>
              <w:t>符合性分析</w:t>
            </w:r>
          </w:p>
          <w:p w14:paraId="29CCD26C">
            <w:pPr>
              <w:topLinePunct/>
              <w:ind w:firstLine="480"/>
              <w:jc w:val="both"/>
              <w:rPr>
                <w:rFonts w:hint="eastAsia" w:ascii="Times New Roman" w:hAnsi="Times New Roman" w:eastAsia="宋体"/>
                <w:color w:val="auto"/>
                <w:kern w:val="52"/>
                <w:highlight w:val="none"/>
                <w:lang w:val="en-US" w:eastAsia="zh-CN"/>
              </w:rPr>
            </w:pPr>
            <w:r>
              <w:rPr>
                <w:rFonts w:ascii="Times New Roman" w:hAnsi="Times New Roman"/>
                <w:color w:val="auto"/>
                <w:highlight w:val="none"/>
                <w:lang w:val="zh-CN"/>
              </w:rPr>
              <w:t>本项目</w:t>
            </w:r>
            <w:r>
              <w:rPr>
                <w:rFonts w:hint="eastAsia" w:ascii="Times New Roman" w:hAnsi="Times New Roman"/>
                <w:color w:val="auto"/>
                <w:highlight w:val="none"/>
              </w:rPr>
              <w:t>为O8219其他清洁服务</w:t>
            </w:r>
            <w:r>
              <w:rPr>
                <w:rFonts w:hint="eastAsia" w:ascii="Times New Roman" w:hAnsi="Times New Roman"/>
                <w:color w:val="auto"/>
                <w:kern w:val="0"/>
                <w:highlight w:val="none"/>
              </w:rPr>
              <w:t>，</w:t>
            </w:r>
            <w:r>
              <w:rPr>
                <w:rFonts w:ascii="Times New Roman" w:hAnsi="Times New Roman"/>
                <w:color w:val="auto"/>
                <w:kern w:val="0"/>
                <w:highlight w:val="none"/>
              </w:rPr>
              <w:t>对照国家发展和改革委员会《产业结构调整指导目录（20</w:t>
            </w:r>
            <w:r>
              <w:rPr>
                <w:rFonts w:hint="eastAsia" w:ascii="Times New Roman" w:hAnsi="Times New Roman"/>
                <w:color w:val="auto"/>
                <w:kern w:val="0"/>
                <w:highlight w:val="none"/>
              </w:rPr>
              <w:t>24</w:t>
            </w:r>
            <w:r>
              <w:rPr>
                <w:rFonts w:ascii="Times New Roman" w:hAnsi="Times New Roman"/>
                <w:color w:val="auto"/>
                <w:kern w:val="0"/>
                <w:highlight w:val="none"/>
              </w:rPr>
              <w:t>年本）》，</w:t>
            </w:r>
            <w:r>
              <w:rPr>
                <w:rFonts w:hint="eastAsia" w:ascii="Times New Roman" w:hAnsi="Times New Roman"/>
                <w:color w:val="auto"/>
                <w:kern w:val="0"/>
                <w:highlight w:val="none"/>
              </w:rPr>
              <w:t>本项目不属于国家产业政策鼓励类、限制类及淘汰类项目”</w:t>
            </w:r>
            <w:r>
              <w:rPr>
                <w:rFonts w:hint="eastAsia"/>
                <w:color w:val="auto"/>
                <w:kern w:val="0"/>
                <w:highlight w:val="none"/>
                <w:lang w:eastAsia="zh-CN"/>
              </w:rPr>
              <w:t>。</w:t>
            </w:r>
            <w:r>
              <w:rPr>
                <w:rFonts w:ascii="Times New Roman" w:hAnsi="Times New Roman"/>
                <w:color w:val="auto"/>
                <w:kern w:val="0"/>
                <w:highlight w:val="none"/>
              </w:rPr>
              <w:t>因此，本项目的建设符合国家及地方产业政策。</w:t>
            </w:r>
            <w:r>
              <w:rPr>
                <w:rFonts w:ascii="Times New Roman" w:hAnsi="Times New Roman"/>
                <w:color w:val="auto"/>
                <w:highlight w:val="none"/>
              </w:rPr>
              <w:t>建设单位于202</w:t>
            </w:r>
            <w:r>
              <w:rPr>
                <w:rFonts w:hint="eastAsia" w:ascii="Times New Roman" w:hAnsi="Times New Roman"/>
                <w:color w:val="auto"/>
                <w:highlight w:val="none"/>
              </w:rPr>
              <w:t>4</w:t>
            </w:r>
            <w:r>
              <w:rPr>
                <w:rFonts w:ascii="Times New Roman" w:hAnsi="Times New Roman"/>
                <w:color w:val="auto"/>
                <w:highlight w:val="none"/>
              </w:rPr>
              <w:t>年</w:t>
            </w:r>
            <w:r>
              <w:rPr>
                <w:rFonts w:hint="eastAsia"/>
                <w:color w:val="auto"/>
                <w:highlight w:val="none"/>
                <w:lang w:val="en-US" w:eastAsia="zh-CN"/>
              </w:rPr>
              <w:t>12</w:t>
            </w:r>
            <w:r>
              <w:rPr>
                <w:rFonts w:ascii="Times New Roman" w:hAnsi="Times New Roman"/>
                <w:color w:val="auto"/>
                <w:highlight w:val="none"/>
              </w:rPr>
              <w:t>月</w:t>
            </w:r>
            <w:r>
              <w:rPr>
                <w:rFonts w:hint="eastAsia"/>
                <w:color w:val="auto"/>
                <w:highlight w:val="none"/>
                <w:lang w:val="en-US" w:eastAsia="zh-CN"/>
              </w:rPr>
              <w:t>25日取得</w:t>
            </w:r>
            <w:r>
              <w:rPr>
                <w:rFonts w:hint="eastAsia" w:ascii="Times New Roman" w:hAnsi="Times New Roman"/>
                <w:color w:val="auto"/>
                <w:highlight w:val="none"/>
              </w:rPr>
              <w:t>寻甸回族彝族自治县发展和改革局</w:t>
            </w:r>
            <w:r>
              <w:rPr>
                <w:rFonts w:hint="eastAsia"/>
                <w:color w:val="auto"/>
                <w:highlight w:val="none"/>
                <w:lang w:val="en-US" w:eastAsia="zh-CN"/>
              </w:rPr>
              <w:t>出具的项目代码，项目代码为</w:t>
            </w:r>
            <w:r>
              <w:rPr>
                <w:rFonts w:hint="eastAsia" w:ascii="Times New Roman" w:hAnsi="Times New Roman"/>
                <w:color w:val="auto"/>
                <w:highlight w:val="none"/>
              </w:rPr>
              <w:t>2412-530129-04-05-694814</w:t>
            </w:r>
            <w:r>
              <w:rPr>
                <w:rFonts w:hint="eastAsia"/>
                <w:color w:val="auto"/>
                <w:highlight w:val="none"/>
                <w:lang w:eastAsia="zh-CN"/>
              </w:rPr>
              <w:t>。</w:t>
            </w:r>
          </w:p>
          <w:p w14:paraId="33E7AC8B">
            <w:pPr>
              <w:numPr>
                <w:ilvl w:val="0"/>
                <w:numId w:val="0"/>
              </w:numPr>
              <w:rPr>
                <w:rFonts w:ascii="Times New Roman" w:hAnsi="Times New Roman"/>
                <w:b/>
                <w:bCs/>
                <w:color w:val="auto"/>
                <w:highlight w:val="none"/>
              </w:rPr>
            </w:pPr>
            <w:r>
              <w:rPr>
                <w:rFonts w:hint="eastAsia"/>
                <w:b/>
                <w:bCs/>
                <w:color w:val="auto"/>
                <w:highlight w:val="none"/>
                <w:lang w:val="en-US" w:eastAsia="zh-CN"/>
              </w:rPr>
              <w:t>2、</w:t>
            </w:r>
            <w:r>
              <w:rPr>
                <w:rFonts w:hint="eastAsia" w:ascii="Times New Roman" w:hAnsi="Times New Roman"/>
                <w:b/>
                <w:bCs/>
                <w:color w:val="auto"/>
                <w:highlight w:val="none"/>
              </w:rPr>
              <w:t>“昆明市生态环境分区管控动态更新方案（2023年）”符合性分析</w:t>
            </w:r>
          </w:p>
          <w:p w14:paraId="7923009C">
            <w:pPr>
              <w:tabs>
                <w:tab w:val="left" w:pos="540"/>
                <w:tab w:val="left" w:pos="851"/>
                <w:tab w:val="left" w:pos="994"/>
                <w:tab w:val="left" w:pos="1028"/>
                <w:tab w:val="left" w:pos="1260"/>
                <w:tab w:val="left" w:pos="3108"/>
                <w:tab w:val="left" w:pos="3150"/>
              </w:tabs>
              <w:adjustRightInd w:val="0"/>
              <w:ind w:firstLine="480"/>
              <w:rPr>
                <w:rStyle w:val="33"/>
                <w:rFonts w:ascii="Times New Roman" w:hAnsi="Times New Roman"/>
                <w:color w:val="auto"/>
                <w:kern w:val="0"/>
                <w:sz w:val="24"/>
                <w:szCs w:val="24"/>
                <w:highlight w:val="none"/>
              </w:rPr>
            </w:pPr>
            <w:r>
              <w:rPr>
                <w:rFonts w:hint="eastAsia" w:ascii="Times New Roman" w:hAnsi="Times New Roman"/>
                <w:color w:val="auto"/>
                <w:highlight w:val="none"/>
              </w:rPr>
              <w:t>昆明市生态环境局2024年11月12日关于印发《昆明市生态环境分区管控动态更新方案（2023年）》的通知。</w:t>
            </w:r>
            <w:r>
              <w:rPr>
                <w:rFonts w:hint="eastAsia"/>
                <w:color w:val="auto"/>
                <w:highlight w:val="none"/>
                <w:lang w:val="en-US" w:eastAsia="zh-CN"/>
              </w:rPr>
              <w:t>本项目位于</w:t>
            </w:r>
            <w:r>
              <w:rPr>
                <w:rFonts w:hint="eastAsia" w:ascii="Times New Roman" w:hAnsi="Times New Roman"/>
                <w:color w:val="auto"/>
                <w:highlight w:val="none"/>
                <w:lang w:eastAsia="zh-CN"/>
              </w:rPr>
              <w:t>寻甸县特色产业园区金所片区</w:t>
            </w:r>
            <w:r>
              <w:rPr>
                <w:rFonts w:hint="eastAsia" w:ascii="Times New Roman" w:hAnsi="Times New Roman"/>
                <w:color w:val="auto"/>
                <w:highlight w:val="none"/>
                <w:lang w:val="en-US" w:eastAsia="zh-CN"/>
              </w:rPr>
              <w:t>，项目涉及环境管控单位为云南寻甸产业园区重点管控单元。</w:t>
            </w:r>
            <w:r>
              <w:rPr>
                <w:rFonts w:hint="eastAsia" w:ascii="Times New Roman" w:hAnsi="Times New Roman"/>
                <w:color w:val="auto"/>
                <w:highlight w:val="none"/>
              </w:rPr>
              <w:t>生态环境准入清单通过对照进行符合性分析，</w:t>
            </w:r>
            <w:r>
              <w:rPr>
                <w:rFonts w:ascii="Times New Roman" w:hAnsi="Times New Roman"/>
                <w:color w:val="auto"/>
                <w:highlight w:val="none"/>
              </w:rPr>
              <w:t>具体分析见下表。</w:t>
            </w:r>
          </w:p>
          <w:p w14:paraId="4D0F8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lang w:eastAsia="zh-TW"/>
              </w:rPr>
            </w:pPr>
            <w:r>
              <w:rPr>
                <w:rFonts w:hint="eastAsia" w:ascii="Times New Roman" w:hAnsi="Times New Roman"/>
                <w:b/>
                <w:bCs/>
                <w:color w:val="auto"/>
                <w:sz w:val="21"/>
                <w:szCs w:val="21"/>
                <w:highlight w:val="none"/>
                <w:lang w:eastAsia="zh-TW"/>
              </w:rPr>
              <w:t>表1-</w:t>
            </w:r>
            <w:r>
              <w:rPr>
                <w:rFonts w:hint="eastAsia"/>
                <w:b/>
                <w:bCs/>
                <w:color w:val="auto"/>
                <w:sz w:val="21"/>
                <w:szCs w:val="21"/>
                <w:highlight w:val="none"/>
                <w:lang w:val="en-US" w:eastAsia="zh-CN"/>
              </w:rPr>
              <w:t>4</w:t>
            </w:r>
            <w:r>
              <w:rPr>
                <w:rFonts w:hint="eastAsia" w:ascii="Times New Roman" w:hAnsi="Times New Roman"/>
                <w:b/>
                <w:bCs/>
                <w:color w:val="auto"/>
                <w:sz w:val="21"/>
                <w:szCs w:val="21"/>
                <w:highlight w:val="none"/>
                <w:lang w:eastAsia="zh-TW"/>
              </w:rPr>
              <w:t xml:space="preserve">  项目与《昆明市生态环境分区管控动态更新方案（2023年）》符合性分析表</w:t>
            </w:r>
          </w:p>
          <w:tbl>
            <w:tblPr>
              <w:tblStyle w:val="29"/>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576"/>
              <w:gridCol w:w="2472"/>
              <w:gridCol w:w="2624"/>
              <w:gridCol w:w="713"/>
            </w:tblGrid>
            <w:tr w14:paraId="63F0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8" w:type="pct"/>
                  <w:gridSpan w:val="3"/>
                  <w:vAlign w:val="center"/>
                </w:tcPr>
                <w:p w14:paraId="1751B7B0">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管控</w:t>
                  </w:r>
                  <w:r>
                    <w:rPr>
                      <w:rFonts w:ascii="Times New Roman" w:hAnsi="Times New Roman"/>
                      <w:b/>
                      <w:bCs/>
                      <w:color w:val="auto"/>
                      <w:sz w:val="21"/>
                      <w:szCs w:val="21"/>
                      <w:highlight w:val="none"/>
                    </w:rPr>
                    <w:t>要求</w:t>
                  </w:r>
                </w:p>
              </w:tc>
              <w:tc>
                <w:tcPr>
                  <w:tcW w:w="1895" w:type="pct"/>
                  <w:vAlign w:val="center"/>
                </w:tcPr>
                <w:p w14:paraId="699C70E1">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项目概况</w:t>
                  </w:r>
                </w:p>
              </w:tc>
              <w:tc>
                <w:tcPr>
                  <w:tcW w:w="515" w:type="pct"/>
                  <w:vAlign w:val="center"/>
                </w:tcPr>
                <w:p w14:paraId="389AF11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34F2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0F077B3E">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生态保护红线和一般生态空间</w:t>
                  </w:r>
                </w:p>
              </w:tc>
              <w:tc>
                <w:tcPr>
                  <w:tcW w:w="2200" w:type="pct"/>
                  <w:gridSpan w:val="2"/>
                  <w:vAlign w:val="center"/>
                </w:tcPr>
                <w:p w14:paraId="268A970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r>
                    <w:rPr>
                      <w:rFonts w:ascii="Times New Roman" w:hAnsi="Times New Roman"/>
                      <w:color w:val="auto"/>
                      <w:sz w:val="21"/>
                      <w:szCs w:val="21"/>
                      <w:highlight w:val="none"/>
                    </w:rPr>
                    <w:t>。</w:t>
                  </w:r>
                </w:p>
              </w:tc>
              <w:tc>
                <w:tcPr>
                  <w:tcW w:w="1895" w:type="pct"/>
                  <w:vAlign w:val="center"/>
                </w:tcPr>
                <w:p w14:paraId="0CBEA7B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项目位于云南省昆明市寻甸县特色产业园区金所片区，处于规划工业园区内</w:t>
                  </w:r>
                  <w:r>
                    <w:rPr>
                      <w:rFonts w:hint="eastAsia"/>
                      <w:color w:val="auto"/>
                      <w:sz w:val="21"/>
                      <w:szCs w:val="21"/>
                      <w:highlight w:val="none"/>
                      <w:lang w:eastAsia="zh-CN"/>
                    </w:rPr>
                    <w:t>，</w:t>
                  </w:r>
                  <w:r>
                    <w:rPr>
                      <w:rFonts w:hint="eastAsia"/>
                      <w:color w:val="auto"/>
                      <w:sz w:val="21"/>
                      <w:szCs w:val="21"/>
                      <w:highlight w:val="none"/>
                      <w:lang w:val="en-US" w:eastAsia="zh-CN"/>
                    </w:rPr>
                    <w:t>项目不在生态保护红线范围内，符合生态保护红线管控要求。</w:t>
                  </w:r>
                </w:p>
              </w:tc>
              <w:tc>
                <w:tcPr>
                  <w:tcW w:w="515" w:type="pct"/>
                  <w:vAlign w:val="center"/>
                </w:tcPr>
                <w:p w14:paraId="1389E29D">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15F0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29AA92A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环境质量底线</w:t>
                  </w:r>
                </w:p>
              </w:tc>
              <w:tc>
                <w:tcPr>
                  <w:tcW w:w="2200" w:type="pct"/>
                  <w:gridSpan w:val="2"/>
                  <w:vAlign w:val="center"/>
                </w:tcPr>
                <w:p w14:paraId="2DB3852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r>
                    <w:rPr>
                      <w:rFonts w:ascii="Times New Roman" w:hAnsi="Times New Roman"/>
                      <w:color w:val="auto"/>
                      <w:sz w:val="21"/>
                      <w:szCs w:val="21"/>
                      <w:highlight w:val="none"/>
                    </w:rPr>
                    <w:t>。</w:t>
                  </w:r>
                </w:p>
              </w:tc>
              <w:tc>
                <w:tcPr>
                  <w:tcW w:w="1895" w:type="pct"/>
                  <w:vAlign w:val="center"/>
                </w:tcPr>
                <w:p w14:paraId="49DD76CB">
                  <w:pPr>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。项目区属于环境空气质量达标区，本项目建设排放的污染物能够实现达标排放，满足区域环境质量要求，不会改变区域大气环境质量。</w:t>
                  </w:r>
                </w:p>
              </w:tc>
              <w:tc>
                <w:tcPr>
                  <w:tcW w:w="515" w:type="pct"/>
                  <w:vAlign w:val="center"/>
                </w:tcPr>
                <w:p w14:paraId="79C4A61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11A1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87" w:type="pct"/>
                  <w:vAlign w:val="center"/>
                </w:tcPr>
                <w:p w14:paraId="6698122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资源利用上线</w:t>
                  </w:r>
                </w:p>
              </w:tc>
              <w:tc>
                <w:tcPr>
                  <w:tcW w:w="2200" w:type="pct"/>
                  <w:gridSpan w:val="2"/>
                  <w:vAlign w:val="center"/>
                </w:tcPr>
                <w:p w14:paraId="7E292A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895" w:type="pct"/>
                  <w:vAlign w:val="center"/>
                </w:tcPr>
                <w:p w14:paraId="4509665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项目生产用水</w:t>
                  </w:r>
                  <w:r>
                    <w:rPr>
                      <w:rFonts w:hint="eastAsia"/>
                      <w:color w:val="auto"/>
                      <w:sz w:val="21"/>
                      <w:szCs w:val="21"/>
                      <w:highlight w:val="none"/>
                      <w:lang w:val="en-US" w:eastAsia="zh-CN"/>
                    </w:rPr>
                    <w:t>循环使用</w:t>
                  </w:r>
                  <w:r>
                    <w:rPr>
                      <w:rFonts w:hint="eastAsia" w:ascii="Times New Roman" w:hAnsi="Times New Roman"/>
                      <w:color w:val="auto"/>
                      <w:sz w:val="21"/>
                      <w:szCs w:val="21"/>
                      <w:highlight w:val="none"/>
                    </w:rPr>
                    <w:t>，生活用水</w:t>
                  </w:r>
                  <w:r>
                    <w:rPr>
                      <w:rFonts w:hint="eastAsia"/>
                      <w:color w:val="auto"/>
                      <w:sz w:val="21"/>
                      <w:szCs w:val="21"/>
                      <w:highlight w:val="none"/>
                      <w:lang w:val="en-US" w:eastAsia="zh-CN"/>
                    </w:rPr>
                    <w:t>量</w:t>
                  </w:r>
                  <w:r>
                    <w:rPr>
                      <w:rFonts w:hint="eastAsia" w:ascii="Times New Roman" w:hAnsi="Times New Roman"/>
                      <w:color w:val="auto"/>
                      <w:sz w:val="21"/>
                      <w:szCs w:val="21"/>
                      <w:highlight w:val="none"/>
                    </w:rPr>
                    <w:t>较小，不会突破水资源利用上线；</w:t>
                  </w:r>
                </w:p>
                <w:p w14:paraId="25F52FB6">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color w:val="auto"/>
                      <w:sz w:val="21"/>
                      <w:szCs w:val="21"/>
                      <w:highlight w:val="none"/>
                    </w:rPr>
                  </w:pPr>
                  <w:r>
                    <w:rPr>
                      <w:rFonts w:hint="eastAsia"/>
                      <w:color w:val="auto"/>
                      <w:sz w:val="21"/>
                      <w:szCs w:val="21"/>
                      <w:highlight w:val="none"/>
                      <w:lang w:val="en-US" w:eastAsia="zh-CN"/>
                    </w:rPr>
                    <w:t>项目</w:t>
                  </w:r>
                  <w:r>
                    <w:rPr>
                      <w:rFonts w:hint="eastAsia" w:ascii="Times New Roman" w:hAnsi="Times New Roman"/>
                      <w:color w:val="auto"/>
                      <w:sz w:val="21"/>
                      <w:szCs w:val="21"/>
                      <w:highlight w:val="none"/>
                    </w:rPr>
                    <w:t>在园区范围内建设，现状用地性质、规划性质</w:t>
                  </w:r>
                  <w:r>
                    <w:rPr>
                      <w:rFonts w:hint="eastAsia"/>
                      <w:color w:val="auto"/>
                      <w:sz w:val="21"/>
                      <w:szCs w:val="21"/>
                      <w:highlight w:val="none"/>
                      <w:lang w:val="en-US" w:eastAsia="zh-CN"/>
                    </w:rPr>
                    <w:t>为仓储物流用地</w:t>
                  </w:r>
                  <w:r>
                    <w:rPr>
                      <w:rFonts w:hint="eastAsia" w:ascii="Times New Roman" w:hAnsi="Times New Roman"/>
                      <w:color w:val="auto"/>
                      <w:sz w:val="21"/>
                      <w:szCs w:val="21"/>
                      <w:highlight w:val="none"/>
                    </w:rPr>
                    <w:t>，不涉及耕地、基本农田。</w:t>
                  </w:r>
                </w:p>
                <w:p w14:paraId="44E3E63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项目生产采用电源，综合能耗相对较小，故项目符合能源利用上线要求。</w:t>
                  </w:r>
                </w:p>
              </w:tc>
              <w:tc>
                <w:tcPr>
                  <w:tcW w:w="515" w:type="pct"/>
                  <w:vAlign w:val="center"/>
                </w:tcPr>
                <w:p w14:paraId="3BBF67D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BF9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387" w:type="pct"/>
                  <w:vMerge w:val="restart"/>
                  <w:vAlign w:val="center"/>
                </w:tcPr>
                <w:p w14:paraId="55FF4A68">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寻甸回族彝族自治县</w:t>
                  </w:r>
                  <w:r>
                    <w:rPr>
                      <w:rFonts w:hint="eastAsia" w:ascii="Times New Roman" w:hAnsi="Times New Roman"/>
                      <w:color w:val="auto"/>
                      <w:sz w:val="21"/>
                      <w:szCs w:val="21"/>
                      <w:highlight w:val="none"/>
                      <w:lang w:eastAsia="zh-CN"/>
                    </w:rPr>
                    <w:t>产业园区</w:t>
                  </w:r>
                  <w:r>
                    <w:rPr>
                      <w:rFonts w:hint="eastAsia" w:ascii="Times New Roman" w:hAnsi="Times New Roman"/>
                      <w:color w:val="auto"/>
                      <w:sz w:val="21"/>
                      <w:szCs w:val="21"/>
                      <w:highlight w:val="none"/>
                    </w:rPr>
                    <w:t>重点管控单元</w:t>
                  </w:r>
                </w:p>
              </w:tc>
              <w:tc>
                <w:tcPr>
                  <w:tcW w:w="416" w:type="pct"/>
                  <w:vAlign w:val="center"/>
                </w:tcPr>
                <w:p w14:paraId="287584B9">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空间布局</w:t>
                  </w:r>
                </w:p>
                <w:p w14:paraId="36F5CFB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约束</w:t>
                  </w:r>
                </w:p>
              </w:tc>
              <w:tc>
                <w:tcPr>
                  <w:tcW w:w="1783" w:type="pct"/>
                  <w:vAlign w:val="center"/>
                </w:tcPr>
                <w:p w14:paraId="5FDA3387">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1.入驻项目须符合国家及云南省相关产业政策、符合园区规划产业布局。</w:t>
                  </w:r>
                </w:p>
                <w:p w14:paraId="0FEEEAB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2.严禁不符合要求的高风险高污染行业入驻。</w:t>
                  </w:r>
                </w:p>
                <w:p w14:paraId="58C9B10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3.金所片区：禁止引入需水量大，生产废水不能实现循环回用不外排的企业。</w:t>
                  </w:r>
                </w:p>
                <w:p w14:paraId="7E476BBD">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4.金所片区金所组团禁止新建、改建、扩建化工生产线项目。</w:t>
                  </w:r>
                </w:p>
              </w:tc>
              <w:tc>
                <w:tcPr>
                  <w:tcW w:w="1895" w:type="pct"/>
                  <w:vAlign w:val="center"/>
                </w:tcPr>
                <w:p w14:paraId="11519736">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color w:val="auto"/>
                      <w:sz w:val="21"/>
                      <w:szCs w:val="21"/>
                      <w:highlight w:val="none"/>
                    </w:rPr>
                  </w:pPr>
                  <w:r>
                    <w:rPr>
                      <w:rFonts w:hint="eastAsia"/>
                      <w:color w:val="auto"/>
                      <w:sz w:val="21"/>
                      <w:szCs w:val="21"/>
                      <w:highlight w:val="none"/>
                      <w:lang w:val="en-US" w:eastAsia="zh-CN"/>
                    </w:rPr>
                    <w:t>1、</w:t>
                  </w: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，建设</w:t>
                  </w:r>
                  <w:r>
                    <w:rPr>
                      <w:rFonts w:hint="eastAsia"/>
                      <w:color w:val="auto"/>
                      <w:sz w:val="21"/>
                      <w:szCs w:val="21"/>
                      <w:highlight w:val="none"/>
                      <w:lang w:val="en-US" w:eastAsia="zh-CN"/>
                    </w:rPr>
                    <w:t>地点</w:t>
                  </w:r>
                  <w:r>
                    <w:rPr>
                      <w:rFonts w:hint="eastAsia" w:ascii="Times New Roman" w:hAnsi="Times New Roman"/>
                      <w:color w:val="auto"/>
                      <w:sz w:val="21"/>
                      <w:szCs w:val="21"/>
                      <w:highlight w:val="none"/>
                    </w:rPr>
                    <w:t>位于云南省昆明市寻甸县特色产业园区金所片区，处于规划工业园区内，符合国家级地方产业政策，符合园区产业布局。</w:t>
                  </w:r>
                </w:p>
                <w:p w14:paraId="54AD7F8D">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color w:val="auto"/>
                      <w:sz w:val="21"/>
                      <w:szCs w:val="21"/>
                      <w:highlight w:val="none"/>
                    </w:rPr>
                  </w:pPr>
                  <w:r>
                    <w:rPr>
                      <w:rFonts w:hint="eastAsia"/>
                      <w:color w:val="auto"/>
                      <w:sz w:val="21"/>
                      <w:szCs w:val="21"/>
                      <w:highlight w:val="none"/>
                      <w:lang w:val="en-US" w:eastAsia="zh-CN"/>
                    </w:rPr>
                    <w:t>2、</w:t>
                  </w:r>
                  <w:r>
                    <w:rPr>
                      <w:rFonts w:hint="eastAsia" w:ascii="Times New Roman" w:hAnsi="Times New Roman"/>
                      <w:color w:val="auto"/>
                      <w:sz w:val="21"/>
                      <w:szCs w:val="21"/>
                      <w:highlight w:val="none"/>
                    </w:rPr>
                    <w:t>不属于高风险高污染行业。</w:t>
                  </w:r>
                </w:p>
                <w:p w14:paraId="3CE8DCA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color w:val="auto"/>
                      <w:sz w:val="21"/>
                      <w:szCs w:val="21"/>
                      <w:highlight w:val="none"/>
                    </w:rPr>
                  </w:pPr>
                  <w:r>
                    <w:rPr>
                      <w:rFonts w:hint="eastAsia"/>
                      <w:color w:val="auto"/>
                      <w:sz w:val="21"/>
                      <w:szCs w:val="21"/>
                      <w:highlight w:val="none"/>
                      <w:lang w:val="en-US" w:eastAsia="zh-CN"/>
                    </w:rPr>
                    <w:t>3、项目生产</w:t>
                  </w:r>
                  <w:r>
                    <w:rPr>
                      <w:rFonts w:hint="eastAsia" w:ascii="Times New Roman" w:hAnsi="Times New Roman"/>
                      <w:color w:val="auto"/>
                      <w:sz w:val="21"/>
                      <w:szCs w:val="21"/>
                      <w:highlight w:val="none"/>
                    </w:rPr>
                    <w:t>废水收集后进入一体化污水处理设施处理后回用，不外排。</w:t>
                  </w:r>
                </w:p>
                <w:p w14:paraId="4EDFDB9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4、本项目不属于化工项目。</w:t>
                  </w:r>
                </w:p>
              </w:tc>
              <w:tc>
                <w:tcPr>
                  <w:tcW w:w="515" w:type="pct"/>
                  <w:vAlign w:val="center"/>
                </w:tcPr>
                <w:p w14:paraId="508DB83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98A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87" w:type="pct"/>
                  <w:vMerge w:val="continue"/>
                  <w:vAlign w:val="center"/>
                </w:tcPr>
                <w:p w14:paraId="7CA8913A">
                  <w:pPr>
                    <w:spacing w:before="65" w:line="273" w:lineRule="auto"/>
                    <w:ind w:right="107" w:firstLine="480"/>
                    <w:rPr>
                      <w:rFonts w:ascii="Times New Roman" w:hAnsi="Times New Roman"/>
                      <w:color w:val="auto"/>
                      <w:szCs w:val="21"/>
                      <w:highlight w:val="none"/>
                    </w:rPr>
                  </w:pPr>
                </w:p>
              </w:tc>
              <w:tc>
                <w:tcPr>
                  <w:tcW w:w="416" w:type="pct"/>
                  <w:vAlign w:val="center"/>
                </w:tcPr>
                <w:p w14:paraId="6320313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污染物排放管控</w:t>
                  </w:r>
                </w:p>
              </w:tc>
              <w:tc>
                <w:tcPr>
                  <w:tcW w:w="1783" w:type="pct"/>
                  <w:vAlign w:val="center"/>
                </w:tcPr>
                <w:p w14:paraId="207911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1.主要指标二氧化硫、氮氧化物、挥发性有机废气达到《环境空气质量标准》（GB3095—2012）二级标准。</w:t>
                  </w:r>
                </w:p>
                <w:p w14:paraId="395C3E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2.现状已发展成熟的煤磷盐化工企业及目前做到零排放的企业按现状方式排水；金所片区：未来入驻企业生产废水由企业自行处理达标后循环回用不外排。</w:t>
                  </w:r>
                </w:p>
                <w:p w14:paraId="58E2418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3.入驻企业生活废水须自行预处理达到相关行业标准及《污水排入城镇下水道水质标准》（GB/T1962—2015）（A）等级后方可排入园区污水处理厂。</w:t>
                  </w:r>
                </w:p>
                <w:p w14:paraId="6988D3D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4.生活垃圾无害化处理率达90%以上，工业固废处置利用率不小于95%。</w:t>
                  </w:r>
                </w:p>
              </w:tc>
              <w:tc>
                <w:tcPr>
                  <w:tcW w:w="1895" w:type="pct"/>
                  <w:vAlign w:val="center"/>
                </w:tcPr>
                <w:p w14:paraId="575EB43F">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1、</w:t>
                  </w: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w:t>
                  </w:r>
                  <w:r>
                    <w:rPr>
                      <w:rFonts w:hint="eastAsia"/>
                      <w:color w:val="auto"/>
                      <w:sz w:val="21"/>
                      <w:szCs w:val="21"/>
                      <w:highlight w:val="none"/>
                      <w:lang w:val="en-US" w:eastAsia="zh-CN"/>
                    </w:rPr>
                    <w:t>主要</w:t>
                  </w:r>
                  <w:r>
                    <w:rPr>
                      <w:rFonts w:hint="eastAsia" w:ascii="Times New Roman" w:hAnsi="Times New Roman"/>
                      <w:color w:val="auto"/>
                      <w:sz w:val="21"/>
                      <w:szCs w:val="21"/>
                      <w:highlight w:val="none"/>
                    </w:rPr>
                    <w:t>产生挥发性有机废气，根据</w:t>
                  </w:r>
                  <w:r>
                    <w:rPr>
                      <w:rFonts w:hint="eastAsia"/>
                      <w:color w:val="auto"/>
                      <w:sz w:val="21"/>
                      <w:szCs w:val="21"/>
                      <w:highlight w:val="none"/>
                      <w:lang w:val="en-US" w:eastAsia="zh-CN"/>
                    </w:rPr>
                    <w:t>引用的</w:t>
                  </w:r>
                  <w:r>
                    <w:rPr>
                      <w:rFonts w:hint="eastAsia" w:ascii="Times New Roman" w:hAnsi="Times New Roman"/>
                      <w:color w:val="auto"/>
                      <w:sz w:val="21"/>
                      <w:szCs w:val="21"/>
                      <w:highlight w:val="none"/>
                    </w:rPr>
                    <w:t>环境质量现状检测</w:t>
                  </w:r>
                  <w:r>
                    <w:rPr>
                      <w:rFonts w:hint="eastAsia"/>
                      <w:color w:val="auto"/>
                      <w:sz w:val="21"/>
                      <w:szCs w:val="21"/>
                      <w:highlight w:val="none"/>
                      <w:lang w:eastAsia="zh-CN"/>
                    </w:rPr>
                    <w:t>数据</w:t>
                  </w:r>
                  <w:r>
                    <w:rPr>
                      <w:rFonts w:hint="eastAsia" w:ascii="Times New Roman" w:hAnsi="Times New Roman"/>
                      <w:color w:val="auto"/>
                      <w:sz w:val="21"/>
                      <w:szCs w:val="21"/>
                      <w:highlight w:val="none"/>
                    </w:rPr>
                    <w:t>可知</w:t>
                  </w:r>
                  <w:r>
                    <w:rPr>
                      <w:rFonts w:hint="eastAsia"/>
                      <w:color w:val="auto"/>
                      <w:sz w:val="21"/>
                      <w:szCs w:val="21"/>
                      <w:highlight w:val="none"/>
                      <w:lang w:eastAsia="zh-CN"/>
                    </w:rPr>
                    <w:t>，</w:t>
                  </w:r>
                  <w:r>
                    <w:rPr>
                      <w:rFonts w:hint="eastAsia"/>
                      <w:color w:val="auto"/>
                      <w:sz w:val="21"/>
                      <w:szCs w:val="21"/>
                      <w:highlight w:val="none"/>
                      <w:lang w:val="en-US" w:eastAsia="zh-CN"/>
                    </w:rPr>
                    <w:t>项目区域属于环境质量达标区。</w:t>
                  </w:r>
                </w:p>
                <w:p w14:paraId="3EA1064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hAnsi="Times New Roman"/>
                      <w:color w:val="auto"/>
                      <w:sz w:val="21"/>
                      <w:szCs w:val="21"/>
                      <w:highlight w:val="none"/>
                    </w:rPr>
                    <w:t>项目位于</w:t>
                  </w:r>
                  <w:r>
                    <w:rPr>
                      <w:rFonts w:hint="eastAsia"/>
                      <w:color w:val="auto"/>
                      <w:sz w:val="21"/>
                      <w:szCs w:val="21"/>
                      <w:highlight w:val="none"/>
                      <w:lang w:val="en-US" w:eastAsia="zh-CN"/>
                    </w:rPr>
                    <w:t>金所</w:t>
                  </w:r>
                  <w:r>
                    <w:rPr>
                      <w:rFonts w:hint="eastAsia" w:ascii="Times New Roman" w:hAnsi="Times New Roman"/>
                      <w:color w:val="auto"/>
                      <w:sz w:val="21"/>
                      <w:szCs w:val="21"/>
                      <w:highlight w:val="none"/>
                    </w:rPr>
                    <w:t>片区，产生</w:t>
                  </w:r>
                  <w:r>
                    <w:rPr>
                      <w:rFonts w:hint="eastAsia"/>
                      <w:color w:val="auto"/>
                      <w:sz w:val="21"/>
                      <w:szCs w:val="21"/>
                      <w:highlight w:val="none"/>
                      <w:lang w:eastAsia="zh-CN"/>
                    </w:rPr>
                    <w:t>的</w:t>
                  </w:r>
                  <w:r>
                    <w:rPr>
                      <w:rFonts w:hint="eastAsia"/>
                      <w:color w:val="auto"/>
                      <w:sz w:val="21"/>
                      <w:szCs w:val="21"/>
                      <w:highlight w:val="none"/>
                      <w:lang w:val="en-US" w:eastAsia="zh-CN"/>
                    </w:rPr>
                    <w:t>生产</w:t>
                  </w:r>
                  <w:r>
                    <w:rPr>
                      <w:rFonts w:hint="eastAsia" w:ascii="Times New Roman" w:hAnsi="Times New Roman"/>
                      <w:color w:val="auto"/>
                      <w:sz w:val="21"/>
                      <w:szCs w:val="21"/>
                      <w:highlight w:val="none"/>
                    </w:rPr>
                    <w:t>废水</w:t>
                  </w:r>
                  <w:r>
                    <w:rPr>
                      <w:rFonts w:hint="eastAsia"/>
                      <w:color w:val="auto"/>
                      <w:sz w:val="21"/>
                      <w:szCs w:val="21"/>
                      <w:highlight w:val="none"/>
                      <w:lang w:val="en-US" w:eastAsia="zh-CN"/>
                    </w:rPr>
                    <w:t>经一体化污水处理设施处理后循环回用，不外排。</w:t>
                  </w:r>
                </w:p>
                <w:p w14:paraId="072F098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default"/>
                      <w:color w:val="auto"/>
                      <w:sz w:val="21"/>
                      <w:szCs w:val="21"/>
                      <w:highlight w:val="none"/>
                      <w:lang w:val="en-US" w:eastAsia="zh-CN"/>
                    </w:rPr>
                  </w:pPr>
                  <w:r>
                    <w:rPr>
                      <w:rFonts w:hint="eastAsia"/>
                      <w:color w:val="auto"/>
                      <w:sz w:val="21"/>
                      <w:szCs w:val="21"/>
                      <w:highlight w:val="none"/>
                      <w:lang w:val="en-US" w:eastAsia="zh-CN"/>
                    </w:rPr>
                    <w:t>3、生活废水进入化粪池处理后，由于项目区未接通园区管网，定期委托环卫部门清掏，不外排。若今后项目区接通园区管网，项目生活废水经化粪池处理后排入园区市政污水管网，进入园区污水处理厂。</w:t>
                  </w:r>
                </w:p>
                <w:p w14:paraId="7B541A76">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4、</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w:t>
                  </w:r>
                </w:p>
              </w:tc>
              <w:tc>
                <w:tcPr>
                  <w:tcW w:w="515" w:type="pct"/>
                  <w:vAlign w:val="center"/>
                </w:tcPr>
                <w:p w14:paraId="299C87CB">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025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7" w:type="pct"/>
                  <w:vMerge w:val="continue"/>
                  <w:vAlign w:val="center"/>
                </w:tcPr>
                <w:p w14:paraId="1CC68C10">
                  <w:pPr>
                    <w:spacing w:before="65" w:line="273" w:lineRule="auto"/>
                    <w:ind w:right="107" w:firstLine="480"/>
                    <w:rPr>
                      <w:rFonts w:ascii="Times New Roman" w:hAnsi="Times New Roman"/>
                      <w:color w:val="auto"/>
                      <w:szCs w:val="21"/>
                      <w:highlight w:val="none"/>
                    </w:rPr>
                  </w:pPr>
                </w:p>
              </w:tc>
              <w:tc>
                <w:tcPr>
                  <w:tcW w:w="416" w:type="pct"/>
                  <w:shd w:val="clear" w:color="auto" w:fill="auto"/>
                  <w:vAlign w:val="center"/>
                </w:tcPr>
                <w:p w14:paraId="08DDDFE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环境风险</w:t>
                  </w:r>
                </w:p>
                <w:p w14:paraId="237EBDB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防控</w:t>
                  </w:r>
                </w:p>
              </w:tc>
              <w:tc>
                <w:tcPr>
                  <w:tcW w:w="1783" w:type="pct"/>
                  <w:shd w:val="clear" w:color="auto" w:fill="auto"/>
                  <w:vAlign w:val="center"/>
                </w:tcPr>
                <w:p w14:paraId="222909A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1.组织编制环境风险应急预案，通过风险源的识别，制定不同风险源的应急处理处置方案，形成应对突发事故应急处理处置能力。</w:t>
                  </w:r>
                </w:p>
                <w:p w14:paraId="1DD1C74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2.建设风险事故废水排放管道及处置池。</w:t>
                  </w:r>
                </w:p>
              </w:tc>
              <w:tc>
                <w:tcPr>
                  <w:tcW w:w="1895" w:type="pct"/>
                  <w:shd w:val="clear" w:color="auto" w:fill="auto"/>
                  <w:vAlign w:val="center"/>
                </w:tcPr>
                <w:p w14:paraId="73DD0CBD">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1、</w:t>
                  </w: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，取得环评批复后，按要求编制环境风险应急预案并交</w:t>
                  </w:r>
                  <w:r>
                    <w:rPr>
                      <w:rFonts w:hint="eastAsia"/>
                      <w:color w:val="auto"/>
                      <w:sz w:val="21"/>
                      <w:szCs w:val="21"/>
                      <w:highlight w:val="none"/>
                      <w:lang w:val="en-US" w:eastAsia="zh-CN"/>
                    </w:rPr>
                    <w:t>昆明市生态环境局寻甸分局</w:t>
                  </w:r>
                  <w:r>
                    <w:rPr>
                      <w:rFonts w:hint="eastAsia" w:ascii="Times New Roman" w:hAnsi="Times New Roman"/>
                      <w:color w:val="auto"/>
                      <w:sz w:val="21"/>
                      <w:szCs w:val="21"/>
                      <w:highlight w:val="none"/>
                    </w:rPr>
                    <w:t>进行备案。</w:t>
                  </w:r>
                </w:p>
                <w:p w14:paraId="0814C019">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2、本项目已在风险源处设置围堰，围堰容积满足风险防控需求。</w:t>
                  </w:r>
                </w:p>
              </w:tc>
              <w:tc>
                <w:tcPr>
                  <w:tcW w:w="515" w:type="pct"/>
                  <w:shd w:val="clear" w:color="auto" w:fill="auto"/>
                  <w:vAlign w:val="center"/>
                </w:tcPr>
                <w:p w14:paraId="56264D29">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0C93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7" w:type="pct"/>
                  <w:vMerge w:val="continue"/>
                  <w:vAlign w:val="center"/>
                </w:tcPr>
                <w:p w14:paraId="2A6AFB08">
                  <w:pPr>
                    <w:spacing w:before="65" w:line="273" w:lineRule="auto"/>
                    <w:ind w:right="107" w:firstLine="480"/>
                    <w:rPr>
                      <w:rFonts w:ascii="Times New Roman" w:hAnsi="Times New Roman"/>
                      <w:color w:val="auto"/>
                      <w:szCs w:val="21"/>
                      <w:highlight w:val="none"/>
                    </w:rPr>
                  </w:pPr>
                </w:p>
              </w:tc>
              <w:tc>
                <w:tcPr>
                  <w:tcW w:w="416" w:type="pct"/>
                  <w:vAlign w:val="center"/>
                </w:tcPr>
                <w:p w14:paraId="211D15A7">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资源开发效率要求</w:t>
                  </w:r>
                </w:p>
              </w:tc>
              <w:tc>
                <w:tcPr>
                  <w:tcW w:w="1783" w:type="pct"/>
                  <w:vAlign w:val="center"/>
                </w:tcPr>
                <w:p w14:paraId="0B9E1FDB">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1.清洁生产水平不低于国家清洁生产标准规定的国内先进水平。</w:t>
                  </w:r>
                </w:p>
                <w:p w14:paraId="544BDE0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2.金所片区：工业固废综合利用率≥70%，再生水回用率100%，单位工业增加值综合耗能≤0.5吨标煤/万元。</w:t>
                  </w:r>
                </w:p>
              </w:tc>
              <w:tc>
                <w:tcPr>
                  <w:tcW w:w="1895" w:type="pct"/>
                  <w:vAlign w:val="center"/>
                </w:tcPr>
                <w:p w14:paraId="496BE64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项目位于</w:t>
                  </w:r>
                  <w:r>
                    <w:rPr>
                      <w:rFonts w:hint="eastAsia"/>
                      <w:color w:val="auto"/>
                      <w:sz w:val="21"/>
                      <w:szCs w:val="21"/>
                      <w:highlight w:val="none"/>
                      <w:lang w:val="en-US" w:eastAsia="zh-CN"/>
                    </w:rPr>
                    <w:t>金所</w:t>
                  </w:r>
                  <w:r>
                    <w:rPr>
                      <w:rFonts w:hint="eastAsia" w:ascii="Times New Roman" w:hAnsi="Times New Roman"/>
                      <w:color w:val="auto"/>
                      <w:sz w:val="21"/>
                      <w:szCs w:val="21"/>
                      <w:highlight w:val="none"/>
                    </w:rPr>
                    <w:t>片区，项目生产过程中主要能源为电能，属于清洁能源，项目运营期间水、电、土地资源等用量不会超过资源利用上限。</w:t>
                  </w:r>
                </w:p>
              </w:tc>
              <w:tc>
                <w:tcPr>
                  <w:tcW w:w="515" w:type="pct"/>
                  <w:vAlign w:val="center"/>
                </w:tcPr>
                <w:p w14:paraId="6A1A65ED">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4A36EAD3">
            <w:pPr>
              <w:tabs>
                <w:tab w:val="left" w:pos="540"/>
                <w:tab w:val="left" w:pos="851"/>
                <w:tab w:val="left" w:pos="994"/>
                <w:tab w:val="left" w:pos="1260"/>
                <w:tab w:val="left" w:pos="3108"/>
                <w:tab w:val="left" w:pos="3150"/>
              </w:tabs>
              <w:ind w:firstLine="480"/>
              <w:rPr>
                <w:rFonts w:ascii="Times New Roman" w:hAnsi="Times New Roman"/>
                <w:color w:val="auto"/>
                <w:szCs w:val="32"/>
                <w:highlight w:val="none"/>
              </w:rPr>
            </w:pPr>
            <w:r>
              <w:rPr>
                <w:rFonts w:ascii="Times New Roman" w:hAnsi="Times New Roman"/>
                <w:color w:val="auto"/>
                <w:highlight w:val="none"/>
              </w:rPr>
              <w:t>综上分析，本项目建设符合</w:t>
            </w:r>
            <w:r>
              <w:rPr>
                <w:rFonts w:hint="eastAsia" w:ascii="Times New Roman" w:hAnsi="Times New Roman"/>
                <w:color w:val="auto"/>
                <w:kern w:val="0"/>
                <w:highlight w:val="none"/>
              </w:rPr>
              <w:t>《昆明市生态环境分区管控动态更新方案（2023年）》</w:t>
            </w:r>
            <w:r>
              <w:rPr>
                <w:rFonts w:ascii="Times New Roman" w:hAnsi="Times New Roman"/>
                <w:bCs/>
                <w:color w:val="auto"/>
                <w:kern w:val="0"/>
                <w:highlight w:val="none"/>
              </w:rPr>
              <w:t>的相关要求。</w:t>
            </w:r>
          </w:p>
          <w:p w14:paraId="3E5C9166">
            <w:pPr>
              <w:adjustRightInd w:val="0"/>
              <w:snapToGrid w:val="0"/>
              <w:spacing w:line="360" w:lineRule="auto"/>
              <w:rPr>
                <w:rFonts w:hint="default" w:ascii="Times New Roman" w:hAnsi="Times New Roman" w:eastAsia="宋体" w:cs="Times New Roman"/>
                <w:b/>
                <w:color w:val="auto"/>
                <w:sz w:val="24"/>
              </w:rPr>
            </w:pP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与《云南省牛栏江保护条例》符合性分析</w:t>
            </w:r>
          </w:p>
          <w:p w14:paraId="3F6417A7">
            <w:pPr>
              <w:adjustRightInd w:val="0"/>
              <w:snapToGrid w:val="0"/>
              <w:spacing w:line="360" w:lineRule="auto"/>
              <w:ind w:firstLine="480" w:firstLineChars="200"/>
              <w:rPr>
                <w:rFonts w:hint="default" w:ascii="Times New Roman" w:hAnsi="Times New Roman" w:eastAsia="宋体" w:cs="Times New Roman"/>
                <w:b/>
                <w:color w:val="auto"/>
                <w:sz w:val="24"/>
                <w:lang w:val="zh-CN"/>
              </w:rPr>
            </w:pPr>
            <w:r>
              <w:rPr>
                <w:rFonts w:hint="default" w:ascii="Times New Roman" w:hAnsi="Times New Roman" w:eastAsia="宋体" w:cs="Times New Roman"/>
                <w:color w:val="auto"/>
                <w:sz w:val="24"/>
              </w:rPr>
              <w:t>根据《云南省牛栏江保护条例》，牛栏江流域实行分区保护，牛栏江德泽水库坝址以上集水区域为牛栏江流域上游保护区，牛栏江德泽水库坝址以下集水区域为牛栏江流域下游保护区，本项目位于德泽水库坝址以上集水区域，属于牛栏江流域上游保护区。牛栏江流域上游保护区划分为水源保护核心区、重点污染控制区和重点水源涵养区，本项目所属流域分区分析如下：</w:t>
            </w:r>
          </w:p>
          <w:p w14:paraId="26764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本项目与云南省牛栏江流域分区范围分析</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5114"/>
              <w:gridCol w:w="887"/>
            </w:tblGrid>
            <w:tr w14:paraId="2643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45" w:type="pct"/>
                  <w:noWrap w:val="0"/>
                  <w:vAlign w:val="center"/>
                </w:tcPr>
                <w:p w14:paraId="3914E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保护分区</w:t>
                  </w:r>
                </w:p>
              </w:tc>
              <w:tc>
                <w:tcPr>
                  <w:tcW w:w="3711" w:type="pct"/>
                  <w:noWrap w:val="0"/>
                  <w:vAlign w:val="center"/>
                </w:tcPr>
                <w:p w14:paraId="694F3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保护区范围</w:t>
                  </w:r>
                </w:p>
              </w:tc>
              <w:tc>
                <w:tcPr>
                  <w:tcW w:w="643" w:type="pct"/>
                  <w:noWrap w:val="0"/>
                  <w:vAlign w:val="center"/>
                </w:tcPr>
                <w:p w14:paraId="098C9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r>
            <w:tr w14:paraId="2F43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45" w:type="pct"/>
                  <w:noWrap w:val="0"/>
                  <w:vAlign w:val="center"/>
                </w:tcPr>
                <w:p w14:paraId="6D343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水源保护核心区</w:t>
                  </w:r>
                </w:p>
              </w:tc>
              <w:tc>
                <w:tcPr>
                  <w:tcW w:w="3711" w:type="pct"/>
                  <w:noWrap w:val="0"/>
                  <w:vAlign w:val="center"/>
                </w:tcPr>
                <w:p w14:paraId="6B0A1587">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tc>
              <w:tc>
                <w:tcPr>
                  <w:tcW w:w="643" w:type="pct"/>
                  <w:vMerge w:val="restart"/>
                  <w:noWrap w:val="0"/>
                  <w:vAlign w:val="center"/>
                </w:tcPr>
                <w:p w14:paraId="4CEEF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本项目位于牛栏江流域重点污染控制区。</w:t>
                  </w:r>
                </w:p>
              </w:tc>
            </w:tr>
            <w:tr w14:paraId="222A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645" w:type="pct"/>
                  <w:noWrap w:val="0"/>
                  <w:vAlign w:val="center"/>
                </w:tcPr>
                <w:p w14:paraId="28599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重点污染控制区</w:t>
                  </w:r>
                </w:p>
              </w:tc>
              <w:tc>
                <w:tcPr>
                  <w:tcW w:w="3711" w:type="pct"/>
                  <w:noWrap w:val="0"/>
                  <w:vAlign w:val="center"/>
                </w:tcPr>
                <w:p w14:paraId="071B6E81">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为水源保护核心区以外，流域范围内的坝区以及花庄河、果马河、普沙河、弥良河、对龙河、杨林河、匡郎河、前进河、马龙河水域及两岸外延3000米的区域，区域范围超过一级山脊线的，按照一级山脊线划定。</w:t>
                  </w:r>
                </w:p>
              </w:tc>
              <w:tc>
                <w:tcPr>
                  <w:tcW w:w="643" w:type="pct"/>
                  <w:vMerge w:val="continue"/>
                  <w:noWrap w:val="0"/>
                  <w:vAlign w:val="center"/>
                </w:tcPr>
                <w:p w14:paraId="329FE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7267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45" w:type="pct"/>
                  <w:noWrap w:val="0"/>
                  <w:vAlign w:val="center"/>
                </w:tcPr>
                <w:p w14:paraId="78F5A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重点水源涵养区</w:t>
                  </w:r>
                </w:p>
              </w:tc>
              <w:tc>
                <w:tcPr>
                  <w:tcW w:w="3711" w:type="pct"/>
                  <w:noWrap w:val="0"/>
                  <w:vAlign w:val="center"/>
                </w:tcPr>
                <w:p w14:paraId="4B96127E">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为流域范围内除水源保护核心区、重点污染控制区以外的集水区域。</w:t>
                  </w:r>
                </w:p>
              </w:tc>
              <w:tc>
                <w:tcPr>
                  <w:tcW w:w="643" w:type="pct"/>
                  <w:vMerge w:val="continue"/>
                  <w:noWrap w:val="0"/>
                  <w:vAlign w:val="center"/>
                </w:tcPr>
                <w:p w14:paraId="4ECB2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bl>
          <w:p w14:paraId="57D9BC1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default" w:ascii="Times New Roman" w:hAnsi="Times New Roman" w:eastAsia="宋体" w:cs="Times New Roman"/>
                <w:b/>
                <w:color w:val="auto"/>
                <w:sz w:val="24"/>
                <w:lang w:val="zh-CN"/>
              </w:rPr>
            </w:pPr>
            <w:r>
              <w:rPr>
                <w:rFonts w:hint="eastAsia" w:ascii="Times New Roman" w:hAnsi="Times New Roman" w:cs="Times New Roman"/>
                <w:color w:val="auto"/>
                <w:sz w:val="24"/>
                <w:lang w:val="en-US" w:eastAsia="zh-CN"/>
              </w:rPr>
              <w:t>本项目</w:t>
            </w:r>
            <w:r>
              <w:rPr>
                <w:rFonts w:hint="default" w:ascii="Times New Roman" w:hAnsi="Times New Roman" w:eastAsia="宋体" w:cs="Times New Roman"/>
                <w:color w:val="auto"/>
                <w:sz w:val="24"/>
              </w:rPr>
              <w:t>位于云南省昆明市寻甸县特色产业园区金所片区，项目所在地位于牛栏江流域重点污染控制区范围内，本项目与《云南省牛栏江保护条例》规定的牛栏江流域上游保护区重点污染控制区保护要求符合性如下</w:t>
            </w:r>
            <w:r>
              <w:rPr>
                <w:rFonts w:hint="default" w:ascii="Times New Roman" w:hAnsi="Times New Roman" w:eastAsia="宋体" w:cs="Times New Roman"/>
                <w:color w:val="auto"/>
                <w:sz w:val="24"/>
                <w:lang w:eastAsia="zh-CN"/>
              </w:rPr>
              <w:t>：</w:t>
            </w:r>
          </w:p>
          <w:p w14:paraId="0C3B1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本项目与牛栏江流域重点污染控制区保护要求符合性分析</w:t>
            </w:r>
          </w:p>
          <w:tbl>
            <w:tblPr>
              <w:tblStyle w:val="2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2899"/>
              <w:gridCol w:w="853"/>
            </w:tblGrid>
            <w:tr w14:paraId="5289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235D56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rPr>
                    <w:t>重点污染控制区禁止行为</w:t>
                  </w:r>
                </w:p>
              </w:tc>
              <w:tc>
                <w:tcPr>
                  <w:tcW w:w="2108" w:type="pct"/>
                  <w:noWrap w:val="0"/>
                  <w:vAlign w:val="center"/>
                </w:tcPr>
                <w:p w14:paraId="3E996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本项目情况</w:t>
                  </w:r>
                </w:p>
              </w:tc>
              <w:tc>
                <w:tcPr>
                  <w:tcW w:w="620" w:type="pct"/>
                  <w:noWrap w:val="0"/>
                  <w:vAlign w:val="center"/>
                </w:tcPr>
                <w:p w14:paraId="1F4151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符合性</w:t>
                  </w:r>
                </w:p>
              </w:tc>
            </w:tr>
            <w:tr w14:paraId="759A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76686247">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（一）盗伐、滥伐林木和破坏草地；</w:t>
                  </w:r>
                </w:p>
              </w:tc>
              <w:tc>
                <w:tcPr>
                  <w:tcW w:w="2108" w:type="pct"/>
                  <w:noWrap w:val="0"/>
                  <w:vAlign w:val="center"/>
                </w:tcPr>
                <w:p w14:paraId="52A65BD8">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default"/>
                      <w:color w:val="auto"/>
                      <w:sz w:val="21"/>
                      <w:szCs w:val="21"/>
                      <w:lang w:val="zh-CN"/>
                    </w:rPr>
                    <w:t>本项目</w:t>
                  </w:r>
                  <w:r>
                    <w:rPr>
                      <w:rFonts w:hint="eastAsia"/>
                      <w:color w:val="auto"/>
                      <w:sz w:val="21"/>
                      <w:szCs w:val="21"/>
                      <w:lang w:val="en-US" w:eastAsia="zh-CN"/>
                    </w:rPr>
                    <w:t>位于合规园区内</w:t>
                  </w:r>
                </w:p>
              </w:tc>
              <w:tc>
                <w:tcPr>
                  <w:tcW w:w="620" w:type="pct"/>
                  <w:noWrap w:val="0"/>
                  <w:vAlign w:val="center"/>
                </w:tcPr>
                <w:p w14:paraId="39DB1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4BEB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3AD64CF5">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（二）使用高毒、高残留农药；</w:t>
                  </w:r>
                </w:p>
              </w:tc>
              <w:tc>
                <w:tcPr>
                  <w:tcW w:w="2108" w:type="pct"/>
                  <w:noWrap w:val="0"/>
                  <w:vAlign w:val="center"/>
                </w:tcPr>
                <w:p w14:paraId="0DC46CDB">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zh-CN" w:eastAsia="zh-CN"/>
                    </w:rPr>
                  </w:pPr>
                  <w:r>
                    <w:rPr>
                      <w:rFonts w:hint="eastAsia"/>
                      <w:color w:val="auto"/>
                      <w:sz w:val="21"/>
                      <w:szCs w:val="21"/>
                      <w:lang w:val="en-US" w:eastAsia="zh-CN"/>
                    </w:rPr>
                    <w:t>本项目不涉及</w:t>
                  </w:r>
                </w:p>
              </w:tc>
              <w:tc>
                <w:tcPr>
                  <w:tcW w:w="620" w:type="pct"/>
                  <w:noWrap w:val="0"/>
                  <w:vAlign w:val="center"/>
                </w:tcPr>
                <w:p w14:paraId="74828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4EA5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72350B8E">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（三）利用溶洞、渗井、渗坑、裂隙排放、倾倒含有毒有害物质的废水、废渣；</w:t>
                  </w:r>
                </w:p>
              </w:tc>
              <w:tc>
                <w:tcPr>
                  <w:tcW w:w="2108" w:type="pct"/>
                  <w:vMerge w:val="restart"/>
                  <w:noWrap w:val="0"/>
                  <w:vAlign w:val="center"/>
                </w:tcPr>
                <w:p w14:paraId="27127DDA">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rPr>
                    <w:t>项目施工期产生的少量生活污水和生产废水就近回用于施工作业和洒水降尘，不外排；项目运营期</w:t>
                  </w:r>
                  <w:r>
                    <w:rPr>
                      <w:rFonts w:hint="eastAsia"/>
                      <w:color w:val="auto"/>
                      <w:sz w:val="21"/>
                      <w:szCs w:val="21"/>
                      <w:lang w:val="en-US" w:eastAsia="zh-CN"/>
                    </w:rPr>
                    <w:t>生产废水经</w:t>
                  </w:r>
                  <w:r>
                    <w:rPr>
                      <w:rFonts w:hint="default"/>
                      <w:color w:val="auto"/>
                      <w:sz w:val="21"/>
                      <w:szCs w:val="21"/>
                      <w:lang w:val="en-US" w:eastAsia="zh-CN"/>
                    </w:rPr>
                    <w:t>一体化</w:t>
                  </w:r>
                  <w:r>
                    <w:rPr>
                      <w:rFonts w:hint="eastAsia"/>
                      <w:color w:val="auto"/>
                      <w:sz w:val="21"/>
                      <w:szCs w:val="21"/>
                      <w:lang w:val="en-US" w:eastAsia="zh-CN"/>
                    </w:rPr>
                    <w:t>污水</w:t>
                  </w:r>
                  <w:r>
                    <w:rPr>
                      <w:rFonts w:hint="default"/>
                      <w:color w:val="auto"/>
                      <w:sz w:val="21"/>
                      <w:szCs w:val="21"/>
                      <w:lang w:val="en-US" w:eastAsia="zh-CN"/>
                    </w:rPr>
                    <w:t>处理</w:t>
                  </w:r>
                  <w:r>
                    <w:rPr>
                      <w:rFonts w:hint="eastAsia"/>
                      <w:color w:val="auto"/>
                      <w:sz w:val="21"/>
                      <w:szCs w:val="21"/>
                      <w:lang w:val="en-US" w:eastAsia="zh-CN"/>
                    </w:rPr>
                    <w:t>设施处理后回用，不外排</w:t>
                  </w:r>
                  <w:r>
                    <w:rPr>
                      <w:rFonts w:hint="default"/>
                      <w:color w:val="auto"/>
                      <w:sz w:val="21"/>
                      <w:szCs w:val="21"/>
                      <w:lang w:val="en-US" w:eastAsia="zh-CN"/>
                    </w:rPr>
                    <w:t>。固废处置率100%。</w:t>
                  </w:r>
                  <w:r>
                    <w:rPr>
                      <w:rFonts w:hint="default"/>
                      <w:color w:val="auto"/>
                      <w:sz w:val="21"/>
                      <w:szCs w:val="21"/>
                      <w:lang w:val="zh-CN"/>
                    </w:rPr>
                    <w:t>项目不存在所列禁止行为。</w:t>
                  </w:r>
                </w:p>
              </w:tc>
              <w:tc>
                <w:tcPr>
                  <w:tcW w:w="620" w:type="pct"/>
                  <w:vMerge w:val="restart"/>
                  <w:noWrap w:val="0"/>
                  <w:vAlign w:val="center"/>
                </w:tcPr>
                <w:p w14:paraId="09313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1B91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3214935B">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（四）向水体排放废水、倾倒工业废渣、城镇垃圾或者其他废弃物；</w:t>
                  </w:r>
                </w:p>
              </w:tc>
              <w:tc>
                <w:tcPr>
                  <w:tcW w:w="2108" w:type="pct"/>
                  <w:vMerge w:val="continue"/>
                  <w:noWrap w:val="0"/>
                  <w:vAlign w:val="center"/>
                </w:tcPr>
                <w:p w14:paraId="318B0723">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5A789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33CA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4D8FF5E9">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（五）在江河、渠道、水库最高水位线以下的滩地、岸坡堆放、存贮固体废弃物或者其他污染物；</w:t>
                  </w:r>
                </w:p>
              </w:tc>
              <w:tc>
                <w:tcPr>
                  <w:tcW w:w="2108" w:type="pct"/>
                  <w:vMerge w:val="continue"/>
                  <w:noWrap w:val="0"/>
                  <w:vAlign w:val="center"/>
                </w:tcPr>
                <w:p w14:paraId="18435834">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7980A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1F0A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2859954F">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（六）利用无防渗漏措施的沟渠、坑塘等输送或者存贮含有毒污染物的废水、含病原体的污水或者其他废弃物。</w:t>
                  </w:r>
                </w:p>
              </w:tc>
              <w:tc>
                <w:tcPr>
                  <w:tcW w:w="2108" w:type="pct"/>
                  <w:vMerge w:val="continue"/>
                  <w:noWrap w:val="0"/>
                  <w:vAlign w:val="center"/>
                </w:tcPr>
                <w:p w14:paraId="1F88F4AC">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51DE7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5C97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59060FB1">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（七）新建、扩建工业园区</w:t>
                  </w:r>
                  <w:r>
                    <w:rPr>
                      <w:rFonts w:hint="default"/>
                      <w:color w:val="auto"/>
                      <w:sz w:val="21"/>
                      <w:szCs w:val="21"/>
                      <w:lang w:eastAsia="zh-CN"/>
                    </w:rPr>
                    <w:t>。</w:t>
                  </w:r>
                </w:p>
              </w:tc>
              <w:tc>
                <w:tcPr>
                  <w:tcW w:w="2108" w:type="pct"/>
                  <w:noWrap w:val="0"/>
                  <w:vAlign w:val="center"/>
                </w:tcPr>
                <w:p w14:paraId="50761EB7">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lang w:val="zh-CN"/>
                    </w:rPr>
                    <w:t>项目不属于工业园区规划建设。</w:t>
                  </w:r>
                </w:p>
              </w:tc>
              <w:tc>
                <w:tcPr>
                  <w:tcW w:w="620" w:type="pct"/>
                  <w:noWrap w:val="0"/>
                  <w:vAlign w:val="center"/>
                </w:tcPr>
                <w:p w14:paraId="1BCD2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7EAA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5BEADDB4">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（八）新建、扩建重点水污染物排放的工业项目</w:t>
                  </w:r>
                  <w:r>
                    <w:rPr>
                      <w:rFonts w:hint="default"/>
                      <w:color w:val="auto"/>
                      <w:sz w:val="21"/>
                      <w:szCs w:val="21"/>
                      <w:lang w:eastAsia="zh-CN"/>
                    </w:rPr>
                    <w:t>。</w:t>
                  </w:r>
                </w:p>
              </w:tc>
              <w:tc>
                <w:tcPr>
                  <w:tcW w:w="2108" w:type="pct"/>
                  <w:noWrap w:val="0"/>
                  <w:vAlign w:val="center"/>
                </w:tcPr>
                <w:p w14:paraId="2C30F271">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lang w:val="en-US" w:eastAsia="zh-CN"/>
                    </w:rPr>
                    <w:t>本项目为</w:t>
                  </w:r>
                  <w:r>
                    <w:rPr>
                      <w:rFonts w:hint="eastAsia"/>
                      <w:color w:val="auto"/>
                      <w:sz w:val="21"/>
                      <w:szCs w:val="21"/>
                      <w:lang w:val="en-US" w:eastAsia="zh-CN"/>
                    </w:rPr>
                    <w:t>危化品车辆清洗场</w:t>
                  </w:r>
                  <w:r>
                    <w:rPr>
                      <w:rFonts w:hint="default"/>
                      <w:color w:val="auto"/>
                      <w:sz w:val="21"/>
                      <w:szCs w:val="21"/>
                      <w:lang w:val="en-US" w:eastAsia="zh-CN"/>
                    </w:rPr>
                    <w:t>，不属于重点水污染物排放的工业项目，</w:t>
                  </w:r>
                  <w:r>
                    <w:rPr>
                      <w:rFonts w:hint="eastAsia"/>
                      <w:color w:val="auto"/>
                      <w:sz w:val="21"/>
                      <w:szCs w:val="21"/>
                      <w:lang w:val="en-US" w:eastAsia="zh-CN"/>
                    </w:rPr>
                    <w:t>本项目生产废水经</w:t>
                  </w:r>
                  <w:r>
                    <w:rPr>
                      <w:rFonts w:hint="default"/>
                      <w:color w:val="auto"/>
                      <w:sz w:val="21"/>
                      <w:szCs w:val="21"/>
                      <w:lang w:val="en-US" w:eastAsia="zh-CN"/>
                    </w:rPr>
                    <w:t>一体化</w:t>
                  </w:r>
                  <w:r>
                    <w:rPr>
                      <w:rFonts w:hint="eastAsia"/>
                      <w:color w:val="auto"/>
                      <w:sz w:val="21"/>
                      <w:szCs w:val="21"/>
                      <w:lang w:val="en-US" w:eastAsia="zh-CN"/>
                    </w:rPr>
                    <w:t>污水</w:t>
                  </w:r>
                  <w:r>
                    <w:rPr>
                      <w:rFonts w:hint="default"/>
                      <w:color w:val="auto"/>
                      <w:sz w:val="21"/>
                      <w:szCs w:val="21"/>
                      <w:lang w:val="en-US" w:eastAsia="zh-CN"/>
                    </w:rPr>
                    <w:t>处理</w:t>
                  </w:r>
                  <w:r>
                    <w:rPr>
                      <w:rFonts w:hint="eastAsia"/>
                      <w:color w:val="auto"/>
                      <w:sz w:val="21"/>
                      <w:szCs w:val="21"/>
                      <w:lang w:val="en-US" w:eastAsia="zh-CN"/>
                    </w:rPr>
                    <w:t>设施处理后回用，不外排</w:t>
                  </w:r>
                  <w:r>
                    <w:rPr>
                      <w:rFonts w:hint="default"/>
                      <w:color w:val="auto"/>
                      <w:sz w:val="21"/>
                      <w:szCs w:val="21"/>
                      <w:lang w:val="en-US" w:eastAsia="zh-CN"/>
                    </w:rPr>
                    <w:t>。</w:t>
                  </w:r>
                </w:p>
              </w:tc>
              <w:tc>
                <w:tcPr>
                  <w:tcW w:w="620" w:type="pct"/>
                  <w:noWrap w:val="0"/>
                  <w:vAlign w:val="center"/>
                </w:tcPr>
                <w:p w14:paraId="5E7D7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7A7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09FC6784">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（九）新建、改建、扩建经营性陵园、公墓</w:t>
                  </w:r>
                  <w:r>
                    <w:rPr>
                      <w:rFonts w:hint="default"/>
                      <w:color w:val="auto"/>
                      <w:sz w:val="21"/>
                      <w:szCs w:val="21"/>
                      <w:lang w:eastAsia="zh-CN"/>
                    </w:rPr>
                    <w:t>。</w:t>
                  </w:r>
                </w:p>
              </w:tc>
              <w:tc>
                <w:tcPr>
                  <w:tcW w:w="2108" w:type="pct"/>
                  <w:noWrap w:val="0"/>
                  <w:vAlign w:val="center"/>
                </w:tcPr>
                <w:p w14:paraId="33DF254C">
                  <w:pPr>
                    <w:pStyle w:val="3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eastAsia="zh-CN"/>
                    </w:rPr>
                  </w:pPr>
                  <w:r>
                    <w:rPr>
                      <w:rFonts w:hint="default"/>
                      <w:color w:val="auto"/>
                      <w:sz w:val="21"/>
                      <w:szCs w:val="21"/>
                      <w:lang w:val="zh-CN"/>
                    </w:rPr>
                    <w:t>项目</w:t>
                  </w:r>
                  <w:r>
                    <w:rPr>
                      <w:rFonts w:hint="default"/>
                      <w:color w:val="auto"/>
                      <w:sz w:val="21"/>
                      <w:szCs w:val="21"/>
                      <w:lang w:eastAsia="zh-CN"/>
                    </w:rPr>
                    <w:t>不涉及</w:t>
                  </w:r>
                  <w:r>
                    <w:rPr>
                      <w:rFonts w:hint="default"/>
                      <w:color w:val="auto"/>
                      <w:sz w:val="21"/>
                      <w:szCs w:val="21"/>
                    </w:rPr>
                    <w:t>新建、改建、扩建经营性陵园、公墓</w:t>
                  </w:r>
                  <w:r>
                    <w:rPr>
                      <w:rFonts w:hint="default"/>
                      <w:color w:val="auto"/>
                      <w:sz w:val="21"/>
                      <w:szCs w:val="21"/>
                      <w:lang w:eastAsia="zh-CN"/>
                    </w:rPr>
                    <w:t>。</w:t>
                  </w:r>
                </w:p>
              </w:tc>
              <w:tc>
                <w:tcPr>
                  <w:tcW w:w="620" w:type="pct"/>
                  <w:noWrap w:val="0"/>
                  <w:vAlign w:val="center"/>
                </w:tcPr>
                <w:p w14:paraId="51CA7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bl>
          <w:p w14:paraId="10981893">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综上所述，本项目位于牛栏江流域上游保护区重点污染控制区范围内，项目建设和运营不涉及重点污染控制区所禁止进行的行为</w:t>
            </w:r>
            <w:r>
              <w:rPr>
                <w:rFonts w:hint="default" w:ascii="Times New Roman" w:hAnsi="Times New Roman" w:eastAsia="宋体" w:cs="Times New Roman"/>
                <w:color w:val="auto"/>
                <w:sz w:val="24"/>
                <w:lang w:eastAsia="zh-CN"/>
              </w:rPr>
              <w:t>。</w:t>
            </w:r>
          </w:p>
          <w:p w14:paraId="53E43F3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此外，</w:t>
            </w:r>
            <w:r>
              <w:rPr>
                <w:rFonts w:hint="default" w:ascii="Times New Roman" w:hAnsi="Times New Roman" w:eastAsia="宋体" w:cs="Times New Roman"/>
                <w:color w:val="auto"/>
                <w:sz w:val="24"/>
              </w:rPr>
              <w:t>《云南省牛栏江保护条例》</w:t>
            </w:r>
            <w:r>
              <w:rPr>
                <w:rFonts w:hint="default" w:ascii="Times New Roman" w:hAnsi="Times New Roman" w:eastAsia="宋体" w:cs="Times New Roman"/>
                <w:color w:val="auto"/>
                <w:sz w:val="24"/>
                <w:lang w:val="en-US" w:eastAsia="zh-CN"/>
              </w:rPr>
              <w:t>第三十条规定：①</w:t>
            </w:r>
            <w:r>
              <w:rPr>
                <w:rFonts w:hint="default" w:ascii="Times New Roman" w:hAnsi="Times New Roman" w:eastAsia="宋体" w:cs="Times New Roman"/>
                <w:color w:val="auto"/>
                <w:sz w:val="24"/>
              </w:rPr>
              <w:t>牛栏江流域上游保护区内的工业园区应当建设污水集中和分散处理设施，工业污水处理达标后，在园区内综合回用，实现工业污水零排放。排污单位在向污水集中处理设施排放污水时，应当符合相应的水污染物排放标准和重点水污染物排放总量控制指标。工业园区的管理机构统一负责园区内污水集中处理设施的监督管理，并确保其正常运行。</w:t>
            </w:r>
            <w:r>
              <w:rPr>
                <w:rFonts w:hint="default"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工业园区外的工业企业应当进行技术改造，采取综合防治措施，提高水的重复利用率，逐年减少废水和污染物排放量。</w:t>
            </w:r>
          </w:p>
          <w:p w14:paraId="6114B52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rPr>
              <w:t>本项目位于</w:t>
            </w:r>
            <w:r>
              <w:rPr>
                <w:rFonts w:hint="default" w:ascii="Times New Roman" w:hAnsi="Times New Roman" w:cs="Times New Roman"/>
                <w:color w:val="auto"/>
                <w:sz w:val="24"/>
                <w:szCs w:val="24"/>
                <w:highlight w:val="none"/>
                <w:lang w:eastAsia="zh-CN"/>
              </w:rPr>
              <w:t>云南寻甸产业园区</w:t>
            </w:r>
            <w:r>
              <w:rPr>
                <w:rFonts w:hint="eastAsia" w:ascii="Times New Roman" w:hAnsi="Times New Roman" w:cs="Times New Roman"/>
                <w:color w:val="auto"/>
                <w:sz w:val="24"/>
                <w:szCs w:val="24"/>
                <w:highlight w:val="none"/>
                <w:lang w:val="en-US" w:eastAsia="zh-CN"/>
              </w:rPr>
              <w:t>金所</w:t>
            </w:r>
            <w:r>
              <w:rPr>
                <w:rFonts w:hint="default" w:ascii="Times New Roman" w:hAnsi="Times New Roman" w:cs="Times New Roman"/>
                <w:color w:val="auto"/>
                <w:sz w:val="24"/>
                <w:szCs w:val="24"/>
                <w:highlight w:val="none"/>
                <w:lang w:eastAsia="zh-CN"/>
              </w:rPr>
              <w:t>片区</w:t>
            </w:r>
            <w:r>
              <w:rPr>
                <w:rFonts w:hint="eastAsia" w:ascii="Times New Roman" w:hAnsi="Times New Roman" w:cs="Times New Roman"/>
                <w:color w:val="auto"/>
                <w:sz w:val="24"/>
                <w:szCs w:val="24"/>
                <w:highlight w:val="none"/>
                <w:lang w:val="en-US" w:eastAsia="zh-CN"/>
              </w:rPr>
              <w:t>中转物流</w:t>
            </w:r>
            <w:r>
              <w:rPr>
                <w:rFonts w:hint="default" w:ascii="Times New Roman" w:hAnsi="Times New Roman" w:cs="Times New Roman"/>
                <w:color w:val="auto"/>
                <w:sz w:val="24"/>
                <w:szCs w:val="24"/>
                <w:highlight w:val="none"/>
                <w:lang w:eastAsia="zh-CN"/>
              </w:rPr>
              <w:t>区内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项目生活污水</w:t>
            </w:r>
            <w:r>
              <w:rPr>
                <w:rFonts w:hint="eastAsia" w:ascii="Times New Roman" w:hAnsi="Times New Roman" w:cs="Times New Roman"/>
                <w:color w:val="auto"/>
                <w:sz w:val="24"/>
                <w:highlight w:val="none"/>
                <w:lang w:val="en-US" w:eastAsia="zh-CN"/>
              </w:rPr>
              <w:t>经化粪池处理后委托环卫部门定期清掏，生产废水经一体化污水处理设施处理后</w:t>
            </w:r>
            <w:r>
              <w:rPr>
                <w:rFonts w:hint="eastAsia" w:cs="Times New Roman"/>
                <w:color w:val="auto"/>
                <w:sz w:val="24"/>
                <w:highlight w:val="none"/>
                <w:lang w:val="en-US" w:eastAsia="zh-CN"/>
              </w:rPr>
              <w:t>回用</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不外排</w:t>
            </w:r>
            <w:r>
              <w:rPr>
                <w:rFonts w:hint="default" w:ascii="Times New Roman" w:hAnsi="Times New Roman" w:cs="Times New Roman"/>
                <w:color w:val="auto"/>
                <w:sz w:val="24"/>
                <w:szCs w:val="24"/>
                <w:highlight w:val="none"/>
                <w:lang w:eastAsia="zh-CN"/>
              </w:rPr>
              <w:t>。</w:t>
            </w:r>
          </w:p>
          <w:p w14:paraId="3580D182">
            <w:pPr>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lang w:val="en-US" w:eastAsia="zh-CN"/>
              </w:rPr>
              <w:t>综上，</w:t>
            </w:r>
            <w:r>
              <w:rPr>
                <w:rFonts w:hint="default" w:ascii="Times New Roman" w:hAnsi="Times New Roman" w:eastAsia="宋体" w:cs="Times New Roman"/>
                <w:color w:val="auto"/>
                <w:sz w:val="24"/>
              </w:rPr>
              <w:t>本项目的建设符合《云南省牛栏江保护条例》的要求。</w:t>
            </w:r>
          </w:p>
          <w:p w14:paraId="48892BB8">
            <w:pPr>
              <w:numPr>
                <w:ilvl w:val="0"/>
                <w:numId w:val="0"/>
              </w:numPr>
              <w:rPr>
                <w:rFonts w:ascii="Times New Roman" w:hAnsi="Times New Roman"/>
                <w:b/>
                <w:bCs/>
                <w:color w:val="auto"/>
                <w:highlight w:val="none"/>
              </w:rPr>
            </w:pPr>
            <w:r>
              <w:rPr>
                <w:rFonts w:hint="eastAsia"/>
                <w:b/>
                <w:bCs/>
                <w:color w:val="auto"/>
                <w:highlight w:val="none"/>
                <w:lang w:val="en-US" w:eastAsia="zh-CN"/>
              </w:rPr>
              <w:t>4、</w:t>
            </w:r>
            <w:r>
              <w:rPr>
                <w:rFonts w:ascii="Times New Roman" w:hAnsi="Times New Roman"/>
                <w:b/>
                <w:bCs/>
                <w:color w:val="auto"/>
                <w:highlight w:val="none"/>
              </w:rPr>
              <w:t>与《牛栏江流域（云南部分）水环境保护规划（2009~2030）》的相符性分析</w:t>
            </w:r>
          </w:p>
          <w:p w14:paraId="349E9761">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根据《牛栏江流域（云南部分）水环境保护规划（2009-2030）》，牛栏江流域（云南段）水环境保护划分为两大控制区，即牛栏江上游（德泽水库坝址以上）重点保护区、牛栏江下游生态与环境保护区。本项目位于云南省昆明市寻甸特色产业园区</w:t>
            </w:r>
            <w:r>
              <w:rPr>
                <w:rFonts w:hint="eastAsia"/>
                <w:color w:val="auto"/>
                <w:highlight w:val="none"/>
                <w:lang w:val="en-US" w:eastAsia="zh-CN"/>
              </w:rPr>
              <w:t>金所</w:t>
            </w:r>
            <w:r>
              <w:rPr>
                <w:rFonts w:hint="eastAsia" w:ascii="Times New Roman" w:hAnsi="Times New Roman"/>
                <w:color w:val="auto"/>
                <w:highlight w:val="none"/>
              </w:rPr>
              <w:t>片区，根据牛栏江水系功能规划图，项目属于重点污染控制区。</w:t>
            </w:r>
            <w:r>
              <w:rPr>
                <w:rFonts w:hint="eastAsia"/>
                <w:color w:val="auto"/>
                <w:highlight w:val="none"/>
                <w:lang w:eastAsia="zh-CN"/>
              </w:rPr>
              <w:t>具体分析见下表。</w:t>
            </w:r>
          </w:p>
          <w:p w14:paraId="6C7D6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7</w:t>
            </w:r>
            <w:r>
              <w:rPr>
                <w:rFonts w:hint="eastAsia" w:ascii="Times New Roman" w:hAnsi="Times New Roman"/>
                <w:b/>
                <w:bCs/>
                <w:color w:val="auto"/>
                <w:sz w:val="21"/>
                <w:szCs w:val="21"/>
                <w:highlight w:val="none"/>
              </w:rPr>
              <w:t xml:space="preserve">  建设内容与《牛栏江流域（云南部分）水环境保护规划（2009~2030）》符合性分析</w:t>
            </w:r>
          </w:p>
          <w:tbl>
            <w:tblPr>
              <w:tblStyle w:val="3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315"/>
              <w:gridCol w:w="2364"/>
              <w:gridCol w:w="682"/>
            </w:tblGrid>
            <w:tr w14:paraId="1874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76E30570">
                  <w:pPr>
                    <w:spacing w:line="240" w:lineRule="auto"/>
                    <w:ind w:firstLine="0" w:firstLineChars="0"/>
                    <w:jc w:val="center"/>
                    <w:rPr>
                      <w:rFonts w:hint="eastAsia" w:ascii="Times New Roman" w:hAnsi="Times New Roman" w:eastAsia="宋体"/>
                      <w:b/>
                      <w:bCs/>
                      <w:color w:val="auto"/>
                      <w:sz w:val="21"/>
                      <w:szCs w:val="21"/>
                      <w:highlight w:val="none"/>
                      <w:lang w:eastAsia="zh-CN"/>
                    </w:rPr>
                  </w:pPr>
                  <w:r>
                    <w:rPr>
                      <w:rFonts w:hint="eastAsia"/>
                      <w:b/>
                      <w:bCs/>
                      <w:color w:val="auto"/>
                      <w:sz w:val="21"/>
                      <w:szCs w:val="21"/>
                      <w:highlight w:val="none"/>
                      <w:lang w:eastAsia="zh-CN"/>
                    </w:rPr>
                    <w:t>区域</w:t>
                  </w:r>
                </w:p>
              </w:tc>
              <w:tc>
                <w:tcPr>
                  <w:tcW w:w="3315" w:type="dxa"/>
                  <w:vAlign w:val="center"/>
                </w:tcPr>
                <w:p w14:paraId="2036AB2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环境保护策略</w:t>
                  </w:r>
                </w:p>
              </w:tc>
              <w:tc>
                <w:tcPr>
                  <w:tcW w:w="2364" w:type="dxa"/>
                  <w:vAlign w:val="center"/>
                </w:tcPr>
                <w:p w14:paraId="1010C72D">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建设内容</w:t>
                  </w:r>
                </w:p>
              </w:tc>
              <w:tc>
                <w:tcPr>
                  <w:tcW w:w="682" w:type="dxa"/>
                  <w:vAlign w:val="center"/>
                </w:tcPr>
                <w:p w14:paraId="22515A3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符合性</w:t>
                  </w:r>
                </w:p>
              </w:tc>
            </w:tr>
            <w:tr w14:paraId="7F93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Merge w:val="restart"/>
                  <w:vAlign w:val="center"/>
                </w:tcPr>
                <w:p w14:paraId="5C39CC62">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重点污染控制区</w:t>
                  </w:r>
                </w:p>
              </w:tc>
              <w:tc>
                <w:tcPr>
                  <w:tcW w:w="3315" w:type="dxa"/>
                  <w:vAlign w:val="center"/>
                </w:tcPr>
                <w:p w14:paraId="76A8BF15">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县羊街镇(部分)、金所乡、仁德镇，塘子镇(小部分)。马龙县的通泉镇、王家庄镇、月望乡、马过河镇、旧县镇；沾益县的大坡乡、菱角乡16个乡镇。重点污染控制区内的阳镇，小街镇，杨桥乡，牛栏江镇，德泽乡属于本规划的污染重点治理区。面积约为2011km</w:t>
                  </w:r>
                  <w:r>
                    <w:rPr>
                      <w:rFonts w:hint="eastAsia" w:ascii="Times New Roman" w:hAnsi="Times New Roman"/>
                      <w:color w:val="auto"/>
                      <w:sz w:val="21"/>
                      <w:szCs w:val="21"/>
                      <w:highlight w:val="none"/>
                      <w:vertAlign w:val="superscript"/>
                    </w:rPr>
                    <w:t>2</w:t>
                  </w:r>
                  <w:r>
                    <w:rPr>
                      <w:rFonts w:hint="eastAsia" w:ascii="Times New Roman" w:hAnsi="Times New Roman"/>
                      <w:color w:val="auto"/>
                      <w:sz w:val="21"/>
                      <w:szCs w:val="21"/>
                      <w:highlight w:val="none"/>
                    </w:rPr>
                    <w:t>。</w:t>
                  </w:r>
                </w:p>
                <w:p w14:paraId="2EE5FB8B">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重点污染控制区内环境保护策略：加大污染物负荷消减力度，消除工业企业有毒有害物质污染，减少COD、TN、TP等主要污染物排放量；加强环境管理，提高环境监测能力和管理水平。</w:t>
                  </w:r>
                </w:p>
              </w:tc>
              <w:tc>
                <w:tcPr>
                  <w:tcW w:w="2364" w:type="dxa"/>
                  <w:vAlign w:val="center"/>
                </w:tcPr>
                <w:p w14:paraId="2C13794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color w:val="auto"/>
                      <w:sz w:val="21"/>
                      <w:szCs w:val="21"/>
                      <w:highlight w:val="none"/>
                      <w:lang w:val="en-US" w:eastAsia="zh-CN"/>
                    </w:rPr>
                    <w:t>满</w:t>
                  </w:r>
                  <w:r>
                    <w:rPr>
                      <w:rFonts w:hint="eastAsia" w:ascii="Times New Roman" w:hAnsi="Times New Roman"/>
                      <w:color w:val="auto"/>
                      <w:sz w:val="21"/>
                      <w:szCs w:val="21"/>
                      <w:highlight w:val="none"/>
                    </w:rPr>
                    <w:t>足重点污染控制区内环境保护策略。</w:t>
                  </w:r>
                </w:p>
              </w:tc>
              <w:tc>
                <w:tcPr>
                  <w:tcW w:w="682" w:type="dxa"/>
                  <w:vAlign w:val="center"/>
                </w:tcPr>
                <w:p w14:paraId="055F4EE6">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22A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Merge w:val="continue"/>
                  <w:vAlign w:val="center"/>
                </w:tcPr>
                <w:p w14:paraId="4091A4BB">
                  <w:pPr>
                    <w:spacing w:line="240" w:lineRule="auto"/>
                    <w:ind w:firstLine="0" w:firstLineChars="0"/>
                    <w:jc w:val="center"/>
                    <w:rPr>
                      <w:rFonts w:hint="eastAsia" w:ascii="Times New Roman" w:hAnsi="Times New Roman"/>
                      <w:color w:val="auto"/>
                      <w:sz w:val="21"/>
                      <w:szCs w:val="21"/>
                      <w:highlight w:val="none"/>
                    </w:rPr>
                  </w:pPr>
                </w:p>
              </w:tc>
              <w:tc>
                <w:tcPr>
                  <w:tcW w:w="3315" w:type="dxa"/>
                  <w:vAlign w:val="center"/>
                </w:tcPr>
                <w:p w14:paraId="1913211A">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根据《牛栏江流域（云南部分）水环境保护规划（2009～2030）》中的工业园区污染源控制规划，开展杨林工业园区、寻甸特色工业园区和马龙工业园区的综合环节执法检查，清查园区内现有工业企业，对违反国家法律法规、产业政策及入园规定的企业实行关停或限期整改，建设完善污水处理设施、有毒有害固体废弃物处置设施。</w:t>
                  </w:r>
                </w:p>
              </w:tc>
              <w:tc>
                <w:tcPr>
                  <w:tcW w:w="2364" w:type="dxa"/>
                  <w:vAlign w:val="center"/>
                </w:tcPr>
                <w:p w14:paraId="655E7EFC">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项目内设置垃圾和危废收集设施，可保证固废合理收集处置，一般生活固废由环卫部门进行处置，危废收集后委托有资质单位处理。</w:t>
                  </w:r>
                </w:p>
              </w:tc>
              <w:tc>
                <w:tcPr>
                  <w:tcW w:w="682" w:type="dxa"/>
                  <w:vAlign w:val="center"/>
                </w:tcPr>
                <w:p w14:paraId="341000F3">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符合</w:t>
                  </w:r>
                </w:p>
              </w:tc>
            </w:tr>
          </w:tbl>
          <w:p w14:paraId="606B0C7E">
            <w:pPr>
              <w:ind w:firstLine="480"/>
              <w:rPr>
                <w:rFonts w:ascii="Times New Roman" w:hAnsi="Times New Roman"/>
                <w:color w:val="auto"/>
                <w:highlight w:val="none"/>
              </w:rPr>
            </w:pPr>
            <w:r>
              <w:rPr>
                <w:rFonts w:hint="eastAsia" w:ascii="Times New Roman" w:hAnsi="Times New Roman"/>
                <w:color w:val="auto"/>
                <w:highlight w:val="none"/>
              </w:rPr>
              <w:t>综上所述，项目选址符合《牛栏江流域（云南部分）水环境保护规划（2009-2030）》对重点污染控制区的水环境保护要求。</w:t>
            </w:r>
          </w:p>
          <w:p w14:paraId="0C728F1C">
            <w:pPr>
              <w:numPr>
                <w:ilvl w:val="0"/>
                <w:numId w:val="0"/>
              </w:numPr>
              <w:rPr>
                <w:rFonts w:ascii="Times New Roman" w:hAnsi="Times New Roman"/>
                <w:b/>
                <w:bCs/>
                <w:color w:val="auto"/>
                <w:highlight w:val="none"/>
              </w:rPr>
            </w:pPr>
            <w:r>
              <w:rPr>
                <w:rFonts w:hint="eastAsia"/>
                <w:b/>
                <w:bCs/>
                <w:color w:val="auto"/>
                <w:highlight w:val="none"/>
                <w:lang w:val="en-US" w:eastAsia="zh-CN"/>
              </w:rPr>
              <w:t>5、</w:t>
            </w:r>
            <w:r>
              <w:rPr>
                <w:rFonts w:hint="eastAsia" w:ascii="Times New Roman" w:hAnsi="Times New Roman"/>
                <w:b/>
                <w:bCs/>
                <w:color w:val="auto"/>
                <w:highlight w:val="none"/>
              </w:rPr>
              <w:t>与《牛栏江流域（昆明段）水环境保护规划（2011-2030）》中的污染控制区相符性分析</w:t>
            </w:r>
          </w:p>
          <w:p w14:paraId="5FFAE6E2">
            <w:pPr>
              <w:ind w:firstLine="480"/>
              <w:rPr>
                <w:rFonts w:ascii="Times New Roman" w:hAnsi="Times New Roman"/>
                <w:color w:val="auto"/>
                <w:highlight w:val="none"/>
              </w:rPr>
            </w:pPr>
            <w:r>
              <w:rPr>
                <w:rFonts w:hint="eastAsia" w:ascii="Times New Roman" w:hAnsi="Times New Roman"/>
                <w:color w:val="auto"/>
                <w:highlight w:val="none"/>
              </w:rPr>
              <w:t>本项目位于云南省昆明市寻甸县特色产业园区</w:t>
            </w:r>
            <w:r>
              <w:rPr>
                <w:rFonts w:hint="eastAsia"/>
                <w:color w:val="auto"/>
                <w:highlight w:val="none"/>
                <w:lang w:val="en-US" w:eastAsia="zh-CN"/>
              </w:rPr>
              <w:t>金所</w:t>
            </w:r>
            <w:r>
              <w:rPr>
                <w:rFonts w:hint="eastAsia" w:ascii="Times New Roman" w:hAnsi="Times New Roman"/>
                <w:color w:val="auto"/>
                <w:highlight w:val="none"/>
              </w:rPr>
              <w:t>片区，根据《牛栏江水环境保护规划（2011-2030）》规划可知，本项目属于污染控制区。项目选址与《牛栏江（昆明段）水环境保护规划（2011-2030）》中对污染控制区的水环境保护策略符合性分析详见</w:t>
            </w:r>
            <w:r>
              <w:rPr>
                <w:rFonts w:hint="eastAsia"/>
                <w:color w:val="auto"/>
                <w:highlight w:val="none"/>
                <w:lang w:val="en-US" w:eastAsia="zh-CN"/>
              </w:rPr>
              <w:t>下表</w:t>
            </w:r>
            <w:r>
              <w:rPr>
                <w:rFonts w:hint="eastAsia" w:ascii="Times New Roman" w:hAnsi="Times New Roman"/>
                <w:color w:val="auto"/>
                <w:highlight w:val="none"/>
              </w:rPr>
              <w:t>。</w:t>
            </w:r>
          </w:p>
          <w:p w14:paraId="2B337593">
            <w:pPr>
              <w:spacing w:line="240" w:lineRule="auto"/>
              <w:ind w:firstLine="422"/>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8</w:t>
            </w:r>
            <w:r>
              <w:rPr>
                <w:rFonts w:hint="eastAsia" w:ascii="Times New Roman" w:hAnsi="Times New Roman"/>
                <w:b/>
                <w:bCs/>
                <w:color w:val="auto"/>
                <w:sz w:val="21"/>
                <w:szCs w:val="21"/>
                <w:highlight w:val="none"/>
              </w:rPr>
              <w:t xml:space="preserve">  《牛栏江（昆明段）水环境保护规划（2011-2030）》污染控制区符合性分析</w:t>
            </w:r>
          </w:p>
          <w:tbl>
            <w:tblPr>
              <w:tblStyle w:val="3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507"/>
              <w:gridCol w:w="2903"/>
              <w:gridCol w:w="863"/>
            </w:tblGrid>
            <w:tr w14:paraId="5FB4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5FA3C3E0">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序号</w:t>
                  </w:r>
                </w:p>
              </w:tc>
              <w:tc>
                <w:tcPr>
                  <w:tcW w:w="2507" w:type="dxa"/>
                  <w:vAlign w:val="center"/>
                </w:tcPr>
                <w:p w14:paraId="38422E77">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《牛栏江流域（昆明段）水环境保护规划》条件</w:t>
                  </w:r>
                </w:p>
              </w:tc>
              <w:tc>
                <w:tcPr>
                  <w:tcW w:w="2903" w:type="dxa"/>
                  <w:vAlign w:val="center"/>
                </w:tcPr>
                <w:p w14:paraId="39D2BFFE">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本项目实际情况</w:t>
                  </w:r>
                </w:p>
              </w:tc>
              <w:tc>
                <w:tcPr>
                  <w:tcW w:w="863" w:type="dxa"/>
                  <w:vAlign w:val="center"/>
                </w:tcPr>
                <w:p w14:paraId="39F5698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符合性</w:t>
                  </w:r>
                </w:p>
              </w:tc>
            </w:tr>
            <w:tr w14:paraId="5621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5152C94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2507" w:type="dxa"/>
                  <w:vAlign w:val="center"/>
                </w:tcPr>
                <w:p w14:paraId="65994CE6">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该区域内，新改扩建项目不得新增污染排放量；农村生活污水全处理；控制养殖规模，不得新建或扩大养殖小区或规模化养殖场，实施畜禽养殖污染重点控制。</w:t>
                  </w:r>
                </w:p>
              </w:tc>
              <w:tc>
                <w:tcPr>
                  <w:tcW w:w="2903" w:type="dxa"/>
                  <w:vAlign w:val="center"/>
                </w:tcPr>
                <w:p w14:paraId="4775590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污水不新增污染物排放量。</w:t>
                  </w:r>
                </w:p>
              </w:tc>
              <w:tc>
                <w:tcPr>
                  <w:tcW w:w="863" w:type="dxa"/>
                  <w:vAlign w:val="center"/>
                </w:tcPr>
                <w:p w14:paraId="5E7C9035">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7B2F6412">
            <w:pPr>
              <w:ind w:firstLine="480"/>
              <w:rPr>
                <w:rFonts w:ascii="Times New Roman" w:hAnsi="Times New Roman"/>
                <w:color w:val="auto"/>
                <w:highlight w:val="none"/>
              </w:rPr>
            </w:pPr>
            <w:r>
              <w:rPr>
                <w:rFonts w:hint="eastAsia" w:ascii="Times New Roman" w:hAnsi="Times New Roman"/>
                <w:color w:val="auto"/>
                <w:highlight w:val="none"/>
              </w:rPr>
              <w:t>综上所述，项目选址符合《牛栏江流域（昆明段）水环境保护规划（2011</w:t>
            </w:r>
            <w:r>
              <w:rPr>
                <w:rFonts w:ascii="Times New Roman" w:hAnsi="Times New Roman"/>
                <w:color w:val="auto"/>
                <w:highlight w:val="none"/>
              </w:rPr>
              <w:t>~2030</w:t>
            </w:r>
            <w:r>
              <w:rPr>
                <w:rFonts w:hint="eastAsia" w:ascii="Times New Roman" w:hAnsi="Times New Roman"/>
                <w:color w:val="auto"/>
                <w:highlight w:val="none"/>
              </w:rPr>
              <w:t>）》对污染控制区的水环境保护要求。</w:t>
            </w:r>
          </w:p>
          <w:p w14:paraId="64F9585E">
            <w:pPr>
              <w:numPr>
                <w:ilvl w:val="0"/>
                <w:numId w:val="0"/>
              </w:numPr>
              <w:rPr>
                <w:rFonts w:ascii="Times New Roman" w:hAnsi="Times New Roman"/>
                <w:b/>
                <w:bCs/>
                <w:color w:val="auto"/>
                <w:highlight w:val="none"/>
              </w:rPr>
            </w:pPr>
            <w:r>
              <w:rPr>
                <w:rFonts w:hint="eastAsia"/>
                <w:b/>
                <w:bCs/>
                <w:color w:val="auto"/>
                <w:highlight w:val="none"/>
                <w:lang w:val="en-US" w:eastAsia="zh-CN"/>
              </w:rPr>
              <w:t>6、</w:t>
            </w:r>
            <w:r>
              <w:rPr>
                <w:rFonts w:ascii="Times New Roman" w:hAnsi="Times New Roman"/>
                <w:b/>
                <w:bCs/>
                <w:color w:val="auto"/>
                <w:highlight w:val="none"/>
              </w:rPr>
              <w:t>与《牛栏江流域（寻甸段）水环境保护规划（2011~2030）》符合性分析</w:t>
            </w:r>
          </w:p>
          <w:p w14:paraId="05CB31C0">
            <w:pPr>
              <w:ind w:firstLine="480"/>
              <w:rPr>
                <w:rFonts w:ascii="Times New Roman" w:hAnsi="Times New Roman"/>
                <w:color w:val="auto"/>
                <w:highlight w:val="none"/>
                <w:lang w:val="zh-CN"/>
              </w:rPr>
            </w:pPr>
            <w:r>
              <w:rPr>
                <w:rFonts w:ascii="Times New Roman" w:hAnsi="Times New Roman"/>
                <w:color w:val="auto"/>
                <w:highlight w:val="none"/>
              </w:rPr>
              <w:t>根据《牛栏江流域（寻甸段）水环境保护规划（2011~2030）》可知，牛栏江流域（寻甸段）水环境分区范围涉及规划区干流及主要支流（前进河、羊街河、马龙河、尹武河等）河流径流区。规划区分为3个保护区：水源保护核心区、重点污染控制区、重点水源涵养区</w:t>
            </w:r>
            <w:r>
              <w:rPr>
                <w:rFonts w:hint="eastAsia"/>
                <w:color w:val="auto"/>
                <w:highlight w:val="none"/>
                <w:lang w:eastAsia="zh-CN"/>
              </w:rPr>
              <w:t>。</w:t>
            </w:r>
            <w:r>
              <w:rPr>
                <w:rFonts w:hint="eastAsia" w:ascii="Times New Roman" w:hAnsi="Times New Roman"/>
                <w:color w:val="auto"/>
                <w:highlight w:val="none"/>
              </w:rPr>
              <w:t>建设项目位于昆明市寻甸县</w:t>
            </w:r>
            <w:r>
              <w:rPr>
                <w:rFonts w:hint="eastAsia"/>
                <w:color w:val="auto"/>
                <w:highlight w:val="none"/>
                <w:lang w:val="en-US" w:eastAsia="zh-CN"/>
              </w:rPr>
              <w:t>特色</w:t>
            </w:r>
            <w:r>
              <w:rPr>
                <w:rFonts w:hint="eastAsia" w:ascii="Times New Roman" w:hAnsi="Times New Roman"/>
                <w:color w:val="auto"/>
                <w:highlight w:val="none"/>
              </w:rPr>
              <w:t>产业园区</w:t>
            </w:r>
            <w:r>
              <w:rPr>
                <w:rFonts w:hint="eastAsia"/>
                <w:color w:val="auto"/>
                <w:highlight w:val="none"/>
                <w:lang w:val="en-US" w:eastAsia="zh-CN"/>
              </w:rPr>
              <w:t>金所片区</w:t>
            </w:r>
            <w:r>
              <w:rPr>
                <w:rFonts w:hint="eastAsia" w:ascii="Times New Roman" w:hAnsi="Times New Roman"/>
                <w:color w:val="auto"/>
                <w:highlight w:val="none"/>
              </w:rPr>
              <w:t>内，属于重点污染控制区。</w:t>
            </w:r>
            <w:r>
              <w:rPr>
                <w:rFonts w:ascii="Times New Roman" w:hAnsi="Times New Roman"/>
                <w:color w:val="auto"/>
                <w:highlight w:val="none"/>
              </w:rPr>
              <w:t>项目与《牛栏江流域（寻甸段）水环境保护规划》相符性分析见下表</w:t>
            </w:r>
            <w:r>
              <w:rPr>
                <w:rFonts w:ascii="Times New Roman" w:hAnsi="Times New Roman"/>
                <w:color w:val="auto"/>
                <w:highlight w:val="none"/>
                <w:lang w:val="zh-CN"/>
              </w:rPr>
              <w:t>。</w:t>
            </w:r>
          </w:p>
          <w:p w14:paraId="1F012636">
            <w:pPr>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表1-</w:t>
            </w:r>
            <w:r>
              <w:rPr>
                <w:rFonts w:hint="eastAsia"/>
                <w:b/>
                <w:bCs/>
                <w:color w:val="auto"/>
                <w:sz w:val="21"/>
                <w:szCs w:val="21"/>
                <w:highlight w:val="none"/>
                <w:lang w:val="en-US" w:eastAsia="zh-CN"/>
              </w:rPr>
              <w:t>9</w:t>
            </w:r>
            <w:r>
              <w:rPr>
                <w:rFonts w:ascii="Times New Roman" w:hAnsi="Times New Roman"/>
                <w:b/>
                <w:bCs/>
                <w:color w:val="auto"/>
                <w:sz w:val="21"/>
                <w:szCs w:val="21"/>
                <w:highlight w:val="none"/>
              </w:rPr>
              <w:t xml:space="preserve"> 项目选址与《牛栏江流域（寻甸段）水环境保护规划》对照分析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548"/>
              <w:gridCol w:w="3075"/>
              <w:gridCol w:w="802"/>
            </w:tblGrid>
            <w:tr w14:paraId="10F4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Align w:val="center"/>
                </w:tcPr>
                <w:p w14:paraId="07513869">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848" w:type="pct"/>
                  <w:vAlign w:val="center"/>
                </w:tcPr>
                <w:p w14:paraId="7A243407">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《牛栏江流域（寻甸段）水环境保护规划》</w:t>
                  </w:r>
                </w:p>
              </w:tc>
              <w:tc>
                <w:tcPr>
                  <w:tcW w:w="2230" w:type="pct"/>
                  <w:vAlign w:val="center"/>
                </w:tcPr>
                <w:p w14:paraId="1891C3B4">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26F6219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4FF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38" w:type="pct"/>
                  <w:tcBorders>
                    <w:bottom w:val="single" w:color="auto" w:sz="4" w:space="0"/>
                  </w:tcBorders>
                  <w:vAlign w:val="center"/>
                </w:tcPr>
                <w:p w14:paraId="52A62C5A">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848" w:type="pct"/>
                  <w:tcBorders>
                    <w:bottom w:val="single" w:color="auto" w:sz="4" w:space="0"/>
                  </w:tcBorders>
                  <w:vAlign w:val="center"/>
                </w:tcPr>
                <w:p w14:paraId="169D8268">
                  <w:pPr>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230" w:type="pct"/>
                  <w:tcBorders>
                    <w:bottom w:val="single" w:color="auto" w:sz="4" w:space="0"/>
                  </w:tcBorders>
                  <w:vAlign w:val="center"/>
                </w:tcPr>
                <w:p w14:paraId="15888100">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w:t>
                  </w:r>
                </w:p>
              </w:tc>
              <w:tc>
                <w:tcPr>
                  <w:tcW w:w="581" w:type="pct"/>
                  <w:vMerge w:val="restart"/>
                  <w:tcBorders>
                    <w:bottom w:val="single" w:color="auto" w:sz="4" w:space="0"/>
                  </w:tcBorders>
                  <w:vAlign w:val="center"/>
                </w:tcPr>
                <w:p w14:paraId="4DB88C43">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63FD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38" w:type="pct"/>
                  <w:vAlign w:val="center"/>
                </w:tcPr>
                <w:p w14:paraId="50A5AC1D">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848" w:type="pct"/>
                  <w:vAlign w:val="center"/>
                </w:tcPr>
                <w:p w14:paraId="74889523">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建设再生水回用系统、废水事故处理系统、固体废弃物处置设施、园区生态改造等工程体系，实现工业园区废水的循环利用，固体废物重复利用和安全处置。建设再生水回用系统，污染控制区内不得建设不符合国家产业政策的工业项目及高污染工业项目：新建工业项目废水不得排放有毒有害物质，改扩建项目不得新增COD、TN、TP排放量；新建、改建、扩建工业项目应采用先进的生产工艺和污染防治技术，其清洁生产水平达到国家清洁生产标准中的国内先进水平。</w:t>
                  </w:r>
                </w:p>
              </w:tc>
              <w:tc>
                <w:tcPr>
                  <w:tcW w:w="2230" w:type="pct"/>
                  <w:vAlign w:val="center"/>
                </w:tcPr>
                <w:p w14:paraId="3D8014A4">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。项目不属于高污染工业项目，项目不外排废水，不排放有毒有害物质。</w:t>
                  </w:r>
                </w:p>
              </w:tc>
              <w:tc>
                <w:tcPr>
                  <w:tcW w:w="581" w:type="pct"/>
                  <w:vMerge w:val="continue"/>
                  <w:vAlign w:val="center"/>
                </w:tcPr>
                <w:p w14:paraId="6DFFF4B8">
                  <w:pPr>
                    <w:spacing w:line="240" w:lineRule="auto"/>
                    <w:ind w:firstLine="0" w:firstLineChars="0"/>
                    <w:jc w:val="center"/>
                    <w:rPr>
                      <w:rFonts w:ascii="Times New Roman" w:hAnsi="Times New Roman"/>
                      <w:color w:val="auto"/>
                      <w:sz w:val="21"/>
                      <w:szCs w:val="21"/>
                      <w:highlight w:val="none"/>
                    </w:rPr>
                  </w:pPr>
                </w:p>
              </w:tc>
            </w:tr>
          </w:tbl>
          <w:p w14:paraId="1950A2CF">
            <w:pPr>
              <w:ind w:firstLine="480"/>
              <w:jc w:val="left"/>
              <w:rPr>
                <w:rFonts w:ascii="Times New Roman" w:hAnsi="Times New Roman"/>
                <w:b/>
                <w:color w:val="auto"/>
                <w:highlight w:val="none"/>
              </w:rPr>
            </w:pPr>
            <w:r>
              <w:rPr>
                <w:rFonts w:ascii="Times New Roman" w:hAnsi="Times New Roman"/>
                <w:color w:val="auto"/>
                <w:highlight w:val="none"/>
              </w:rPr>
              <w:t>综上所述，项目的建设符合</w:t>
            </w:r>
            <w:r>
              <w:rPr>
                <w:rFonts w:ascii="Times New Roman" w:hAnsi="Times New Roman"/>
                <w:color w:val="auto"/>
                <w:highlight w:val="none"/>
                <w:lang w:val="zh-CN"/>
              </w:rPr>
              <w:t>《牛栏江流域（寻甸段）水环境保护规划（2011~2030）》</w:t>
            </w:r>
            <w:r>
              <w:rPr>
                <w:rFonts w:hint="eastAsia" w:ascii="Times New Roman" w:hAnsi="Times New Roman"/>
                <w:color w:val="auto"/>
                <w:highlight w:val="none"/>
                <w:lang w:val="zh-CN"/>
              </w:rPr>
              <w:t>。</w:t>
            </w:r>
          </w:p>
          <w:p w14:paraId="060D486F">
            <w:pPr>
              <w:numPr>
                <w:ilvl w:val="0"/>
                <w:numId w:val="0"/>
              </w:numPr>
              <w:rPr>
                <w:rFonts w:ascii="Times New Roman" w:hAnsi="Times New Roman"/>
                <w:b/>
                <w:bCs/>
                <w:color w:val="auto"/>
                <w:highlight w:val="none"/>
              </w:rPr>
            </w:pPr>
            <w:r>
              <w:rPr>
                <w:rFonts w:hint="eastAsia"/>
                <w:b/>
                <w:bCs/>
                <w:color w:val="auto"/>
                <w:highlight w:val="none"/>
                <w:lang w:val="en-US" w:eastAsia="zh-CN"/>
              </w:rPr>
              <w:t>7、</w:t>
            </w:r>
            <w:r>
              <w:rPr>
                <w:rFonts w:hint="eastAsia" w:ascii="Times New Roman" w:hAnsi="Times New Roman"/>
                <w:b/>
                <w:bCs/>
                <w:color w:val="auto"/>
                <w:highlight w:val="none"/>
              </w:rPr>
              <w:t>与《</w:t>
            </w:r>
            <w:bookmarkStart w:id="5" w:name="OLE_LINK1"/>
            <w:r>
              <w:rPr>
                <w:rFonts w:hint="eastAsia" w:ascii="Times New Roman" w:hAnsi="Times New Roman"/>
                <w:b/>
                <w:bCs/>
                <w:color w:val="auto"/>
                <w:highlight w:val="none"/>
              </w:rPr>
              <w:t>云南省长江经济带发展负面清单指南实施细则（试行，2022年版）》</w:t>
            </w:r>
            <w:bookmarkEnd w:id="5"/>
            <w:r>
              <w:rPr>
                <w:rFonts w:hint="eastAsia" w:ascii="Times New Roman" w:hAnsi="Times New Roman"/>
                <w:b/>
                <w:bCs/>
                <w:color w:val="auto"/>
                <w:highlight w:val="none"/>
              </w:rPr>
              <w:t>的符合性分析</w:t>
            </w:r>
          </w:p>
          <w:p w14:paraId="29ACD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10</w:t>
            </w:r>
            <w:r>
              <w:rPr>
                <w:rFonts w:hint="eastAsia" w:ascii="Times New Roman" w:hAnsi="Times New Roman"/>
                <w:b/>
                <w:bCs/>
                <w:color w:val="auto"/>
                <w:sz w:val="21"/>
                <w:szCs w:val="21"/>
                <w:highlight w:val="none"/>
              </w:rPr>
              <w:t xml:space="preserve">  项目与《云南省长江经济带发展负面清单指南实施细则（试行，2022年版）》符合性分析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813"/>
              <w:gridCol w:w="1864"/>
              <w:gridCol w:w="802"/>
            </w:tblGrid>
            <w:tr w14:paraId="2881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Align w:val="center"/>
                </w:tcPr>
                <w:p w14:paraId="35759731">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766" w:type="pct"/>
                  <w:vAlign w:val="center"/>
                </w:tcPr>
                <w:p w14:paraId="1D158A87">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规范要求</w:t>
                  </w:r>
                </w:p>
              </w:tc>
              <w:tc>
                <w:tcPr>
                  <w:tcW w:w="1352" w:type="pct"/>
                  <w:vAlign w:val="center"/>
                </w:tcPr>
                <w:p w14:paraId="6364254F">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209FFB07">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2B50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B55DB48">
                  <w:pPr>
                    <w:widowControl/>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1</w:t>
                  </w:r>
                </w:p>
              </w:tc>
              <w:tc>
                <w:tcPr>
                  <w:tcW w:w="2766" w:type="pct"/>
                  <w:vAlign w:val="center"/>
                </w:tcPr>
                <w:p w14:paraId="62A20D25">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52" w:type="pct"/>
                  <w:vAlign w:val="center"/>
                </w:tcPr>
                <w:p w14:paraId="1E470525">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本项目不涉及《长江岸线保护和开发利用总体规划》划定的岸线保护区、《全国重要江河湖泊水功能区划》划定的河段保护区、保留区。本项目不属于旅游项目，不进行开矿、采石、挖沙等活动；本项目</w:t>
                  </w:r>
                  <w:r>
                    <w:rPr>
                      <w:rFonts w:hint="eastAsia"/>
                      <w:color w:val="auto"/>
                      <w:sz w:val="21"/>
                      <w:szCs w:val="21"/>
                      <w:highlight w:val="none"/>
                      <w:lang w:eastAsia="zh-CN"/>
                    </w:rPr>
                    <w:t>不在</w:t>
                  </w:r>
                  <w:r>
                    <w:rPr>
                      <w:rFonts w:hint="eastAsia" w:ascii="Times New Roman" w:hAnsi="Times New Roman"/>
                      <w:color w:val="auto"/>
                      <w:sz w:val="21"/>
                      <w:szCs w:val="21"/>
                      <w:highlight w:val="none"/>
                    </w:rPr>
                    <w:t>自然保护区的核心区、缓冲区和试验区</w:t>
                  </w:r>
                  <w:r>
                    <w:rPr>
                      <w:rFonts w:hint="eastAsia"/>
                      <w:color w:val="auto"/>
                      <w:sz w:val="21"/>
                      <w:szCs w:val="21"/>
                      <w:highlight w:val="none"/>
                      <w:lang w:eastAsia="zh-CN"/>
                    </w:rPr>
                    <w:t>内</w:t>
                  </w:r>
                  <w:r>
                    <w:rPr>
                      <w:rFonts w:hint="eastAsia" w:ascii="Times New Roman" w:hAnsi="Times New Roman"/>
                      <w:color w:val="auto"/>
                      <w:sz w:val="21"/>
                      <w:szCs w:val="21"/>
                      <w:highlight w:val="none"/>
                    </w:rPr>
                    <w:t>。</w:t>
                  </w:r>
                </w:p>
              </w:tc>
              <w:tc>
                <w:tcPr>
                  <w:tcW w:w="581" w:type="pct"/>
                  <w:vAlign w:val="center"/>
                </w:tcPr>
                <w:p w14:paraId="415021F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F4C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1C8574A6">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w:t>
                  </w:r>
                </w:p>
              </w:tc>
              <w:tc>
                <w:tcPr>
                  <w:tcW w:w="2766" w:type="pct"/>
                  <w:vAlign w:val="center"/>
                </w:tcPr>
                <w:p w14:paraId="33DAFFC6">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52" w:type="pct"/>
                  <w:vAlign w:val="center"/>
                </w:tcPr>
                <w:p w14:paraId="31AE75DC">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项目用地不涉及风景名胜区。</w:t>
                  </w:r>
                </w:p>
              </w:tc>
              <w:tc>
                <w:tcPr>
                  <w:tcW w:w="581" w:type="pct"/>
                  <w:vAlign w:val="center"/>
                </w:tcPr>
                <w:p w14:paraId="66C400C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1C2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68522DD">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w:t>
                  </w:r>
                </w:p>
              </w:tc>
              <w:tc>
                <w:tcPr>
                  <w:tcW w:w="2766" w:type="pct"/>
                  <w:vAlign w:val="center"/>
                </w:tcPr>
                <w:p w14:paraId="539DA35E">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52" w:type="pct"/>
                  <w:vAlign w:val="center"/>
                </w:tcPr>
                <w:p w14:paraId="51D69BB6">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本项目不涉及饮用水源一级保护区、饮用水水源二级保护区。</w:t>
                  </w:r>
                </w:p>
              </w:tc>
              <w:tc>
                <w:tcPr>
                  <w:tcW w:w="581" w:type="pct"/>
                  <w:vAlign w:val="center"/>
                </w:tcPr>
                <w:p w14:paraId="7D95F01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5DB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9E2D8A4">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4</w:t>
                  </w:r>
                </w:p>
              </w:tc>
              <w:tc>
                <w:tcPr>
                  <w:tcW w:w="2766" w:type="pct"/>
                  <w:vAlign w:val="center"/>
                </w:tcPr>
                <w:p w14:paraId="30B291A4">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52" w:type="pct"/>
                  <w:vAlign w:val="center"/>
                </w:tcPr>
                <w:p w14:paraId="1C231894">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本项目位于寻甸特色产业工业园区内，不涉及水产种质资源保护区的岸线或河段范围；本项目不涉及国家湿地公园的土地。</w:t>
                  </w:r>
                </w:p>
              </w:tc>
              <w:tc>
                <w:tcPr>
                  <w:tcW w:w="581" w:type="pct"/>
                  <w:vAlign w:val="center"/>
                </w:tcPr>
                <w:p w14:paraId="1F5E10D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004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6C5E925D">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5</w:t>
                  </w:r>
                </w:p>
              </w:tc>
              <w:tc>
                <w:tcPr>
                  <w:tcW w:w="2766" w:type="pct"/>
                  <w:vAlign w:val="center"/>
                </w:tcPr>
                <w:p w14:paraId="6E0F80BD">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352" w:type="pct"/>
                  <w:vAlign w:val="center"/>
                </w:tcPr>
                <w:p w14:paraId="7A570FAD">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项目不属于过江基础设施项目，本项目废水为间接排放，不涉及在金沙江干流、长江一级支流、九大高原湖泊流域新设、改设或扩大排污口。</w:t>
                  </w:r>
                </w:p>
              </w:tc>
              <w:tc>
                <w:tcPr>
                  <w:tcW w:w="581" w:type="pct"/>
                  <w:vAlign w:val="center"/>
                </w:tcPr>
                <w:p w14:paraId="607CD7C7">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2AAD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FC852A9">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w:t>
                  </w:r>
                </w:p>
              </w:tc>
              <w:tc>
                <w:tcPr>
                  <w:tcW w:w="2766" w:type="pct"/>
                  <w:vAlign w:val="center"/>
                </w:tcPr>
                <w:p w14:paraId="7C19A24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52" w:type="pct"/>
                  <w:vAlign w:val="center"/>
                </w:tcPr>
                <w:p w14:paraId="535CCB4E">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本项目所在区域不属于金沙江干流、长江一级支流、水生生物保护区、九大高原湖泊岸线一公里范围。</w:t>
                  </w:r>
                </w:p>
              </w:tc>
              <w:tc>
                <w:tcPr>
                  <w:tcW w:w="581" w:type="pct"/>
                  <w:vAlign w:val="center"/>
                </w:tcPr>
                <w:p w14:paraId="3957A0B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B02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900C733">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7</w:t>
                  </w:r>
                </w:p>
              </w:tc>
              <w:tc>
                <w:tcPr>
                  <w:tcW w:w="2766" w:type="pct"/>
                  <w:vAlign w:val="center"/>
                </w:tcPr>
                <w:p w14:paraId="7450428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禁止在合规园区外新建、扩建钢铁、石化、化工、焦化、建材、有色、制浆造纸行业中的高污染项目。</w:t>
                  </w:r>
                </w:p>
              </w:tc>
              <w:tc>
                <w:tcPr>
                  <w:tcW w:w="1352" w:type="pct"/>
                  <w:vAlign w:val="center"/>
                </w:tcPr>
                <w:p w14:paraId="6487F76D">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本项目建设地址为合规园区。</w:t>
                  </w:r>
                </w:p>
              </w:tc>
              <w:tc>
                <w:tcPr>
                  <w:tcW w:w="581" w:type="pct"/>
                  <w:vAlign w:val="center"/>
                </w:tcPr>
                <w:p w14:paraId="7E706DC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1242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1C96BA6A">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8</w:t>
                  </w:r>
                </w:p>
              </w:tc>
              <w:tc>
                <w:tcPr>
                  <w:tcW w:w="2766" w:type="pct"/>
                  <w:vAlign w:val="center"/>
                </w:tcPr>
                <w:p w14:paraId="33F7B03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禁止新建、扩建不符合国家石化、现代煤化等产业布局规划的项目。禁止列入《云南省城镇人口密集区危险化学品生产企业搬迁改造名单》的搬迁改造企业在原址新建、扩建危险化学品生产项目。</w:t>
                  </w:r>
                </w:p>
              </w:tc>
              <w:tc>
                <w:tcPr>
                  <w:tcW w:w="1352" w:type="pct"/>
                  <w:vAlign w:val="center"/>
                </w:tcPr>
                <w:p w14:paraId="18283B72">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本项目不属于石化、现代煤化工等产业布局规划项目；本项目不属于危险化学品生产项目。</w:t>
                  </w:r>
                </w:p>
              </w:tc>
              <w:tc>
                <w:tcPr>
                  <w:tcW w:w="581" w:type="pct"/>
                  <w:vAlign w:val="center"/>
                </w:tcPr>
                <w:p w14:paraId="218354C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88A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C9D951D">
                  <w:pPr>
                    <w:widowControl/>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9</w:t>
                  </w:r>
                </w:p>
              </w:tc>
              <w:tc>
                <w:tcPr>
                  <w:tcW w:w="2766" w:type="pct"/>
                  <w:vAlign w:val="center"/>
                </w:tcPr>
                <w:p w14:paraId="6C346857">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禁止新建、扩建法律法规和相关政策</w:t>
                  </w:r>
                  <w:r>
                    <w:rPr>
                      <w:rFonts w:hint="eastAsia"/>
                      <w:color w:val="auto"/>
                      <w:sz w:val="21"/>
                      <w:szCs w:val="21"/>
                      <w:highlight w:val="none"/>
                      <w:lang w:eastAsia="zh-CN"/>
                    </w:rPr>
                    <w:t>明</w:t>
                  </w:r>
                  <w:r>
                    <w:rPr>
                      <w:rFonts w:hint="eastAsia" w:ascii="Times New Roman" w:hAnsi="Times New Roman"/>
                      <w:color w:val="auto"/>
                      <w:sz w:val="21"/>
                      <w:szCs w:val="21"/>
                      <w:highlight w:val="none"/>
                    </w:rPr>
                    <w:t>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352" w:type="pct"/>
                  <w:vAlign w:val="center"/>
                </w:tcPr>
                <w:p w14:paraId="6E57763A">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581" w:type="pct"/>
                  <w:vAlign w:val="center"/>
                </w:tcPr>
                <w:p w14:paraId="679BCAD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06A6CD02">
            <w:pPr>
              <w:ind w:firstLine="480"/>
              <w:jc w:val="left"/>
              <w:rPr>
                <w:rFonts w:hint="eastAsia" w:ascii="Times New Roman" w:hAnsi="Times New Roman"/>
                <w:color w:val="auto"/>
                <w:highlight w:val="none"/>
              </w:rPr>
            </w:pPr>
            <w:r>
              <w:rPr>
                <w:rFonts w:hint="eastAsia" w:ascii="Times New Roman" w:hAnsi="Times New Roman"/>
                <w:color w:val="auto"/>
                <w:highlight w:val="none"/>
              </w:rPr>
              <w:t>综上所述，本项目符合《云南省长江经济带发展负面清单指南实施细则（试行，2022年版）》中相应要求。</w:t>
            </w:r>
          </w:p>
          <w:p w14:paraId="6273FCEA">
            <w:pPr>
              <w:autoSpaceDE/>
              <w:autoSpaceDN/>
              <w:spacing w:line="360" w:lineRule="auto"/>
              <w:rPr>
                <w:rFonts w:hint="eastAsia" w:ascii="Times New Roman" w:hAnsi="Times New Roman"/>
                <w:b/>
                <w:color w:val="auto"/>
                <w:kern w:val="0"/>
                <w:sz w:val="24"/>
                <w:lang w:val="en-US" w:eastAsia="zh-CN"/>
              </w:rPr>
            </w:pPr>
            <w:r>
              <w:rPr>
                <w:rFonts w:hint="eastAsia" w:ascii="Times New Roman" w:hAnsi="Times New Roman"/>
                <w:b/>
                <w:color w:val="auto"/>
                <w:kern w:val="0"/>
                <w:sz w:val="24"/>
                <w:lang w:val="en-US" w:eastAsia="zh-CN"/>
              </w:rPr>
              <w:t>8、与《挥发性有机物治理突出问题排查整治工作要求》符合性分析</w:t>
            </w:r>
          </w:p>
          <w:p w14:paraId="0E588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color w:val="auto"/>
                <w:kern w:val="0"/>
                <w:sz w:val="21"/>
                <w:szCs w:val="21"/>
                <w:lang w:val="en-US" w:eastAsia="zh-CN"/>
              </w:rPr>
            </w:pPr>
            <w:r>
              <w:rPr>
                <w:rFonts w:hint="eastAsia" w:ascii="Times New Roman" w:hAnsi="Times New Roman"/>
                <w:b/>
                <w:color w:val="auto"/>
                <w:kern w:val="0"/>
                <w:sz w:val="21"/>
                <w:szCs w:val="21"/>
                <w:lang w:val="en-US" w:eastAsia="zh-CN"/>
              </w:rPr>
              <w:t>表1-1项目与《挥发性有机物治理突出问题排查整治工作要求》符合性分析</w:t>
            </w:r>
          </w:p>
          <w:tbl>
            <w:tblPr>
              <w:tblStyle w:val="29"/>
              <w:tblW w:w="6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4140"/>
              <w:gridCol w:w="1691"/>
              <w:gridCol w:w="783"/>
            </w:tblGrid>
            <w:tr w14:paraId="2315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671AA0">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eastAsia="宋体"/>
                      <w:b/>
                      <w:bCs/>
                      <w:color w:val="auto"/>
                      <w:sz w:val="21"/>
                      <w:szCs w:val="21"/>
                      <w:lang w:eastAsia="zh-CN"/>
                    </w:rPr>
                  </w:pPr>
                  <w:r>
                    <w:rPr>
                      <w:rFonts w:hint="eastAsia" w:ascii="宋体" w:hAnsi="宋体" w:cs="宋体"/>
                      <w:b/>
                      <w:bCs/>
                      <w:color w:val="auto"/>
                      <w:sz w:val="21"/>
                      <w:szCs w:val="21"/>
                      <w:lang w:val="en-US" w:eastAsia="zh-CN"/>
                    </w:rPr>
                    <w:t>序号</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8FE4C3">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《挥发性有机物治理突出问题排查整治工作要求》</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CE312">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本项目情况</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03D7F">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符合性</w:t>
                  </w:r>
                </w:p>
              </w:tc>
            </w:tr>
            <w:tr w14:paraId="6902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863222">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1</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94B7E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一、挥发性有机液体储罐：治理要求。企业应按照标准要求，根据储存挥发性有机液体的真实蒸气压、储罐容积等进行储罐和浮盘边缘密封方式选型。鼓励使用低泄漏的储罐呼吸阀、紧急泄压阀；固定顶罐或建设有机废气治理设施的内浮顶罐宜配备压力监测设备，罐内压力低于50%设计开启压力时，呼吸阀、紧急泄压阀泄漏检测值不宜超过2000μmol/mol。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DB99F">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eastAsia="宋体"/>
                      <w:color w:val="auto"/>
                      <w:sz w:val="21"/>
                      <w:szCs w:val="21"/>
                      <w:lang w:eastAsia="zh-CN"/>
                    </w:rPr>
                  </w:pPr>
                  <w:r>
                    <w:rPr>
                      <w:rFonts w:hint="eastAsia"/>
                      <w:color w:val="auto"/>
                      <w:sz w:val="21"/>
                      <w:szCs w:val="21"/>
                      <w:lang w:val="en-US" w:eastAsia="zh-CN"/>
                    </w:rPr>
                    <w:t>本项目在危废暂存间内设置2个1.5t、1个1t的柴油储罐，用于存放罐车内收集的柴油残液，柴油挥发性很弱，有机废气产生量极少，且储罐为密封式，柴油为密闭储存，对环境影响较小。</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67DAA6">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default"/>
                      <w:color w:val="auto"/>
                      <w:sz w:val="21"/>
                      <w:szCs w:val="21"/>
                    </w:rPr>
                  </w:pPr>
                  <w:r>
                    <w:rPr>
                      <w:rFonts w:hint="eastAsia"/>
                      <w:color w:val="auto"/>
                      <w:sz w:val="21"/>
                      <w:szCs w:val="21"/>
                    </w:rPr>
                    <w:t>符合</w:t>
                  </w:r>
                </w:p>
              </w:tc>
            </w:tr>
            <w:tr w14:paraId="3351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C671B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BF0401">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二、挥发性有机液体装卸：治理要求。汽车罐车按照标准采用适宜的装载方式，推广采用密封式快速接头等。</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AF432B">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eastAsia="宋体"/>
                      <w:color w:val="auto"/>
                      <w:sz w:val="21"/>
                      <w:szCs w:val="21"/>
                      <w:lang w:val="en-US" w:eastAsia="zh-CN"/>
                    </w:rPr>
                  </w:pPr>
                  <w:r>
                    <w:rPr>
                      <w:rFonts w:hint="eastAsia"/>
                      <w:color w:val="auto"/>
                      <w:sz w:val="21"/>
                      <w:szCs w:val="21"/>
                      <w:lang w:val="en-US" w:eastAsia="zh-CN"/>
                    </w:rPr>
                    <w:t>本项目主要对柴油罐车进行内部清洗，入场车辆均为空载，仅会残留极少量危化品，柴油挥发性较弱。收集柴油残液时打开罐底卸料口阀门，采用专用软管连接罐体卸料口，残余物料直接通过软管接入收集桶（加盖密封），收集的残液立即进入危废暂存间暂存。</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3EFAF9">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4ABC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024E9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BFF263">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三、敞开液面逸散：治理要求。其他行业根据标准要求检测敞开液面上方VOCs浓度，确定是否采取密闭收集措施。通过采取密闭管道等措施逐步替代地漏、沟、渠、井等敞开式集输方式，减少集水井、含油污水池数量。池体密闭后保持微负压状态，可采用U型管或密封膜现场检测方法排查池体内部负压情况，密封效果差的加快整治。低浓度VOCs废气收集处理，确保达标排放。</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4D68F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本项目</w:t>
                  </w:r>
                  <w:r>
                    <w:rPr>
                      <w:rFonts w:hint="eastAsia"/>
                      <w:color w:val="auto"/>
                      <w:sz w:val="21"/>
                      <w:szCs w:val="21"/>
                      <w:lang w:val="en-US" w:eastAsia="zh-CN"/>
                    </w:rPr>
                    <w:t>生产废水经过管道收集至隔油沉淀池后进入一体化污水处理设施处理，</w:t>
                  </w:r>
                  <w:r>
                    <w:rPr>
                      <w:rFonts w:hint="eastAsia"/>
                      <w:color w:val="auto"/>
                      <w:sz w:val="21"/>
                      <w:szCs w:val="21"/>
                    </w:rPr>
                    <w:t>不涉及敞开液面逸散行为。</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121900">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5C86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6715F1">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4</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EA5E9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四、泄漏检测与修复：治理要求。石油炼制、石油化工、合成树脂行业所有企业都应开展LDAR工作；其他行业企业中载有气态、液态VOCs物料的设备与管线组件密封点大于等于2000个的，应开展LDAR工作。要将VOCs收集管道、治理设施和与储罐连接的密封点纳入检测范围。按照相关技术规范要求，开展泄漏检测、修复、质量控制、记录管理等工作。</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8581E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本项目不属于石油炼制、石油化工、合成树脂行业。</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17651E">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4E3F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3F3C12">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689A44">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五、废气收集设施：治理要求。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含VOCs物料输送原则上采用重力流或泵送方式；有机液体进料鼓励采用底部、浸入管给料方式；固体物料投加逐步推进采用密闭式投料装置。使用VOCs质量占比大于等于10%的涂料、油墨、胶粘剂、稀释剂、清洗剂等物料存储、调配、转移、输送等环节应密闭。</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8576F4">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本项目年清洗柴油罐车900辆，罐车清洗方式为高压水洗、蒸汽清洗，需蒸汽清洗的车辆占30%，其余70%的车辆采用高压水洗。在抽排残液和蒸汽清洗时会生产少量挥发性有机废气，非甲烷总烃产生量为0.324t/a，速率为0.135kg/h，非甲烷总烃呈无组织排放。</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9B9B5A">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730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92EFD7">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72F3A6">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七、有机废气治理设施：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加强运行维护管理，做到治理设施较生产设备“先启后停”，在治理设施达到正常运行条件后方可启动生产设备，在生产设备停止、残留VOCs废气收集处理完毕后，方可停运治理设施；及时清理、更换吸附剂等治理设施耗材，确保设施能够稳定高效运行；做好生产设备和治理设施启停机时间、检维修情况、治理设施耗材维护更换、处置情况等台账记录；对于VOCs治理设施产生的废吸附剂等，应及时清运，属于危险废物的应交有资质的单位处理处置。</w:t>
                  </w:r>
                </w:p>
                <w:p w14:paraId="66B0329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eastAsia"/>
                      <w:color w:val="auto"/>
                      <w:sz w:val="21"/>
                      <w:szCs w:val="21"/>
                      <w:vertAlign w:val="superscript"/>
                    </w:rPr>
                    <w:t>2</w:t>
                  </w:r>
                  <w:r>
                    <w:rPr>
                      <w:rFonts w:hint="eastAsia"/>
                      <w:color w:val="auto"/>
                      <w:sz w:val="21"/>
                      <w:szCs w:val="21"/>
                    </w:rPr>
                    <w:t>/g（BET法）。一次性活性炭吸附工艺宜采用颗粒活性炭作为吸附剂。活性炭、活性炭纤维产品销售时应提供产品质量证明材料。</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09C77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lang w:val="en-US" w:eastAsia="zh-CN"/>
                    </w:rPr>
                    <w:t>非甲烷总烃产生量为0.324t/a，速率为0.135kg/h，非甲烷总烃产生量较小，速率较低。因此，本项目非甲烷总烃呈无组织排放。不涉及废气治理设施。</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2E52D0">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29B6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799F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7</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A7DC5A">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九、非正常工况：治理要求。企业开停工、检维修期间，退料、清洗、吹扫等作业产生的VOCs废气应及时收集处理，确保满足标准要求。在停工检维修阶段，环保装置、气柜、火炬等应在生产装置开车前完成检维修。企业检维修期间，当地生态环境部门可利用走航、网格化监测等方式加强监管，必要时可实施驻厂监管。石化、化工企业应加强可燃性气体的回收，火炬燃烧装置一般只用于应急处置，不作为日常大气污染处理设施；企业应按标准要求在火炬系统安装温度监控、废气流量计、助燃气体流量计等，鼓励安装热值检测仪；火炬排放废气热值达不到要求时应及时补充助燃气体。</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779B19">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lang w:val="en-US" w:eastAsia="zh-CN"/>
                    </w:rPr>
                    <w:t>非甲烷总烃产生量为0.324t/a，速率为0.135kg/h，非甲烷总烃产生量较小，呈无组织排放。</w:t>
                  </w:r>
                  <w:r>
                    <w:rPr>
                      <w:rFonts w:hint="eastAsia"/>
                      <w:color w:val="auto"/>
                      <w:sz w:val="21"/>
                      <w:szCs w:val="21"/>
                    </w:rPr>
                    <w:t>项目安排专人定期维护、保养</w:t>
                  </w:r>
                  <w:r>
                    <w:rPr>
                      <w:rFonts w:hint="eastAsia"/>
                      <w:color w:val="auto"/>
                      <w:sz w:val="21"/>
                      <w:szCs w:val="21"/>
                      <w:lang w:val="en-US" w:eastAsia="zh-CN"/>
                    </w:rPr>
                    <w:t>各设备设施</w:t>
                  </w:r>
                  <w:r>
                    <w:rPr>
                      <w:rFonts w:hint="eastAsia"/>
                      <w:color w:val="auto"/>
                      <w:sz w:val="21"/>
                      <w:szCs w:val="21"/>
                    </w:rPr>
                    <w:t>。</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AD650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09AD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2886AB">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B498C8">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十、产品VOCs含量：治理要求。工业涂装、包装印刷、鞋革箱包制造、竹木制品、电子等重点行业要加大低（无）VOCs含量原辅材料的源头替代力度，加强成熟技术替代品的应用。涂料、油墨、胶粘剂、清洗剂等生产企业在产品出厂时应配有产品标签，注明产品名称、使用领域、施工配比以及VOCs含量等信息，提供载有详细技术信息的产品技术说明书或者产品安全数据表。含VOCs产品使用量大的国企、政府投资建设工程承建单位要自行或委托社会化检测机构进行抽检，鼓励其他企业主动委托社会化检测机构进行抽检。</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2D2D0F">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项目不属工业涂装、包装印刷、鞋革箱包制造、竹木制品、电子等重点行业，不涉及使用含VOCs含量原辅材料。</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9EF5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bl>
          <w:p w14:paraId="3CC07445">
            <w:pPr>
              <w:ind w:firstLine="480"/>
              <w:jc w:val="left"/>
              <w:rPr>
                <w:rFonts w:ascii="Times New Roman" w:hAnsi="Times New Roman"/>
                <w:color w:val="auto"/>
                <w:highlight w:val="none"/>
              </w:rPr>
            </w:pPr>
            <w:r>
              <w:rPr>
                <w:rFonts w:hint="eastAsia" w:ascii="Times New Roman" w:hAnsi="Times New Roman"/>
                <w:color w:val="auto"/>
                <w:highlight w:val="none"/>
              </w:rPr>
              <w:t>综上所述，项目的建设符合</w:t>
            </w:r>
            <w:r>
              <w:rPr>
                <w:rFonts w:hint="eastAsia" w:ascii="Times New Roman" w:hAnsi="Times New Roman"/>
                <w:bCs/>
                <w:color w:val="auto"/>
                <w:highlight w:val="none"/>
              </w:rPr>
              <w:t>《挥发性有机物治理突出问题排查整治工作要求》中相关要求。</w:t>
            </w:r>
          </w:p>
          <w:p w14:paraId="4A13F480">
            <w:pPr>
              <w:bidi w:val="0"/>
              <w:rPr>
                <w:rFonts w:hint="default"/>
                <w:b/>
                <w:bCs/>
                <w:color w:val="auto"/>
                <w:highlight w:val="none"/>
                <w:lang w:val="en-US" w:eastAsia="zh-CN"/>
              </w:rPr>
            </w:pPr>
            <w:r>
              <w:rPr>
                <w:rFonts w:hint="eastAsia"/>
                <w:b/>
                <w:bCs/>
                <w:color w:val="auto"/>
                <w:highlight w:val="none"/>
                <w:lang w:val="en-US" w:eastAsia="zh-CN"/>
              </w:rPr>
              <w:t>9、与《挥发性有机物（VOCs）污染防治技术政策》相符性分析</w:t>
            </w:r>
          </w:p>
          <w:p w14:paraId="33B8E82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w:t>
            </w:r>
            <w:r>
              <w:rPr>
                <w:rFonts w:hint="eastAsia" w:ascii="宋体" w:hAnsi="宋体" w:cs="宋体"/>
                <w:color w:val="auto"/>
                <w:kern w:val="0"/>
                <w:sz w:val="24"/>
                <w:szCs w:val="24"/>
                <w:highlight w:val="none"/>
                <w:lang w:val="en-US" w:eastAsia="zh-CN" w:bidi="ar"/>
              </w:rPr>
              <w:t>车辆维修过程中喷漆工序</w:t>
            </w:r>
            <w:r>
              <w:rPr>
                <w:rFonts w:hint="eastAsia" w:ascii="宋体" w:hAnsi="宋体" w:eastAsia="宋体" w:cs="宋体"/>
                <w:color w:val="auto"/>
                <w:kern w:val="0"/>
                <w:sz w:val="24"/>
                <w:szCs w:val="24"/>
                <w:highlight w:val="none"/>
                <w:lang w:val="en-US" w:eastAsia="zh-CN" w:bidi="ar"/>
              </w:rPr>
              <w:t>产生的挥发性有机物（以非甲烷总烃计），对照《挥发性</w:t>
            </w:r>
            <w:r>
              <w:rPr>
                <w:rFonts w:hint="default" w:ascii="Times New Roman" w:hAnsi="Times New Roman" w:eastAsia="宋体" w:cs="Times New Roman"/>
                <w:color w:val="auto"/>
                <w:kern w:val="0"/>
                <w:sz w:val="24"/>
                <w:szCs w:val="24"/>
                <w:highlight w:val="none"/>
                <w:lang w:val="en-US" w:eastAsia="zh-CN" w:bidi="ar"/>
              </w:rPr>
              <w:t>有机物（VOCs）污染</w:t>
            </w:r>
            <w:r>
              <w:rPr>
                <w:rFonts w:hint="eastAsia" w:ascii="宋体" w:hAnsi="宋体" w:eastAsia="宋体" w:cs="宋体"/>
                <w:color w:val="auto"/>
                <w:kern w:val="0"/>
                <w:sz w:val="24"/>
                <w:szCs w:val="24"/>
                <w:highlight w:val="none"/>
                <w:lang w:val="en-US" w:eastAsia="zh-CN" w:bidi="ar"/>
              </w:rPr>
              <w:t>防治技术政策》（环境保护部公告</w:t>
            </w:r>
            <w:r>
              <w:rPr>
                <w:rFonts w:hint="default" w:ascii="Times New Roman" w:hAnsi="Times New Roman" w:eastAsia="宋体" w:cs="Times New Roman"/>
                <w:color w:val="auto"/>
                <w:kern w:val="0"/>
                <w:sz w:val="24"/>
                <w:szCs w:val="24"/>
                <w:highlight w:val="none"/>
                <w:lang w:val="en-US" w:eastAsia="zh-CN" w:bidi="ar"/>
              </w:rPr>
              <w:t>2013</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31</w:t>
            </w:r>
            <w:r>
              <w:rPr>
                <w:rFonts w:hint="eastAsia" w:ascii="宋体" w:hAnsi="宋体" w:eastAsia="宋体" w:cs="宋体"/>
                <w:color w:val="auto"/>
                <w:kern w:val="0"/>
                <w:sz w:val="24"/>
                <w:szCs w:val="24"/>
                <w:highlight w:val="none"/>
                <w:lang w:val="en-US" w:eastAsia="zh-CN" w:bidi="ar"/>
              </w:rPr>
              <w:t>号）中的相关要求见下表。</w:t>
            </w:r>
          </w:p>
          <w:p w14:paraId="543A4383">
            <w:pPr>
              <w:pStyle w:val="46"/>
              <w:bidi w:val="0"/>
              <w:rPr>
                <w:color w:val="auto"/>
                <w:sz w:val="21"/>
                <w:szCs w:val="21"/>
                <w:highlight w:val="none"/>
              </w:rPr>
            </w:pPr>
            <w:r>
              <w:rPr>
                <w:rFonts w:hint="eastAsia"/>
                <w:color w:val="auto"/>
                <w:sz w:val="21"/>
                <w:szCs w:val="21"/>
                <w:highlight w:val="none"/>
                <w:lang w:val="en-US" w:eastAsia="zh-CN"/>
              </w:rPr>
              <w:t>表</w:t>
            </w:r>
            <w:r>
              <w:rPr>
                <w:rFonts w:hint="default"/>
                <w:color w:val="auto"/>
                <w:sz w:val="21"/>
                <w:szCs w:val="21"/>
                <w:highlight w:val="none"/>
                <w:lang w:val="en-US" w:eastAsia="zh-CN"/>
              </w:rPr>
              <w:t>1-</w:t>
            </w:r>
            <w:r>
              <w:rPr>
                <w:rFonts w:hint="eastAsia"/>
                <w:color w:val="auto"/>
                <w:sz w:val="21"/>
                <w:szCs w:val="21"/>
                <w:highlight w:val="none"/>
                <w:lang w:val="en-US" w:eastAsia="zh-CN"/>
              </w:rPr>
              <w:t>12  与《挥发性有机物</w:t>
            </w:r>
            <w:r>
              <w:rPr>
                <w:rFonts w:hint="default" w:ascii="Times New Roman" w:hAnsi="Times New Roman" w:eastAsia="宋体" w:cs="Times New Roman"/>
                <w:color w:val="auto"/>
                <w:kern w:val="0"/>
                <w:sz w:val="21"/>
                <w:szCs w:val="21"/>
                <w:highlight w:val="none"/>
                <w:lang w:val="en-US" w:eastAsia="zh-CN" w:bidi="ar"/>
              </w:rPr>
              <w:t>（VOCs）</w:t>
            </w:r>
            <w:r>
              <w:rPr>
                <w:rFonts w:hint="eastAsia"/>
                <w:color w:val="auto"/>
                <w:sz w:val="21"/>
                <w:szCs w:val="21"/>
                <w:highlight w:val="none"/>
                <w:lang w:val="en-US" w:eastAsia="zh-CN"/>
              </w:rPr>
              <w:t>污染防治技术政策》相符性分析</w:t>
            </w:r>
          </w:p>
          <w:tbl>
            <w:tblPr>
              <w:tblStyle w:val="30"/>
              <w:tblW w:w="7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692"/>
              <w:gridCol w:w="2202"/>
              <w:gridCol w:w="671"/>
            </w:tblGrid>
            <w:tr w14:paraId="71FF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20FA563F">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序号</w:t>
                  </w:r>
                </w:p>
              </w:tc>
              <w:tc>
                <w:tcPr>
                  <w:tcW w:w="3692" w:type="dxa"/>
                  <w:noWrap w:val="0"/>
                  <w:vAlign w:val="center"/>
                </w:tcPr>
                <w:p w14:paraId="3770A962">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文件内容</w:t>
                  </w:r>
                </w:p>
              </w:tc>
              <w:tc>
                <w:tcPr>
                  <w:tcW w:w="2202" w:type="dxa"/>
                  <w:noWrap w:val="0"/>
                  <w:vAlign w:val="center"/>
                </w:tcPr>
                <w:p w14:paraId="60847D2A">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本项目情况</w:t>
                  </w:r>
                </w:p>
              </w:tc>
              <w:tc>
                <w:tcPr>
                  <w:tcW w:w="671" w:type="dxa"/>
                  <w:noWrap w:val="0"/>
                  <w:vAlign w:val="center"/>
                </w:tcPr>
                <w:p w14:paraId="6FFF0764">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符合性</w:t>
                  </w:r>
                </w:p>
              </w:tc>
            </w:tr>
            <w:tr w14:paraId="045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278B66FF">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3692" w:type="dxa"/>
                  <w:noWrap w:val="0"/>
                  <w:vAlign w:val="center"/>
                </w:tcPr>
                <w:p w14:paraId="00EEA22C">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非甲烷总烃污染防治应遵循源头和过程控制与末端治理相结合的综合防治原则。在工业生产中采用清洁生产技术，严格控制含非甲烷总烃原料与产品在生产和储运销过程中的非甲烷总烃排放，鼓励对资源和能源的回收利用；鼓励在生产和生活中使用不含非甲烷总烃的替代产品或低非甲烷总烃含量的产品。</w:t>
                  </w:r>
                </w:p>
              </w:tc>
              <w:tc>
                <w:tcPr>
                  <w:tcW w:w="2202" w:type="dxa"/>
                  <w:noWrap w:val="0"/>
                  <w:vAlign w:val="center"/>
                </w:tcPr>
                <w:p w14:paraId="2BDD3BBC">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lang w:val="en-US" w:eastAsia="zh-CN"/>
                    </w:rPr>
                    <w:t>本项目在抽排残液和蒸汽清洗时会生产少量挥发性有机废气，非甲烷总烃产生量为0.324t/a，速率为0.135kg/h，非甲烷总烃产生量较小，呈无组织排放。收集柴油残液时打开罐底卸料口阀门，采用专用软管连接罐体卸料口，残余物料直接通过软管接入收集桶（加盖密封），收集的残液立即进入危废暂存间暂存。清洗时先用高压水枪冲洗，不产生废气，蒸汽清洗时</w:t>
                  </w:r>
                  <w:r>
                    <w:rPr>
                      <w:rFonts w:hint="eastAsia"/>
                      <w:color w:val="auto"/>
                      <w:sz w:val="21"/>
                      <w:szCs w:val="21"/>
                      <w:highlight w:val="none"/>
                      <w:lang w:val="en-US" w:eastAsia="zh-CN"/>
                    </w:rPr>
                    <w:t>以无组织方式排放，排放量较少。</w:t>
                  </w:r>
                </w:p>
              </w:tc>
              <w:tc>
                <w:tcPr>
                  <w:tcW w:w="671" w:type="dxa"/>
                  <w:noWrap w:val="0"/>
                  <w:vAlign w:val="center"/>
                </w:tcPr>
                <w:p w14:paraId="4AD5471C">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A82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1AB8E713">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3692" w:type="dxa"/>
                  <w:noWrap w:val="0"/>
                  <w:vAlign w:val="center"/>
                </w:tcPr>
                <w:p w14:paraId="76C8A1B5">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在工业生产过程中鼓励非甲烷总烃的回收利用，并优先鼓励在生产系统内回用。</w:t>
                  </w:r>
                </w:p>
                <w:p w14:paraId="6B676C9D">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对于含高浓度非甲烷总烃的废气，宜优先采用冷凝回收、吸附回收技术进行回收利用，并辅助以其他治理技术实现达标排放。对于含中等浓度非甲烷总烃的废气，可采用吸附技术回收有机溶剂，或采用催化燃烧和热力焚烧技术净化后达标排放。当采用催化燃烧和热力焚烧技术进行净化时，应进行余热回收利用。</w:t>
                  </w:r>
                </w:p>
                <w:p w14:paraId="5B7F8D15">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对于含低浓度非甲烷总烃的废气，有回收价值时可采用吸附技术、吸收技术对有机溶剂回收后达标排放；不宜回收时，可采用吸附浓缩燃烧技术、生物技术、吸收技术、等离子体技术或紫外光高级氧化技术等净化后达标排放。</w:t>
                  </w:r>
                </w:p>
              </w:tc>
              <w:tc>
                <w:tcPr>
                  <w:tcW w:w="2202" w:type="dxa"/>
                  <w:noWrap w:val="0"/>
                  <w:vAlign w:val="center"/>
                </w:tcPr>
                <w:p w14:paraId="1FBE5FC4">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项目产生的非甲烷总烃为低浓度废气，排放量为</w:t>
                  </w:r>
                  <w:r>
                    <w:rPr>
                      <w:rFonts w:hint="eastAsia"/>
                      <w:color w:val="auto"/>
                      <w:sz w:val="21"/>
                      <w:szCs w:val="21"/>
                      <w:lang w:val="en-US" w:eastAsia="zh-CN"/>
                    </w:rPr>
                    <w:t>0.324t/a，速率为0.135kg/h，</w:t>
                  </w:r>
                  <w:r>
                    <w:rPr>
                      <w:rFonts w:hint="eastAsia"/>
                      <w:color w:val="auto"/>
                      <w:sz w:val="21"/>
                      <w:szCs w:val="21"/>
                      <w:highlight w:val="none"/>
                      <w:lang w:val="en-US" w:eastAsia="zh-CN"/>
                    </w:rPr>
                    <w:t>呈无组织排放。</w:t>
                  </w:r>
                </w:p>
              </w:tc>
              <w:tc>
                <w:tcPr>
                  <w:tcW w:w="671" w:type="dxa"/>
                  <w:noWrap w:val="0"/>
                  <w:vAlign w:val="center"/>
                </w:tcPr>
                <w:p w14:paraId="5D734F2E">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6A59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1CE7E962">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3692" w:type="dxa"/>
                  <w:noWrap w:val="0"/>
                  <w:vAlign w:val="center"/>
                </w:tcPr>
                <w:p w14:paraId="2F4D1124">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严格控制非甲烷总烃处理过程中产生的二次污染，对于催化燃烧和热力焚烧过程中产生的含硫、氮、氯等无机废气，以及吸附、吸收、冷凝、生物等治理过程中所产生的含有机物废水，应处理后达标排放。</w:t>
                  </w:r>
                </w:p>
              </w:tc>
              <w:tc>
                <w:tcPr>
                  <w:tcW w:w="2202" w:type="dxa"/>
                  <w:noWrap w:val="0"/>
                  <w:vAlign w:val="center"/>
                </w:tcPr>
                <w:p w14:paraId="120C21E2">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项目产生的非甲烷总烃为低浓度废气，呈无组织排放。</w:t>
                  </w:r>
                </w:p>
              </w:tc>
              <w:tc>
                <w:tcPr>
                  <w:tcW w:w="671" w:type="dxa"/>
                  <w:noWrap w:val="0"/>
                  <w:vAlign w:val="center"/>
                </w:tcPr>
                <w:p w14:paraId="3DE5E49D">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2AB7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5F132D67">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3692" w:type="dxa"/>
                  <w:noWrap w:val="0"/>
                  <w:vAlign w:val="center"/>
                </w:tcPr>
                <w:p w14:paraId="30909301">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企业应建立健全非甲烷总烃治理设施的运行维护规程和台账等日常管理制度，并根据工艺要求定期对各类设备、电气、自控仪表等进行检修维护，确保设施的稳定运行。</w:t>
                  </w:r>
                </w:p>
              </w:tc>
              <w:tc>
                <w:tcPr>
                  <w:tcW w:w="2202" w:type="dxa"/>
                  <w:noWrap w:val="0"/>
                  <w:vAlign w:val="center"/>
                </w:tcPr>
                <w:p w14:paraId="570A1E02">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企业建立健全维护管理台账，定期检修确定设施的稳定。</w:t>
                  </w:r>
                </w:p>
              </w:tc>
              <w:tc>
                <w:tcPr>
                  <w:tcW w:w="671" w:type="dxa"/>
                  <w:noWrap w:val="0"/>
                  <w:vAlign w:val="center"/>
                </w:tcPr>
                <w:p w14:paraId="18BD9F56">
                  <w:pPr>
                    <w:pStyle w:val="47"/>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bl>
          <w:p w14:paraId="2EF2FC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lang w:val="en-US" w:eastAsia="zh-CN"/>
              </w:rPr>
              <w:t>综上分析，项目建设符合</w:t>
            </w:r>
            <w:r>
              <w:rPr>
                <w:rFonts w:hint="eastAsia"/>
                <w:color w:val="auto"/>
                <w:highlight w:val="none"/>
                <w:lang w:val="en-US" w:eastAsia="zh-CN"/>
              </w:rPr>
              <w:t>《挥发性有机物</w:t>
            </w:r>
            <w:r>
              <w:rPr>
                <w:rFonts w:hint="default" w:ascii="Times New Roman" w:hAnsi="Times New Roman" w:eastAsia="宋体" w:cs="Times New Roman"/>
                <w:color w:val="auto"/>
                <w:kern w:val="0"/>
                <w:sz w:val="24"/>
                <w:szCs w:val="24"/>
                <w:highlight w:val="none"/>
                <w:lang w:val="en-US" w:eastAsia="zh-CN" w:bidi="ar"/>
              </w:rPr>
              <w:t>（VOCs）</w:t>
            </w:r>
            <w:r>
              <w:rPr>
                <w:rFonts w:hint="eastAsia"/>
                <w:color w:val="auto"/>
                <w:highlight w:val="none"/>
                <w:lang w:val="en-US" w:eastAsia="zh-CN"/>
              </w:rPr>
              <w:t>污染防治技术政策》相关</w:t>
            </w:r>
            <w:r>
              <w:rPr>
                <w:rFonts w:hint="default"/>
                <w:color w:val="auto"/>
                <w:highlight w:val="none"/>
                <w:lang w:val="en-US" w:eastAsia="zh-CN"/>
              </w:rPr>
              <w:t>要求</w:t>
            </w:r>
            <w:r>
              <w:rPr>
                <w:rFonts w:hint="eastAsia"/>
                <w:color w:val="auto"/>
                <w:highlight w:val="none"/>
                <w:lang w:val="en-US" w:eastAsia="zh-CN"/>
              </w:rPr>
              <w:t>。</w:t>
            </w:r>
          </w:p>
          <w:p w14:paraId="1389E820">
            <w:pPr>
              <w:numPr>
                <w:ilvl w:val="0"/>
                <w:numId w:val="0"/>
              </w:numPr>
              <w:rPr>
                <w:rFonts w:ascii="Times New Roman" w:hAnsi="Times New Roman"/>
                <w:b/>
                <w:bCs/>
                <w:color w:val="auto"/>
                <w:highlight w:val="none"/>
              </w:rPr>
            </w:pPr>
            <w:r>
              <w:rPr>
                <w:rFonts w:hint="eastAsia"/>
                <w:b/>
                <w:bCs/>
                <w:color w:val="auto"/>
                <w:highlight w:val="none"/>
                <w:lang w:val="en-US" w:eastAsia="zh-CN"/>
              </w:rPr>
              <w:t>10、</w:t>
            </w:r>
            <w:r>
              <w:rPr>
                <w:rFonts w:hint="eastAsia" w:ascii="Times New Roman" w:hAnsi="Times New Roman"/>
                <w:b/>
                <w:bCs/>
                <w:color w:val="auto"/>
                <w:highlight w:val="none"/>
              </w:rPr>
              <w:t>与《云南省重点行业挥发性有机物综合治理实施方案》符合性分析</w:t>
            </w:r>
          </w:p>
          <w:p w14:paraId="19562CF6">
            <w:pPr>
              <w:ind w:firstLine="480"/>
              <w:jc w:val="left"/>
              <w:rPr>
                <w:rFonts w:ascii="Times New Roman" w:hAnsi="Times New Roman"/>
                <w:color w:val="auto"/>
                <w:highlight w:val="none"/>
              </w:rPr>
            </w:pPr>
            <w:r>
              <w:rPr>
                <w:rFonts w:ascii="Times New Roman" w:hAnsi="Times New Roman"/>
                <w:color w:val="auto"/>
                <w:highlight w:val="none"/>
              </w:rPr>
              <w:t>2019</w:t>
            </w:r>
            <w:r>
              <w:rPr>
                <w:rFonts w:hint="eastAsia" w:ascii="Times New Roman" w:hAnsi="Times New Roman"/>
                <w:color w:val="auto"/>
                <w:highlight w:val="none"/>
              </w:rPr>
              <w:t>年</w:t>
            </w:r>
            <w:r>
              <w:rPr>
                <w:rFonts w:ascii="Times New Roman" w:hAnsi="Times New Roman"/>
                <w:color w:val="auto"/>
                <w:highlight w:val="none"/>
              </w:rPr>
              <w:t>9</w:t>
            </w:r>
            <w:r>
              <w:rPr>
                <w:rFonts w:hint="eastAsia" w:ascii="Times New Roman" w:hAnsi="Times New Roman"/>
                <w:color w:val="auto"/>
                <w:highlight w:val="none"/>
              </w:rPr>
              <w:t>月</w:t>
            </w:r>
            <w:r>
              <w:rPr>
                <w:rFonts w:ascii="Times New Roman" w:hAnsi="Times New Roman"/>
                <w:color w:val="auto"/>
                <w:highlight w:val="none"/>
              </w:rPr>
              <w:t>4</w:t>
            </w:r>
            <w:r>
              <w:rPr>
                <w:rFonts w:hint="eastAsia" w:ascii="Times New Roman" w:hAnsi="Times New Roman"/>
                <w:color w:val="auto"/>
                <w:highlight w:val="none"/>
              </w:rPr>
              <w:t>日，云南省生态环境厅印发了《云南省重点行业挥发性有机物综合治理实施方案》（云环通〔</w:t>
            </w:r>
            <w:r>
              <w:rPr>
                <w:rFonts w:ascii="Times New Roman" w:hAnsi="Times New Roman"/>
                <w:color w:val="auto"/>
                <w:highlight w:val="none"/>
              </w:rPr>
              <w:t>2019</w:t>
            </w:r>
            <w:r>
              <w:rPr>
                <w:rFonts w:hint="eastAsia" w:ascii="Times New Roman" w:hAnsi="Times New Roman"/>
                <w:color w:val="auto"/>
                <w:highlight w:val="none"/>
              </w:rPr>
              <w:t>〕</w:t>
            </w:r>
            <w:r>
              <w:rPr>
                <w:rFonts w:ascii="Times New Roman" w:hAnsi="Times New Roman"/>
                <w:color w:val="auto"/>
                <w:highlight w:val="none"/>
              </w:rPr>
              <w:t>125</w:t>
            </w:r>
            <w:r>
              <w:rPr>
                <w:rFonts w:hint="eastAsia" w:ascii="Times New Roman" w:hAnsi="Times New Roman"/>
                <w:color w:val="auto"/>
                <w:highlight w:val="none"/>
              </w:rPr>
              <w:t>号）。</w:t>
            </w:r>
          </w:p>
          <w:p w14:paraId="6A86B770">
            <w:pPr>
              <w:ind w:firstLine="0" w:firstLineChars="0"/>
              <w:jc w:val="center"/>
              <w:rPr>
                <w:rFonts w:ascii="Times New Roman" w:hAnsi="Times New Roman"/>
                <w:color w:val="auto"/>
                <w:sz w:val="21"/>
                <w:szCs w:val="21"/>
                <w:highlight w:val="none"/>
              </w:rPr>
            </w:pPr>
            <w:r>
              <w:rPr>
                <w:rFonts w:hint="eastAsia" w:ascii="Times New Roman" w:hAnsi="Times New Roman"/>
                <w:b/>
                <w:bCs/>
                <w:color w:val="auto"/>
                <w:sz w:val="21"/>
                <w:szCs w:val="21"/>
                <w:highlight w:val="none"/>
              </w:rPr>
              <w:t>表1-1</w:t>
            </w:r>
            <w:r>
              <w:rPr>
                <w:rFonts w:hint="eastAsia"/>
                <w:b/>
                <w:bCs/>
                <w:color w:val="auto"/>
                <w:sz w:val="21"/>
                <w:szCs w:val="21"/>
                <w:highlight w:val="none"/>
                <w:lang w:val="en-US" w:eastAsia="zh-CN"/>
              </w:rPr>
              <w:t>3</w:t>
            </w:r>
            <w:r>
              <w:rPr>
                <w:rFonts w:hint="eastAsia" w:ascii="Times New Roman" w:hAnsi="Times New Roman"/>
                <w:b/>
                <w:bCs/>
                <w:color w:val="auto"/>
                <w:sz w:val="21"/>
                <w:szCs w:val="21"/>
                <w:highlight w:val="none"/>
              </w:rPr>
              <w:t xml:space="preserve"> 项目与《云南省重点行业挥发性有机物综合治理实施方案》的相符性分析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3811"/>
              <w:gridCol w:w="1864"/>
              <w:gridCol w:w="802"/>
            </w:tblGrid>
            <w:tr w14:paraId="7756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vAlign w:val="center"/>
                </w:tcPr>
                <w:p w14:paraId="1AE10C70">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764" w:type="pct"/>
                  <w:vAlign w:val="center"/>
                </w:tcPr>
                <w:p w14:paraId="1E8B27FA">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《云南省重点行业挥发性有机物综合治理实施方案》</w:t>
                  </w:r>
                </w:p>
              </w:tc>
              <w:tc>
                <w:tcPr>
                  <w:tcW w:w="1351" w:type="pct"/>
                  <w:vAlign w:val="center"/>
                </w:tcPr>
                <w:p w14:paraId="0E5DB7C0">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2" w:type="pct"/>
                  <w:vAlign w:val="center"/>
                </w:tcPr>
                <w:p w14:paraId="40FDE0F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44B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768F192C">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2764" w:type="pct"/>
                  <w:vAlign w:val="center"/>
                </w:tcPr>
                <w:p w14:paraId="434D65F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重点对含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物料（包括含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原辅材料、含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产品、含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废料以及有机聚合物材料等）储存、转移和输送、设备与管线组件泄漏、敞开液面逸散以及工艺过程等五类排放源实施管控，通过采取设备与场所密闭、工艺改进、废气有效收集等措施，削减</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无组织排放。</w:t>
                  </w:r>
                </w:p>
              </w:tc>
              <w:tc>
                <w:tcPr>
                  <w:tcW w:w="1351" w:type="pct"/>
                  <w:vMerge w:val="restart"/>
                  <w:vAlign w:val="center"/>
                </w:tcPr>
                <w:p w14:paraId="5911AB75">
                  <w:pPr>
                    <w:widowControl/>
                    <w:spacing w:line="240" w:lineRule="auto"/>
                    <w:ind w:firstLine="0" w:firstLineChars="0"/>
                    <w:jc w:val="left"/>
                    <w:rPr>
                      <w:rFonts w:ascii="Times New Roman" w:hAnsi="Times New Roman"/>
                      <w:color w:val="auto"/>
                      <w:sz w:val="21"/>
                      <w:szCs w:val="21"/>
                      <w:highlight w:val="none"/>
                    </w:rPr>
                  </w:pPr>
                  <w:r>
                    <w:rPr>
                      <w:rFonts w:hint="eastAsia"/>
                      <w:color w:val="auto"/>
                      <w:sz w:val="21"/>
                      <w:szCs w:val="21"/>
                      <w:lang w:val="en-US" w:eastAsia="zh-CN"/>
                    </w:rPr>
                    <w:t>本项目在抽排残液和蒸汽清洗时会生产少量挥发性有机废气，非甲烷总烃产生量为0.324t/a，速率为0.135kg/h，非甲烷总烃产生量较小，呈无组织排放。收集柴油残液时打开罐底卸料口阀门，采用专用软管连接罐体卸料口，残余物料直接通过软管接入收集桶（加盖密封），收集的残液立即进入危废暂存间暂存。清洗时先用高压水枪冲洗，不产生废气，蒸汽清洗时</w:t>
                  </w:r>
                  <w:r>
                    <w:rPr>
                      <w:rFonts w:hint="eastAsia"/>
                      <w:color w:val="auto"/>
                      <w:sz w:val="21"/>
                      <w:szCs w:val="21"/>
                      <w:highlight w:val="none"/>
                      <w:lang w:val="en-US" w:eastAsia="zh-CN"/>
                    </w:rPr>
                    <w:t>以无组织方式排放，排放量较少。</w:t>
                  </w:r>
                </w:p>
              </w:tc>
              <w:tc>
                <w:tcPr>
                  <w:tcW w:w="582" w:type="pct"/>
                  <w:vAlign w:val="center"/>
                </w:tcPr>
                <w:p w14:paraId="4B0D1F17">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1D25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39E8AB8B">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2764" w:type="pct"/>
                  <w:vAlign w:val="center"/>
                </w:tcPr>
                <w:p w14:paraId="6F59075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提高废气收集率。遵循</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应收尽收、分质收集</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无组织排放位置，控制风速应不低于</w:t>
                  </w:r>
                  <w:r>
                    <w:rPr>
                      <w:rFonts w:ascii="Times New Roman" w:hAnsi="Times New Roman"/>
                      <w:color w:val="auto"/>
                      <w:sz w:val="21"/>
                      <w:szCs w:val="21"/>
                      <w:highlight w:val="none"/>
                    </w:rPr>
                    <w:t>0.3</w:t>
                  </w:r>
                  <w:r>
                    <w:rPr>
                      <w:rFonts w:hint="eastAsia" w:ascii="Times New Roman" w:hAnsi="Times New Roman"/>
                      <w:color w:val="auto"/>
                      <w:sz w:val="21"/>
                      <w:szCs w:val="21"/>
                      <w:highlight w:val="none"/>
                    </w:rPr>
                    <w:t>米</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秒，有行业要求的按相关规定执行。</w:t>
                  </w:r>
                </w:p>
              </w:tc>
              <w:tc>
                <w:tcPr>
                  <w:tcW w:w="1351" w:type="pct"/>
                  <w:vMerge w:val="continue"/>
                  <w:vAlign w:val="center"/>
                </w:tcPr>
                <w:p w14:paraId="31DF2382">
                  <w:pPr>
                    <w:widowControl/>
                    <w:spacing w:line="240" w:lineRule="auto"/>
                    <w:ind w:firstLine="0" w:firstLineChars="0"/>
                    <w:jc w:val="left"/>
                    <w:rPr>
                      <w:rFonts w:ascii="Times New Roman" w:hAnsi="Times New Roman"/>
                      <w:color w:val="auto"/>
                      <w:sz w:val="21"/>
                      <w:szCs w:val="21"/>
                      <w:highlight w:val="none"/>
                    </w:rPr>
                  </w:pPr>
                </w:p>
              </w:tc>
              <w:tc>
                <w:tcPr>
                  <w:tcW w:w="582" w:type="pct"/>
                  <w:vAlign w:val="center"/>
                </w:tcPr>
                <w:p w14:paraId="0B206AC3">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23B47B6B">
            <w:pPr>
              <w:ind w:firstLine="480"/>
              <w:jc w:val="left"/>
              <w:rPr>
                <w:rFonts w:ascii="Times New Roman" w:hAnsi="Times New Roman"/>
                <w:color w:val="auto"/>
                <w:highlight w:val="none"/>
              </w:rPr>
            </w:pPr>
            <w:r>
              <w:rPr>
                <w:rFonts w:hint="eastAsia" w:ascii="Times New Roman" w:hAnsi="Times New Roman"/>
                <w:color w:val="auto"/>
                <w:highlight w:val="none"/>
              </w:rPr>
              <w:t>综上所述，项目符合《云南省重点行业挥发性有机物综合治理实施方案》（云环通〔</w:t>
            </w:r>
            <w:r>
              <w:rPr>
                <w:rFonts w:ascii="Times New Roman" w:hAnsi="Times New Roman"/>
                <w:color w:val="auto"/>
                <w:highlight w:val="none"/>
              </w:rPr>
              <w:t>2019</w:t>
            </w:r>
            <w:r>
              <w:rPr>
                <w:rFonts w:hint="eastAsia" w:ascii="Times New Roman" w:hAnsi="Times New Roman"/>
                <w:color w:val="auto"/>
                <w:highlight w:val="none"/>
              </w:rPr>
              <w:t>〕</w:t>
            </w:r>
            <w:r>
              <w:rPr>
                <w:rFonts w:ascii="Times New Roman" w:hAnsi="Times New Roman"/>
                <w:color w:val="auto"/>
                <w:highlight w:val="none"/>
              </w:rPr>
              <w:t>125</w:t>
            </w:r>
            <w:r>
              <w:rPr>
                <w:rFonts w:hint="eastAsia" w:ascii="Times New Roman" w:hAnsi="Times New Roman"/>
                <w:color w:val="auto"/>
                <w:highlight w:val="none"/>
              </w:rPr>
              <w:t>号）中的相应要求。</w:t>
            </w:r>
          </w:p>
          <w:p w14:paraId="4E7244EC">
            <w:pPr>
              <w:numPr>
                <w:ilvl w:val="0"/>
                <w:numId w:val="0"/>
              </w:numPr>
              <w:rPr>
                <w:rFonts w:ascii="Times New Roman" w:hAnsi="Times New Roman"/>
                <w:b/>
                <w:bCs/>
                <w:color w:val="auto"/>
                <w:highlight w:val="none"/>
              </w:rPr>
            </w:pPr>
            <w:r>
              <w:rPr>
                <w:rFonts w:hint="eastAsia"/>
                <w:b/>
                <w:bCs/>
                <w:color w:val="auto"/>
                <w:highlight w:val="none"/>
                <w:lang w:val="en-US" w:eastAsia="zh-CN"/>
              </w:rPr>
              <w:t>11、</w:t>
            </w:r>
            <w:r>
              <w:rPr>
                <w:rFonts w:hint="eastAsia" w:ascii="Times New Roman" w:hAnsi="Times New Roman"/>
                <w:b/>
                <w:bCs/>
                <w:color w:val="auto"/>
                <w:highlight w:val="none"/>
              </w:rPr>
              <w:t>与《道路运输液体危险货物罐式车辆罐体清洗要求》相符性分析</w:t>
            </w:r>
          </w:p>
          <w:p w14:paraId="4EADC33D">
            <w:pPr>
              <w:ind w:firstLine="480"/>
              <w:jc w:val="left"/>
              <w:rPr>
                <w:rFonts w:ascii="Times New Roman" w:hAnsi="Times New Roman"/>
                <w:color w:val="auto"/>
                <w:highlight w:val="none"/>
              </w:rPr>
            </w:pPr>
            <w:r>
              <w:rPr>
                <w:rFonts w:hint="eastAsia" w:ascii="Times New Roman" w:hAnsi="Times New Roman"/>
                <w:color w:val="auto"/>
                <w:highlight w:val="none"/>
              </w:rPr>
              <w:t>项目与</w:t>
            </w:r>
            <w:r>
              <w:rPr>
                <w:rFonts w:hint="eastAsia" w:ascii="Times New Roman" w:hAnsi="Times New Roman" w:cs="宋体"/>
                <w:color w:val="auto"/>
                <w:kern w:val="0"/>
                <w:highlight w:val="none"/>
              </w:rPr>
              <w:t>《</w:t>
            </w:r>
            <w:r>
              <w:rPr>
                <w:rFonts w:hint="eastAsia" w:ascii="Times New Roman" w:hAnsi="Times New Roman"/>
                <w:color w:val="auto"/>
                <w:highlight w:val="none"/>
              </w:rPr>
              <w:t>道路运输液体危险货物罐式车辆罐体清洗要求</w:t>
            </w:r>
            <w:r>
              <w:rPr>
                <w:rFonts w:hint="eastAsia" w:ascii="Times New Roman" w:hAnsi="Times New Roman" w:cs="宋体"/>
                <w:color w:val="auto"/>
                <w:kern w:val="0"/>
                <w:highlight w:val="none"/>
              </w:rPr>
              <w:t>》相符性分析</w:t>
            </w:r>
            <w:r>
              <w:rPr>
                <w:rFonts w:ascii="Times New Roman" w:hAnsi="Times New Roman"/>
                <w:color w:val="auto"/>
                <w:kern w:val="0"/>
                <w:highlight w:val="none"/>
              </w:rPr>
              <w:t>见</w:t>
            </w:r>
            <w:r>
              <w:rPr>
                <w:rFonts w:hint="eastAsia"/>
                <w:color w:val="auto"/>
                <w:kern w:val="0"/>
                <w:highlight w:val="none"/>
                <w:lang w:val="en-US" w:eastAsia="zh-CN"/>
              </w:rPr>
              <w:t>下</w:t>
            </w:r>
            <w:r>
              <w:rPr>
                <w:rFonts w:ascii="Times New Roman" w:hAnsi="Times New Roman"/>
                <w:color w:val="auto"/>
                <w:kern w:val="0"/>
                <w:highlight w:val="none"/>
              </w:rPr>
              <w:t>表。</w:t>
            </w:r>
          </w:p>
          <w:p w14:paraId="0AC4BEDA">
            <w:pPr>
              <w:ind w:firstLine="0" w:firstLineChars="0"/>
              <w:jc w:val="center"/>
              <w:rPr>
                <w:rFonts w:ascii="Times New Roman" w:hAnsi="Times New Roman" w:cs="宋体"/>
                <w:b/>
                <w:bCs/>
                <w:color w:val="auto"/>
                <w:kern w:val="0"/>
                <w:sz w:val="21"/>
                <w:szCs w:val="21"/>
                <w:highlight w:val="none"/>
              </w:rPr>
            </w:pPr>
            <w:r>
              <w:rPr>
                <w:rFonts w:hint="eastAsia" w:ascii="Times New Roman" w:hAnsi="Times New Roman"/>
                <w:b/>
                <w:bCs/>
                <w:color w:val="auto"/>
                <w:sz w:val="21"/>
                <w:szCs w:val="21"/>
                <w:highlight w:val="none"/>
              </w:rPr>
              <w:t>表1-1</w:t>
            </w:r>
            <w:r>
              <w:rPr>
                <w:rFonts w:hint="eastAsia"/>
                <w:b/>
                <w:bCs/>
                <w:color w:val="auto"/>
                <w:sz w:val="21"/>
                <w:szCs w:val="21"/>
                <w:highlight w:val="none"/>
                <w:lang w:val="en-US" w:eastAsia="zh-CN"/>
              </w:rPr>
              <w:t>4</w:t>
            </w:r>
            <w:r>
              <w:rPr>
                <w:rFonts w:hint="eastAsia" w:ascii="Times New Roman" w:hAnsi="Times New Roman"/>
                <w:b/>
                <w:bCs/>
                <w:color w:val="auto"/>
                <w:sz w:val="21"/>
                <w:szCs w:val="21"/>
                <w:highlight w:val="none"/>
              </w:rPr>
              <w:t xml:space="preserve"> 项目与《道路运输液体危险货物罐式车辆罐体清洗要求</w:t>
            </w:r>
            <w:r>
              <w:rPr>
                <w:rFonts w:hint="eastAsia" w:ascii="Times New Roman" w:hAnsi="Times New Roman" w:cs="宋体"/>
                <w:b/>
                <w:bCs/>
                <w:color w:val="auto"/>
                <w:kern w:val="0"/>
                <w:sz w:val="21"/>
                <w:szCs w:val="21"/>
                <w:highlight w:val="none"/>
              </w:rPr>
              <w:t>》符合性分析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3021"/>
              <w:gridCol w:w="2655"/>
              <w:gridCol w:w="802"/>
            </w:tblGrid>
            <w:tr w14:paraId="2374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 w:type="pct"/>
                  <w:vAlign w:val="center"/>
                </w:tcPr>
                <w:p w14:paraId="3D5CCB3B">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191" w:type="pct"/>
                  <w:vAlign w:val="center"/>
                </w:tcPr>
                <w:p w14:paraId="52B7EF56">
                  <w:pPr>
                    <w:spacing w:line="240" w:lineRule="auto"/>
                    <w:ind w:firstLine="0" w:firstLineChars="0"/>
                    <w:jc w:val="center"/>
                    <w:rPr>
                      <w:rFonts w:hint="eastAsia" w:ascii="Times New Roman" w:hAnsi="Times New Roman" w:eastAsia="宋体"/>
                      <w:b/>
                      <w:bCs/>
                      <w:color w:val="auto"/>
                      <w:sz w:val="21"/>
                      <w:szCs w:val="21"/>
                      <w:highlight w:val="none"/>
                      <w:lang w:eastAsia="zh-CN"/>
                    </w:rPr>
                  </w:pPr>
                  <w:r>
                    <w:rPr>
                      <w:rFonts w:hint="eastAsia"/>
                      <w:b/>
                      <w:bCs/>
                      <w:color w:val="auto"/>
                      <w:sz w:val="21"/>
                      <w:szCs w:val="21"/>
                      <w:highlight w:val="none"/>
                      <w:lang w:val="en-US" w:eastAsia="zh-CN"/>
                    </w:rPr>
                    <w:t>一般要求</w:t>
                  </w:r>
                </w:p>
              </w:tc>
              <w:tc>
                <w:tcPr>
                  <w:tcW w:w="1926" w:type="pct"/>
                  <w:vAlign w:val="center"/>
                </w:tcPr>
                <w:p w14:paraId="16B4C8C5">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1AB6C4C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738E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31562643">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清洗机构</w:t>
                  </w:r>
                </w:p>
              </w:tc>
              <w:tc>
                <w:tcPr>
                  <w:tcW w:w="2191" w:type="pct"/>
                  <w:vAlign w:val="center"/>
                </w:tcPr>
                <w:p w14:paraId="4748CC6D">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清洗机构应进行环境影响评价并取得批复</w:t>
                  </w:r>
                  <w:r>
                    <w:rPr>
                      <w:rFonts w:hint="eastAsia"/>
                      <w:color w:val="auto"/>
                      <w:sz w:val="21"/>
                      <w:szCs w:val="21"/>
                      <w:highlight w:val="none"/>
                      <w:lang w:eastAsia="zh-CN"/>
                    </w:rPr>
                    <w:t>，</w:t>
                  </w:r>
                  <w:r>
                    <w:rPr>
                      <w:rFonts w:hint="eastAsia" w:ascii="Times New Roman" w:hAnsi="Times New Roman"/>
                      <w:color w:val="auto"/>
                      <w:sz w:val="21"/>
                      <w:szCs w:val="21"/>
                      <w:highlight w:val="none"/>
                    </w:rPr>
                    <w:t>申请排污许可证后方可排污。</w:t>
                  </w:r>
                </w:p>
              </w:tc>
              <w:tc>
                <w:tcPr>
                  <w:tcW w:w="1926" w:type="pct"/>
                  <w:vAlign w:val="center"/>
                </w:tcPr>
                <w:p w14:paraId="65201577">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本项目正在进行环境影响评价，待项目取得批复后严格按要求申请排污许可证。</w:t>
                  </w:r>
                </w:p>
              </w:tc>
              <w:tc>
                <w:tcPr>
                  <w:tcW w:w="581" w:type="pct"/>
                  <w:vAlign w:val="center"/>
                </w:tcPr>
                <w:p w14:paraId="107C0C5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42F7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2ADB7EBC">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人员</w:t>
                  </w:r>
                </w:p>
              </w:tc>
              <w:tc>
                <w:tcPr>
                  <w:tcW w:w="2191" w:type="pct"/>
                  <w:vAlign w:val="center"/>
                </w:tcPr>
                <w:p w14:paraId="38D48570">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罐体清洗作业人员、监护人员应经过安全、环保、危险化学品知识、应急处置等专业技能培训并通过考核</w:t>
                  </w:r>
                  <w:r>
                    <w:rPr>
                      <w:rFonts w:hint="eastAsia"/>
                      <w:color w:val="auto"/>
                      <w:sz w:val="21"/>
                      <w:szCs w:val="21"/>
                      <w:highlight w:val="none"/>
                      <w:lang w:eastAsia="zh-CN"/>
                    </w:rPr>
                    <w:t>。</w:t>
                  </w:r>
                </w:p>
              </w:tc>
              <w:tc>
                <w:tcPr>
                  <w:tcW w:w="1926" w:type="pct"/>
                  <w:vAlign w:val="center"/>
                </w:tcPr>
                <w:p w14:paraId="2568B7E3">
                  <w:pPr>
                    <w:spacing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本项目在项目运营前组织</w:t>
                  </w:r>
                  <w:r>
                    <w:rPr>
                      <w:rFonts w:hint="eastAsia" w:ascii="Times New Roman" w:hAnsi="Times New Roman"/>
                      <w:color w:val="auto"/>
                      <w:sz w:val="21"/>
                      <w:szCs w:val="21"/>
                      <w:highlight w:val="none"/>
                    </w:rPr>
                    <w:t>安全、环保、危险化学品知识、应急处置等专业技能培训并通过考核</w:t>
                  </w:r>
                  <w:r>
                    <w:rPr>
                      <w:rFonts w:hint="eastAsia"/>
                      <w:color w:val="auto"/>
                      <w:sz w:val="21"/>
                      <w:szCs w:val="21"/>
                      <w:highlight w:val="none"/>
                      <w:lang w:eastAsia="zh-CN"/>
                    </w:rPr>
                    <w:t>。</w:t>
                  </w:r>
                </w:p>
              </w:tc>
              <w:tc>
                <w:tcPr>
                  <w:tcW w:w="581" w:type="pct"/>
                  <w:vAlign w:val="center"/>
                </w:tcPr>
                <w:p w14:paraId="5825B0C8">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66E8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1104C68E">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2191" w:type="pct"/>
                  <w:vAlign w:val="center"/>
                </w:tcPr>
                <w:p w14:paraId="29950810">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罐体清洗作业人员应进行职业健康体检，符合职业健康相关标准规定，无接触过敏或其他职业禁忌等疾病。</w:t>
                  </w:r>
                </w:p>
              </w:tc>
              <w:tc>
                <w:tcPr>
                  <w:tcW w:w="1926" w:type="pct"/>
                  <w:vAlign w:val="center"/>
                </w:tcPr>
                <w:p w14:paraId="2D6AE6F1">
                  <w:pPr>
                    <w:spacing w:line="240" w:lineRule="auto"/>
                    <w:ind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罐体清洗作业人员</w:t>
                  </w:r>
                  <w:r>
                    <w:rPr>
                      <w:rFonts w:hint="eastAsia"/>
                      <w:color w:val="auto"/>
                      <w:sz w:val="21"/>
                      <w:szCs w:val="21"/>
                      <w:highlight w:val="none"/>
                      <w:lang w:eastAsia="zh-CN"/>
                    </w:rPr>
                    <w:t>，</w:t>
                  </w:r>
                  <w:r>
                    <w:rPr>
                      <w:rFonts w:hint="eastAsia"/>
                      <w:color w:val="auto"/>
                      <w:sz w:val="21"/>
                      <w:szCs w:val="21"/>
                      <w:highlight w:val="none"/>
                      <w:lang w:val="en-US" w:eastAsia="zh-CN"/>
                    </w:rPr>
                    <w:t>在项目运营前进行职业健康体检，</w:t>
                  </w:r>
                  <w:r>
                    <w:rPr>
                      <w:rFonts w:hint="eastAsia" w:ascii="Times New Roman" w:hAnsi="Times New Roman"/>
                      <w:color w:val="auto"/>
                      <w:sz w:val="21"/>
                      <w:szCs w:val="21"/>
                      <w:highlight w:val="none"/>
                    </w:rPr>
                    <w:t>符合职业健康相关标准规定，无接触过敏或其他职业禁忌等疾病</w:t>
                  </w:r>
                  <w:r>
                    <w:rPr>
                      <w:rFonts w:hint="eastAsia"/>
                      <w:color w:val="auto"/>
                      <w:sz w:val="21"/>
                      <w:szCs w:val="21"/>
                      <w:highlight w:val="none"/>
                      <w:lang w:val="en-US" w:eastAsia="zh-CN"/>
                    </w:rPr>
                    <w:t>方可上岗。</w:t>
                  </w:r>
                </w:p>
              </w:tc>
              <w:tc>
                <w:tcPr>
                  <w:tcW w:w="581" w:type="pct"/>
                  <w:vAlign w:val="center"/>
                </w:tcPr>
                <w:p w14:paraId="24EB3314">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A6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7FB7D6B0">
                  <w:pPr>
                    <w:spacing w:line="240" w:lineRule="auto"/>
                    <w:ind w:firstLine="0" w:firstLineChars="0"/>
                    <w:jc w:val="center"/>
                    <w:rPr>
                      <w:rFonts w:hint="eastAsia" w:ascii="Times New Roman" w:hAnsi="Times New Roman" w:eastAsia="宋体"/>
                      <w:color w:val="auto"/>
                      <w:sz w:val="21"/>
                      <w:szCs w:val="21"/>
                      <w:highlight w:val="none"/>
                      <w:lang w:eastAsia="zh-CN"/>
                    </w:rPr>
                  </w:pPr>
                </w:p>
              </w:tc>
              <w:tc>
                <w:tcPr>
                  <w:tcW w:w="2191" w:type="pct"/>
                  <w:vAlign w:val="center"/>
                </w:tcPr>
                <w:p w14:paraId="153AE2D5">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清洗机构应设置技术负责人，技术负责人负责组织对介质确认及罐体清洗作业指导书制定。</w:t>
                  </w:r>
                </w:p>
              </w:tc>
              <w:tc>
                <w:tcPr>
                  <w:tcW w:w="1926" w:type="pct"/>
                  <w:vAlign w:val="center"/>
                </w:tcPr>
                <w:p w14:paraId="7526A2D1">
                  <w:pPr>
                    <w:widowControl/>
                    <w:spacing w:line="240" w:lineRule="auto"/>
                    <w:ind w:firstLine="0" w:firstLineChars="0"/>
                    <w:jc w:val="left"/>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清洗机构设置技术负责人，技术负责人对介质确认及罐体清洗作业指导书制定。</w:t>
                  </w:r>
                </w:p>
              </w:tc>
              <w:tc>
                <w:tcPr>
                  <w:tcW w:w="581" w:type="pct"/>
                  <w:vAlign w:val="center"/>
                </w:tcPr>
                <w:p w14:paraId="6F13DDBC">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65E8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0887C8B8">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场地</w:t>
                  </w:r>
                </w:p>
              </w:tc>
              <w:tc>
                <w:tcPr>
                  <w:tcW w:w="2191" w:type="pct"/>
                  <w:vAlign w:val="center"/>
                </w:tcPr>
                <w:p w14:paraId="4F20039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场地的选择应符合城市规划、环保、消防、防洪等要求且应具备良好的排水条件。</w:t>
                  </w:r>
                </w:p>
              </w:tc>
              <w:tc>
                <w:tcPr>
                  <w:tcW w:w="1926" w:type="pct"/>
                  <w:vAlign w:val="center"/>
                </w:tcPr>
                <w:p w14:paraId="2171028B">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本项目位于合规园区内，符合</w:t>
                  </w:r>
                  <w:r>
                    <w:rPr>
                      <w:rFonts w:hint="eastAsia" w:ascii="Times New Roman" w:hAnsi="Times New Roman"/>
                      <w:color w:val="auto"/>
                      <w:sz w:val="21"/>
                      <w:szCs w:val="21"/>
                      <w:highlight w:val="none"/>
                    </w:rPr>
                    <w:t>城市规划、环保、消防、防洪等要求</w:t>
                  </w:r>
                  <w:r>
                    <w:rPr>
                      <w:rFonts w:hint="eastAsia"/>
                      <w:color w:val="auto"/>
                      <w:sz w:val="21"/>
                      <w:szCs w:val="21"/>
                      <w:highlight w:val="none"/>
                      <w:lang w:eastAsia="zh-CN"/>
                    </w:rPr>
                    <w:t>，</w:t>
                  </w:r>
                  <w:r>
                    <w:rPr>
                      <w:rFonts w:hint="eastAsia"/>
                      <w:color w:val="auto"/>
                      <w:sz w:val="21"/>
                      <w:szCs w:val="21"/>
                      <w:highlight w:val="none"/>
                      <w:lang w:val="en-US" w:eastAsia="zh-CN"/>
                    </w:rPr>
                    <w:t>且生产废水由一体化污水处理设施处理后回用，不外排。</w:t>
                  </w:r>
                </w:p>
              </w:tc>
              <w:tc>
                <w:tcPr>
                  <w:tcW w:w="581" w:type="pct"/>
                  <w:vAlign w:val="center"/>
                </w:tcPr>
                <w:p w14:paraId="258FBA86">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4DE9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367FA9F8">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60B6B1D3">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具备独立的预处理、清洗、装配、危废贮存库等区域，清洗场地的规模应满足各清洗环节的基本要求。</w:t>
                  </w:r>
                </w:p>
              </w:tc>
              <w:tc>
                <w:tcPr>
                  <w:tcW w:w="1926" w:type="pct"/>
                  <w:vAlign w:val="center"/>
                </w:tcPr>
                <w:p w14:paraId="62E33E6A">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项目设置了预处理、清洗、危废暂存间等区域，清洗场地的规模满足各清洗环节要求。清洗过程中无拆卸工艺，不设拆卸、装配区域。</w:t>
                  </w:r>
                </w:p>
              </w:tc>
              <w:tc>
                <w:tcPr>
                  <w:tcW w:w="581" w:type="pct"/>
                  <w:shd w:val="clear" w:color="auto" w:fill="auto"/>
                  <w:vAlign w:val="center"/>
                </w:tcPr>
                <w:p w14:paraId="43CD9B5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6C59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06453930">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105C072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预处理、清洗、危废库建构筑物的耐火等级不应低于二级。</w:t>
                  </w:r>
                </w:p>
              </w:tc>
              <w:tc>
                <w:tcPr>
                  <w:tcW w:w="1926" w:type="pct"/>
                  <w:vAlign w:val="center"/>
                </w:tcPr>
                <w:p w14:paraId="596AD5CA">
                  <w:pPr>
                    <w:spacing w:line="240" w:lineRule="auto"/>
                    <w:ind w:firstLine="0" w:firstLineChars="0"/>
                    <w:rPr>
                      <w:rFonts w:ascii="Times New Roman" w:hAnsi="Times New Roman"/>
                      <w:color w:val="auto"/>
                      <w:sz w:val="21"/>
                      <w:szCs w:val="21"/>
                      <w:highlight w:val="none"/>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预处理、清洗、危废库建构筑物的耐火等级不低于二级。</w:t>
                  </w:r>
                </w:p>
              </w:tc>
              <w:tc>
                <w:tcPr>
                  <w:tcW w:w="581" w:type="pct"/>
                  <w:shd w:val="clear" w:color="auto" w:fill="auto"/>
                  <w:vAlign w:val="center"/>
                </w:tcPr>
                <w:p w14:paraId="4EE3B2F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4B6F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0CE7894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4B7E028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清洗、蒸洗、烘干等作业应在建筑物内进行。</w:t>
                  </w:r>
                </w:p>
              </w:tc>
              <w:tc>
                <w:tcPr>
                  <w:tcW w:w="1926" w:type="pct"/>
                  <w:vAlign w:val="center"/>
                </w:tcPr>
                <w:p w14:paraId="53554E6F">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本项目建设了清洗车间，清洗、蒸洗等作业均在建筑物内进行。</w:t>
                  </w:r>
                </w:p>
              </w:tc>
              <w:tc>
                <w:tcPr>
                  <w:tcW w:w="581" w:type="pct"/>
                  <w:shd w:val="clear" w:color="auto" w:fill="auto"/>
                  <w:vAlign w:val="center"/>
                </w:tcPr>
                <w:p w14:paraId="1A710B5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778B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6FB00213">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设备</w:t>
                  </w:r>
                </w:p>
              </w:tc>
              <w:tc>
                <w:tcPr>
                  <w:tcW w:w="2191" w:type="pct"/>
                  <w:vAlign w:val="center"/>
                </w:tcPr>
                <w:p w14:paraId="42A9966F">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罐体清洗机构至少配备以下设备设施</w:t>
                  </w:r>
                  <w:r>
                    <w:rPr>
                      <w:rFonts w:hint="eastAsia"/>
                      <w:color w:val="auto"/>
                      <w:sz w:val="21"/>
                      <w:szCs w:val="21"/>
                      <w:highlight w:val="none"/>
                      <w:lang w:eastAsia="zh-CN"/>
                    </w:rPr>
                    <w:t>：</w:t>
                  </w:r>
                  <w:r>
                    <w:rPr>
                      <w:rFonts w:hint="eastAsia" w:ascii="Times New Roman" w:hAnsi="Times New Roman"/>
                      <w:color w:val="auto"/>
                      <w:sz w:val="21"/>
                      <w:szCs w:val="21"/>
                      <w:highlight w:val="none"/>
                    </w:rPr>
                    <w:t>清洗用水、蒸气热源、动力电源设备</w:t>
                  </w:r>
                  <w:r>
                    <w:rPr>
                      <w:rFonts w:hint="eastAsia"/>
                      <w:color w:val="auto"/>
                      <w:sz w:val="21"/>
                      <w:szCs w:val="21"/>
                      <w:highlight w:val="none"/>
                      <w:lang w:eastAsia="zh-CN"/>
                    </w:rPr>
                    <w:t>。</w:t>
                  </w:r>
                </w:p>
              </w:tc>
              <w:tc>
                <w:tcPr>
                  <w:tcW w:w="1926" w:type="pct"/>
                  <w:vAlign w:val="center"/>
                </w:tcPr>
                <w:p w14:paraId="200E7C00">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本项目罐体清洗方式为高压水洗、蒸汽清洗两种方式，配备了清洗用水，高压水枪，高压清洗机、蒸汽发生器（电加热）等设备。</w:t>
                  </w:r>
                </w:p>
              </w:tc>
              <w:tc>
                <w:tcPr>
                  <w:tcW w:w="581" w:type="pct"/>
                  <w:shd w:val="clear" w:color="auto" w:fill="auto"/>
                  <w:vAlign w:val="center"/>
                </w:tcPr>
                <w:p w14:paraId="33A7494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7537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20925CF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介质确认</w:t>
                  </w:r>
                </w:p>
              </w:tc>
              <w:tc>
                <w:tcPr>
                  <w:tcW w:w="2191" w:type="pct"/>
                  <w:vAlign w:val="center"/>
                </w:tcPr>
                <w:p w14:paraId="63DC5B56">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根据用户提供的最后一次装运的货运单对介质进行确认，如罐体内运输介质品种不明确，用户应提供介质化验报告，最后一次装运的货运单或化验报告不应超过48h。危险货物运输单证包括危险货物包装容器使用证书、危险货物说明书、危险货物技术证明书等。</w:t>
                  </w:r>
                </w:p>
              </w:tc>
              <w:tc>
                <w:tcPr>
                  <w:tcW w:w="1926" w:type="pct"/>
                  <w:vAlign w:val="center"/>
                </w:tcPr>
                <w:p w14:paraId="12381E43">
                  <w:pPr>
                    <w:spacing w:line="240" w:lineRule="auto"/>
                    <w:ind w:firstLine="0" w:firstLineChars="0"/>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根据用户提供的最后一次装运的货运单对介质进行确认，如罐体内运输介质品种不明确，用户应提供介质化验报告，最后一次装运的货运单或化验报告不应超过48h。危险货物运输单证包括危险货物包装容器使用证书、危险货物说明书、危险货物技术证明书等。</w:t>
                  </w:r>
                </w:p>
              </w:tc>
              <w:tc>
                <w:tcPr>
                  <w:tcW w:w="581" w:type="pct"/>
                  <w:shd w:val="clear" w:color="auto" w:fill="auto"/>
                  <w:vAlign w:val="center"/>
                </w:tcPr>
                <w:p w14:paraId="7C614E2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32AC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77C5A06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作业指导书</w:t>
                  </w:r>
                </w:p>
              </w:tc>
              <w:tc>
                <w:tcPr>
                  <w:tcW w:w="2191" w:type="pct"/>
                  <w:vAlign w:val="center"/>
                </w:tcPr>
                <w:p w14:paraId="5B361933">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清洗机构应根据罐体清洗介质类别制定作业指导书。</w:t>
                  </w:r>
                </w:p>
              </w:tc>
              <w:tc>
                <w:tcPr>
                  <w:tcW w:w="1926" w:type="pct"/>
                  <w:vAlign w:val="center"/>
                </w:tcPr>
                <w:p w14:paraId="6E880862">
                  <w:pPr>
                    <w:spacing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本项目严格按照要求制定不同清洗介质的作业指导书。</w:t>
                  </w:r>
                </w:p>
              </w:tc>
              <w:tc>
                <w:tcPr>
                  <w:tcW w:w="581" w:type="pct"/>
                  <w:shd w:val="clear" w:color="auto" w:fill="auto"/>
                  <w:vAlign w:val="center"/>
                </w:tcPr>
                <w:p w14:paraId="0D837DC5">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3F5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4D62A99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3244D7FD">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作业指导书应根据危险货物的危险有害特性全面辨识清洗过程中的安全风险，明确对应措施和作业要求。</w:t>
                  </w:r>
                </w:p>
              </w:tc>
              <w:tc>
                <w:tcPr>
                  <w:tcW w:w="1926" w:type="pct"/>
                  <w:vAlign w:val="center"/>
                </w:tcPr>
                <w:p w14:paraId="24A93EFE">
                  <w:pPr>
                    <w:spacing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作业指导书根据危险货物的危险有害特性全面辨识清洗过程中的安全风险，明确对应措施和作业要求。</w:t>
                  </w:r>
                </w:p>
              </w:tc>
              <w:tc>
                <w:tcPr>
                  <w:tcW w:w="581" w:type="pct"/>
                  <w:shd w:val="clear" w:color="auto" w:fill="auto"/>
                  <w:vAlign w:val="center"/>
                </w:tcPr>
                <w:p w14:paraId="15CF17AA">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AC7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6070747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7EE6B837">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清洗机构应每年对作业指导书的适应性和有效性进行确认，至少每三年对作业指导书进一次审核修订。清洗机构发生生产安全事故事件或行业内发生典型事故时，应及时对作业指导书审查;设备设施等发生变更或风险分析提出修订要求时，应及时组织对相应内容进行修订。</w:t>
                  </w:r>
                </w:p>
              </w:tc>
              <w:tc>
                <w:tcPr>
                  <w:tcW w:w="1926" w:type="pct"/>
                  <w:vAlign w:val="center"/>
                </w:tcPr>
                <w:p w14:paraId="314E3A9E">
                  <w:pPr>
                    <w:spacing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每年对作业指导书的适应性和有效性进行确认，至少每三年对作业指导书进一次审核修订。清洗机构发生生产安全事故事件或行业内发生典型事故时，及时对作业指导书审查</w:t>
                  </w:r>
                  <w:r>
                    <w:rPr>
                      <w:rFonts w:hint="eastAsia"/>
                      <w:color w:val="auto"/>
                      <w:sz w:val="21"/>
                      <w:szCs w:val="21"/>
                      <w:highlight w:val="none"/>
                      <w:lang w:eastAsia="zh-CN"/>
                    </w:rPr>
                    <w:t>，</w:t>
                  </w:r>
                  <w:r>
                    <w:rPr>
                      <w:rFonts w:hint="eastAsia" w:ascii="Times New Roman" w:hAnsi="Times New Roman"/>
                      <w:color w:val="auto"/>
                      <w:sz w:val="21"/>
                      <w:szCs w:val="21"/>
                      <w:highlight w:val="none"/>
                    </w:rPr>
                    <w:t>设备设施等发生变更或风险分析提出修订要求时，及时组织对相应内容进行修订。</w:t>
                  </w:r>
                </w:p>
              </w:tc>
              <w:tc>
                <w:tcPr>
                  <w:tcW w:w="581" w:type="pct"/>
                  <w:shd w:val="clear" w:color="auto" w:fill="auto"/>
                  <w:vAlign w:val="center"/>
                </w:tcPr>
                <w:p w14:paraId="70D872F6">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66C9D650">
            <w:pPr>
              <w:ind w:firstLine="480"/>
              <w:jc w:val="left"/>
              <w:rPr>
                <w:rFonts w:hint="eastAsia" w:cs="宋体"/>
                <w:color w:val="auto"/>
                <w:kern w:val="0"/>
                <w:highlight w:val="none"/>
                <w:lang w:eastAsia="zh-CN"/>
              </w:rPr>
            </w:pPr>
            <w:r>
              <w:rPr>
                <w:rFonts w:hint="eastAsia" w:ascii="Times New Roman" w:hAnsi="Times New Roman"/>
                <w:color w:val="auto"/>
                <w:highlight w:val="none"/>
              </w:rPr>
              <w:t>综上所述，项目符合</w:t>
            </w:r>
            <w:r>
              <w:rPr>
                <w:rFonts w:hint="eastAsia" w:ascii="Times New Roman" w:hAnsi="Times New Roman" w:cs="宋体"/>
                <w:color w:val="auto"/>
                <w:kern w:val="0"/>
                <w:highlight w:val="none"/>
              </w:rPr>
              <w:t>《</w:t>
            </w:r>
            <w:r>
              <w:rPr>
                <w:rFonts w:hint="eastAsia" w:ascii="Times New Roman" w:hAnsi="Times New Roman"/>
                <w:color w:val="auto"/>
                <w:highlight w:val="none"/>
              </w:rPr>
              <w:t>道路运输液体危险货物罐式车辆罐体清洗要求</w:t>
            </w:r>
            <w:r>
              <w:rPr>
                <w:rFonts w:hint="eastAsia" w:ascii="Times New Roman" w:hAnsi="Times New Roman" w:cs="宋体"/>
                <w:color w:val="auto"/>
                <w:kern w:val="0"/>
                <w:highlight w:val="none"/>
              </w:rPr>
              <w:t>》中的相关要求</w:t>
            </w:r>
            <w:r>
              <w:rPr>
                <w:rFonts w:hint="eastAsia" w:cs="宋体"/>
                <w:color w:val="auto"/>
                <w:kern w:val="0"/>
                <w:highlight w:val="none"/>
                <w:lang w:eastAsia="zh-CN"/>
              </w:rPr>
              <w:t>。</w:t>
            </w:r>
          </w:p>
          <w:p w14:paraId="0A09663F">
            <w:pPr>
              <w:pStyle w:val="27"/>
              <w:keepNext w:val="0"/>
              <w:keepLines w:val="0"/>
              <w:pageBreakBefore w:val="0"/>
              <w:widowControl/>
              <w:kinsoku/>
              <w:wordWrap/>
              <w:overflowPunct/>
              <w:topLinePunct w:val="0"/>
              <w:autoSpaceDE/>
              <w:autoSpaceDN/>
              <w:bidi w:val="0"/>
              <w:adjustRightInd/>
              <w:snapToGrid/>
              <w:spacing w:before="0" w:beforeAutospacing="0" w:after="0" w:afterAutospacing="0"/>
              <w:ind w:firstLine="0"/>
              <w:jc w:val="both"/>
              <w:textAlignment w:val="auto"/>
              <w:rPr>
                <w:rFonts w:ascii="Times New Roman" w:hAnsi="Times New Roman"/>
                <w:b/>
                <w:bCs/>
                <w:color w:val="auto"/>
                <w:highlight w:val="none"/>
              </w:rPr>
            </w:pPr>
            <w:r>
              <w:rPr>
                <w:rFonts w:hint="eastAsia" w:ascii="Times New Roman" w:hAnsi="Times New Roman"/>
                <w:b/>
                <w:bCs/>
                <w:color w:val="auto"/>
                <w:highlight w:val="none"/>
                <w:lang w:val="en-US" w:eastAsia="zh-CN"/>
              </w:rPr>
              <w:t>12、与</w:t>
            </w:r>
            <w:r>
              <w:rPr>
                <w:rFonts w:hint="eastAsia" w:ascii="Times New Roman" w:hAnsi="Times New Roman"/>
                <w:b/>
                <w:bCs/>
                <w:color w:val="auto"/>
                <w:highlight w:val="none"/>
              </w:rPr>
              <w:t>《云南省地下水管理办法》符合性分析</w:t>
            </w:r>
          </w:p>
          <w:p w14:paraId="39199354">
            <w:pPr>
              <w:widowControl/>
              <w:adjustRightInd w:val="0"/>
              <w:snapToGrid w:val="0"/>
              <w:ind w:firstLine="480"/>
              <w:rPr>
                <w:color w:val="auto"/>
                <w:kern w:val="0"/>
                <w:highlight w:val="none"/>
                <w:lang w:bidi="ar"/>
              </w:rPr>
            </w:pPr>
            <w:r>
              <w:rPr>
                <w:rFonts w:hint="eastAsia"/>
                <w:color w:val="auto"/>
                <w:kern w:val="0"/>
                <w:highlight w:val="none"/>
                <w:lang w:bidi="ar"/>
              </w:rPr>
              <w:t>项目与《</w:t>
            </w:r>
            <w:r>
              <w:rPr>
                <w:color w:val="auto"/>
                <w:kern w:val="0"/>
                <w:highlight w:val="none"/>
                <w:lang w:bidi="ar"/>
              </w:rPr>
              <w:t>云南省</w:t>
            </w:r>
            <w:r>
              <w:rPr>
                <w:rFonts w:hint="eastAsia"/>
                <w:color w:val="auto"/>
                <w:kern w:val="0"/>
                <w:highlight w:val="none"/>
                <w:lang w:bidi="ar"/>
              </w:rPr>
              <w:t>地下水管理办法》符合性分析如下：</w:t>
            </w:r>
          </w:p>
          <w:p w14:paraId="577A65F9">
            <w:pPr>
              <w:widowControl/>
              <w:spacing w:line="240" w:lineRule="auto"/>
              <w:ind w:firstLine="0" w:firstLineChars="0"/>
              <w:jc w:val="center"/>
              <w:rPr>
                <w:b/>
                <w:bCs/>
                <w:color w:val="auto"/>
                <w:kern w:val="0"/>
                <w:sz w:val="21"/>
                <w:szCs w:val="21"/>
                <w:highlight w:val="none"/>
              </w:rPr>
            </w:pPr>
            <w:r>
              <w:rPr>
                <w:rFonts w:hint="eastAsia"/>
                <w:b/>
                <w:bCs/>
                <w:color w:val="auto"/>
                <w:kern w:val="0"/>
                <w:sz w:val="21"/>
                <w:szCs w:val="21"/>
                <w:highlight w:val="none"/>
                <w:lang w:bidi="ar"/>
              </w:rPr>
              <w:t>表1-1</w:t>
            </w:r>
            <w:r>
              <w:rPr>
                <w:rFonts w:hint="eastAsia"/>
                <w:b/>
                <w:bCs/>
                <w:color w:val="auto"/>
                <w:kern w:val="0"/>
                <w:sz w:val="21"/>
                <w:szCs w:val="21"/>
                <w:highlight w:val="none"/>
                <w:lang w:val="en-US" w:eastAsia="zh-CN" w:bidi="ar"/>
              </w:rPr>
              <w:t>5</w:t>
            </w:r>
            <w:r>
              <w:rPr>
                <w:rFonts w:hint="eastAsia"/>
                <w:b/>
                <w:bCs/>
                <w:color w:val="auto"/>
                <w:kern w:val="0"/>
                <w:sz w:val="21"/>
                <w:szCs w:val="21"/>
                <w:highlight w:val="none"/>
                <w:lang w:bidi="ar"/>
              </w:rPr>
              <w:t xml:space="preserve">  项目</w:t>
            </w:r>
            <w:r>
              <w:rPr>
                <w:rFonts w:hint="eastAsia"/>
                <w:b/>
                <w:bCs/>
                <w:color w:val="auto"/>
                <w:kern w:val="0"/>
                <w:sz w:val="21"/>
                <w:szCs w:val="21"/>
                <w:highlight w:val="none"/>
              </w:rPr>
              <w:t>与《云南省地下水管理办法》符合性</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7"/>
              <w:gridCol w:w="1515"/>
              <w:gridCol w:w="656"/>
            </w:tblGrid>
            <w:tr w14:paraId="3DDE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24" w:type="pct"/>
                  <w:vAlign w:val="center"/>
                </w:tcPr>
                <w:p w14:paraId="62940B18">
                  <w:pPr>
                    <w:widowControl/>
                    <w:spacing w:line="240" w:lineRule="auto"/>
                    <w:ind w:firstLine="0" w:firstLineChars="0"/>
                    <w:jc w:val="center"/>
                    <w:rPr>
                      <w:b/>
                      <w:bCs/>
                      <w:color w:val="auto"/>
                      <w:kern w:val="0"/>
                      <w:sz w:val="21"/>
                      <w:szCs w:val="21"/>
                      <w:highlight w:val="none"/>
                    </w:rPr>
                  </w:pPr>
                  <w:r>
                    <w:rPr>
                      <w:rFonts w:hint="eastAsia"/>
                      <w:b/>
                      <w:bCs/>
                      <w:color w:val="auto"/>
                      <w:kern w:val="0"/>
                      <w:sz w:val="21"/>
                      <w:szCs w:val="21"/>
                      <w:highlight w:val="none"/>
                    </w:rPr>
                    <w:t>办法内容</w:t>
                  </w:r>
                </w:p>
              </w:tc>
              <w:tc>
                <w:tcPr>
                  <w:tcW w:w="1099" w:type="pct"/>
                  <w:vAlign w:val="center"/>
                </w:tcPr>
                <w:p w14:paraId="30D1C0A7">
                  <w:pPr>
                    <w:widowControl/>
                    <w:spacing w:line="240" w:lineRule="auto"/>
                    <w:ind w:firstLine="0" w:firstLineChars="0"/>
                    <w:jc w:val="center"/>
                    <w:rPr>
                      <w:b/>
                      <w:bCs/>
                      <w:color w:val="auto"/>
                      <w:kern w:val="0"/>
                      <w:sz w:val="21"/>
                      <w:szCs w:val="21"/>
                      <w:highlight w:val="none"/>
                    </w:rPr>
                  </w:pPr>
                  <w:r>
                    <w:rPr>
                      <w:rFonts w:hint="eastAsia"/>
                      <w:b/>
                      <w:bCs/>
                      <w:color w:val="auto"/>
                      <w:kern w:val="0"/>
                      <w:sz w:val="21"/>
                      <w:szCs w:val="21"/>
                      <w:highlight w:val="none"/>
                    </w:rPr>
                    <w:t>项目情况</w:t>
                  </w:r>
                </w:p>
              </w:tc>
              <w:tc>
                <w:tcPr>
                  <w:tcW w:w="476" w:type="pct"/>
                  <w:vAlign w:val="center"/>
                </w:tcPr>
                <w:p w14:paraId="3645BF97">
                  <w:pPr>
                    <w:widowControl/>
                    <w:spacing w:line="240" w:lineRule="auto"/>
                    <w:ind w:firstLine="0" w:firstLineChars="0"/>
                    <w:jc w:val="center"/>
                    <w:rPr>
                      <w:b/>
                      <w:bCs/>
                      <w:color w:val="auto"/>
                      <w:kern w:val="0"/>
                      <w:sz w:val="21"/>
                      <w:szCs w:val="21"/>
                      <w:highlight w:val="none"/>
                    </w:rPr>
                  </w:pPr>
                  <w:r>
                    <w:rPr>
                      <w:rFonts w:hint="eastAsia"/>
                      <w:b/>
                      <w:bCs/>
                      <w:color w:val="auto"/>
                      <w:kern w:val="0"/>
                      <w:sz w:val="21"/>
                      <w:szCs w:val="21"/>
                      <w:highlight w:val="none"/>
                    </w:rPr>
                    <w:t>符合性</w:t>
                  </w:r>
                </w:p>
              </w:tc>
            </w:tr>
            <w:tr w14:paraId="4401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424" w:type="pct"/>
                  <w:vAlign w:val="center"/>
                </w:tcPr>
                <w:p w14:paraId="5E894EB4">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禁止下列污染或者可能污染地下水的行为：</w:t>
                  </w:r>
                </w:p>
                <w:p w14:paraId="6320772F">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（一）利用渗井、渗坑、裂隙、溶洞以及私设暗管等逃避监管的方式排放水污染物；</w:t>
                  </w:r>
                </w:p>
                <w:p w14:paraId="0E738D83">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（二）利用岩层孔隙、裂隙、溶洞、废弃矿坑等贮存石化原料及产品、农药、危险废物、城镇污水处理设施产生的污泥和处理后的污泥或者其他有毒有害物质；</w:t>
                  </w:r>
                </w:p>
                <w:p w14:paraId="65252834">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（三）利用无防渗漏措施的沟渠、坑塘等输送或者贮存含有毒污染物的废水、含病原体的污水和其他废弃物；</w:t>
                  </w:r>
                </w:p>
                <w:p w14:paraId="04B5C28D">
                  <w:pPr>
                    <w:pStyle w:val="51"/>
                    <w:adjustRightInd/>
                    <w:snapToGrid/>
                    <w:spacing w:beforeLines="0" w:afterLines="0" w:line="240" w:lineRule="auto"/>
                    <w:ind w:firstLine="0" w:firstLineChars="0"/>
                    <w:jc w:val="left"/>
                    <w:rPr>
                      <w:rFonts w:ascii="Times New Roman"/>
                      <w:color w:val="auto"/>
                      <w:sz w:val="21"/>
                      <w:highlight w:val="none"/>
                    </w:rPr>
                  </w:pPr>
                  <w:r>
                    <w:rPr>
                      <w:rFonts w:hint="eastAsia" w:ascii="Times New Roman"/>
                      <w:color w:val="auto"/>
                      <w:sz w:val="21"/>
                      <w:highlight w:val="none"/>
                    </w:rPr>
                    <w:t>（四）法律、法规禁止的其他污染或者可能污染地下水的行为。</w:t>
                  </w:r>
                </w:p>
              </w:tc>
              <w:tc>
                <w:tcPr>
                  <w:tcW w:w="1099" w:type="pct"/>
                  <w:vAlign w:val="center"/>
                </w:tcPr>
                <w:p w14:paraId="493FC9BB">
                  <w:pPr>
                    <w:pStyle w:val="51"/>
                    <w:adjustRightInd/>
                    <w:snapToGrid/>
                    <w:spacing w:beforeLines="0" w:afterLines="0" w:line="240" w:lineRule="auto"/>
                    <w:ind w:firstLine="0" w:firstLineChars="0"/>
                    <w:rPr>
                      <w:rFonts w:ascii="Times New Roman"/>
                      <w:color w:val="auto"/>
                      <w:sz w:val="21"/>
                      <w:highlight w:val="none"/>
                    </w:rPr>
                  </w:pPr>
                  <w:r>
                    <w:rPr>
                      <w:rFonts w:hint="eastAsia" w:ascii="Times New Roman"/>
                      <w:color w:val="auto"/>
                      <w:sz w:val="21"/>
                      <w:highlight w:val="none"/>
                    </w:rPr>
                    <w:t>本项目</w:t>
                  </w:r>
                  <w:r>
                    <w:rPr>
                      <w:rFonts w:hint="eastAsia" w:ascii="Times New Roman"/>
                      <w:color w:val="auto"/>
                      <w:sz w:val="21"/>
                      <w:highlight w:val="none"/>
                      <w:lang w:val="en-US" w:eastAsia="zh-CN"/>
                    </w:rPr>
                    <w:t>生产废水收集后进入隔油沉淀池后再进入一体化污水处理设施，处理达标后回用，不外排。</w:t>
                  </w:r>
                  <w:r>
                    <w:rPr>
                      <w:rFonts w:hint="eastAsia" w:ascii="Times New Roman"/>
                      <w:color w:val="auto"/>
                      <w:sz w:val="21"/>
                      <w:highlight w:val="none"/>
                    </w:rPr>
                    <w:t>项目不存在</w:t>
                  </w:r>
                  <w:r>
                    <w:rPr>
                      <w:rFonts w:hint="eastAsia" w:ascii="Times New Roman"/>
                      <w:color w:val="auto"/>
                      <w:sz w:val="21"/>
                      <w:highlight w:val="none"/>
                      <w:lang w:val="en-US" w:eastAsia="zh-CN"/>
                    </w:rPr>
                    <w:t>污染或可能污染地下水的</w:t>
                  </w:r>
                  <w:r>
                    <w:rPr>
                      <w:rFonts w:hint="eastAsia" w:ascii="Times New Roman"/>
                      <w:color w:val="auto"/>
                      <w:sz w:val="21"/>
                      <w:highlight w:val="none"/>
                    </w:rPr>
                    <w:t>行为。</w:t>
                  </w:r>
                </w:p>
              </w:tc>
              <w:tc>
                <w:tcPr>
                  <w:tcW w:w="476" w:type="pct"/>
                  <w:vAlign w:val="center"/>
                </w:tcPr>
                <w:p w14:paraId="7898D0CF">
                  <w:pPr>
                    <w:pStyle w:val="51"/>
                    <w:spacing w:beforeLines="0" w:afterLines="0" w:line="240" w:lineRule="auto"/>
                    <w:ind w:firstLine="0" w:firstLineChars="0"/>
                    <w:rPr>
                      <w:rFonts w:ascii="Times New Roman"/>
                      <w:color w:val="auto"/>
                      <w:sz w:val="21"/>
                      <w:highlight w:val="none"/>
                    </w:rPr>
                  </w:pPr>
                  <w:r>
                    <w:rPr>
                      <w:rFonts w:hint="eastAsia" w:ascii="Times New Roman"/>
                      <w:color w:val="auto"/>
                      <w:sz w:val="21"/>
                      <w:highlight w:val="none"/>
                    </w:rPr>
                    <w:t>符合</w:t>
                  </w:r>
                </w:p>
              </w:tc>
            </w:tr>
            <w:tr w14:paraId="017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24" w:type="pct"/>
                  <w:vAlign w:val="center"/>
                </w:tcPr>
                <w:p w14:paraId="1C8AEA2A">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企业事业单位和其他生产经营者应当采取下列措施，防止地下水污染：</w:t>
                  </w:r>
                </w:p>
                <w:p w14:paraId="2E26570C">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（一）兴建地下工程设施或者进行地下勘探、采矿等活动，依法编制的环境影响评价文件中，应当包括地下水污染防治的内容，并采取防护性措施；</w:t>
                  </w:r>
                </w:p>
                <w:p w14:paraId="1B38D857">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（二）化学品生产企业以及工业集聚区、矿山开采区、尾矿库、危险废物处置场、垃圾填埋场等的运营、管理单位，应当采取防渗漏等措施，建设地下水水质监测井，按照有关标准和技术规范进行监测；</w:t>
                  </w:r>
                </w:p>
                <w:p w14:paraId="28E254ED">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（三）加油站等的地下油罐应当使用双层罐或者采取建造防渗池等其他有效措施，并按照有关标准和技术规范进行防渗漏监测；</w:t>
                  </w:r>
                </w:p>
                <w:p w14:paraId="4674A490">
                  <w:pPr>
                    <w:pStyle w:val="51"/>
                    <w:spacing w:before="24" w:after="24" w:line="240" w:lineRule="auto"/>
                    <w:ind w:firstLine="0" w:firstLineChars="0"/>
                    <w:jc w:val="left"/>
                    <w:rPr>
                      <w:rFonts w:ascii="Times New Roman"/>
                      <w:color w:val="auto"/>
                      <w:sz w:val="21"/>
                      <w:highlight w:val="none"/>
                    </w:rPr>
                  </w:pPr>
                  <w:r>
                    <w:rPr>
                      <w:rFonts w:hint="eastAsia" w:ascii="Times New Roman"/>
                      <w:color w:val="auto"/>
                      <w:sz w:val="21"/>
                      <w:highlight w:val="none"/>
                    </w:rPr>
                    <w:t>（四）存放可溶性剧毒废渣的场所，应当采取防水、防渗漏、防流失的措施；</w:t>
                  </w:r>
                </w:p>
                <w:p w14:paraId="79D29BA1">
                  <w:pPr>
                    <w:pStyle w:val="51"/>
                    <w:adjustRightInd/>
                    <w:snapToGrid/>
                    <w:spacing w:beforeLines="0" w:afterLines="0" w:line="240" w:lineRule="auto"/>
                    <w:ind w:firstLine="0" w:firstLineChars="0"/>
                    <w:jc w:val="left"/>
                    <w:rPr>
                      <w:rFonts w:ascii="Times New Roman"/>
                      <w:color w:val="auto"/>
                      <w:sz w:val="21"/>
                      <w:highlight w:val="none"/>
                    </w:rPr>
                  </w:pPr>
                  <w:r>
                    <w:rPr>
                      <w:rFonts w:hint="eastAsia" w:ascii="Times New Roman"/>
                      <w:color w:val="auto"/>
                      <w:sz w:val="21"/>
                      <w:highlight w:val="none"/>
                    </w:rPr>
                    <w:t>（五）法律、法规规定应当采取的其他防止地下水污染的措施。</w:t>
                  </w:r>
                </w:p>
              </w:tc>
              <w:tc>
                <w:tcPr>
                  <w:tcW w:w="1099" w:type="pct"/>
                  <w:vAlign w:val="center"/>
                </w:tcPr>
                <w:p w14:paraId="57B39AE1">
                  <w:pPr>
                    <w:pStyle w:val="51"/>
                    <w:adjustRightInd/>
                    <w:snapToGrid/>
                    <w:spacing w:beforeLines="0" w:afterLines="0" w:line="240" w:lineRule="auto"/>
                    <w:ind w:firstLine="0" w:firstLineChars="0"/>
                    <w:rPr>
                      <w:rFonts w:ascii="Times New Roman"/>
                      <w:color w:val="auto"/>
                      <w:sz w:val="21"/>
                      <w:highlight w:val="none"/>
                    </w:rPr>
                  </w:pPr>
                  <w:r>
                    <w:rPr>
                      <w:rFonts w:hint="eastAsia" w:ascii="Times New Roman"/>
                      <w:color w:val="auto"/>
                      <w:sz w:val="21"/>
                      <w:highlight w:val="none"/>
                    </w:rPr>
                    <w:t>本项目</w:t>
                  </w:r>
                  <w:r>
                    <w:rPr>
                      <w:rFonts w:hint="eastAsia" w:ascii="Times New Roman"/>
                      <w:color w:val="auto"/>
                      <w:sz w:val="21"/>
                      <w:highlight w:val="none"/>
                      <w:lang w:val="en-US" w:eastAsia="zh-CN"/>
                    </w:rPr>
                    <w:t>为危险品罐车清洗场，收集的残液暂存在危废暂存间内，危废暂存间按要求进行防渗，并设置围堰。本项目</w:t>
                  </w:r>
                  <w:r>
                    <w:rPr>
                      <w:rFonts w:hint="eastAsia" w:ascii="Times New Roman"/>
                      <w:color w:val="auto"/>
                      <w:sz w:val="21"/>
                      <w:highlight w:val="none"/>
                    </w:rPr>
                    <w:t>不属于化学品生产、加油站等行业企业，项目</w:t>
                  </w:r>
                  <w:r>
                    <w:rPr>
                      <w:rFonts w:hint="eastAsia" w:ascii="Times New Roman"/>
                      <w:color w:val="auto"/>
                      <w:sz w:val="21"/>
                      <w:highlight w:val="none"/>
                      <w:lang w:val="en-US" w:eastAsia="zh-CN"/>
                    </w:rPr>
                    <w:t>运营</w:t>
                  </w:r>
                  <w:r>
                    <w:rPr>
                      <w:rFonts w:hint="eastAsia" w:ascii="Times New Roman"/>
                      <w:color w:val="auto"/>
                      <w:sz w:val="21"/>
                      <w:highlight w:val="none"/>
                    </w:rPr>
                    <w:t>过程中，采取了地下水污染防治措施，能够有效避免污染地下水。</w:t>
                  </w:r>
                </w:p>
              </w:tc>
              <w:tc>
                <w:tcPr>
                  <w:tcW w:w="476" w:type="pct"/>
                  <w:vAlign w:val="center"/>
                </w:tcPr>
                <w:p w14:paraId="1DF0030E">
                  <w:pPr>
                    <w:pStyle w:val="51"/>
                    <w:spacing w:beforeLines="0" w:afterLines="0" w:line="240" w:lineRule="auto"/>
                    <w:ind w:firstLine="0" w:firstLineChars="0"/>
                    <w:rPr>
                      <w:rFonts w:ascii="Times New Roman"/>
                      <w:color w:val="auto"/>
                      <w:sz w:val="21"/>
                      <w:highlight w:val="none"/>
                    </w:rPr>
                  </w:pPr>
                  <w:r>
                    <w:rPr>
                      <w:rFonts w:hint="eastAsia" w:ascii="Times New Roman"/>
                      <w:color w:val="auto"/>
                      <w:sz w:val="21"/>
                      <w:highlight w:val="none"/>
                    </w:rPr>
                    <w:t>符合</w:t>
                  </w:r>
                </w:p>
              </w:tc>
            </w:tr>
          </w:tbl>
          <w:p w14:paraId="3561DA2E">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rPr>
                <w:rFonts w:hint="eastAsia"/>
                <w:color w:val="auto"/>
                <w:lang w:eastAsia="zh-CN"/>
              </w:rPr>
            </w:pPr>
            <w:r>
              <w:rPr>
                <w:rFonts w:hint="eastAsia" w:ascii="Times New Roman" w:hAnsi="Times New Roman"/>
                <w:color w:val="auto"/>
                <w:highlight w:val="none"/>
                <w:lang w:bidi="ar"/>
              </w:rPr>
              <w:t>综上，项目建设符合《</w:t>
            </w:r>
            <w:r>
              <w:rPr>
                <w:rFonts w:ascii="Times New Roman" w:hAnsi="Times New Roman"/>
                <w:color w:val="auto"/>
                <w:highlight w:val="none"/>
                <w:lang w:bidi="ar"/>
              </w:rPr>
              <w:t>云南省</w:t>
            </w:r>
            <w:r>
              <w:rPr>
                <w:rFonts w:hint="eastAsia" w:ascii="Times New Roman" w:hAnsi="Times New Roman"/>
                <w:color w:val="auto"/>
                <w:highlight w:val="none"/>
                <w:lang w:bidi="ar"/>
              </w:rPr>
              <w:t>地下水管理办法》。</w:t>
            </w:r>
          </w:p>
          <w:p w14:paraId="24DB94B6">
            <w:pPr>
              <w:numPr>
                <w:ilvl w:val="0"/>
                <w:numId w:val="0"/>
              </w:numPr>
              <w:rPr>
                <w:rFonts w:ascii="Times New Roman" w:hAnsi="Times New Roman"/>
                <w:b/>
                <w:bCs/>
                <w:color w:val="auto"/>
                <w:highlight w:val="none"/>
              </w:rPr>
            </w:pPr>
            <w:r>
              <w:rPr>
                <w:rFonts w:hint="eastAsia"/>
                <w:b/>
                <w:bCs/>
                <w:color w:val="auto"/>
                <w:highlight w:val="none"/>
                <w:lang w:val="en-US" w:eastAsia="zh-CN"/>
              </w:rPr>
              <w:t>13、</w:t>
            </w:r>
            <w:r>
              <w:rPr>
                <w:rFonts w:hint="eastAsia" w:ascii="Times New Roman" w:hAnsi="Times New Roman"/>
                <w:b/>
                <w:bCs/>
                <w:color w:val="auto"/>
                <w:highlight w:val="none"/>
              </w:rPr>
              <w:t>总平面布置合理性分析</w:t>
            </w:r>
          </w:p>
          <w:p w14:paraId="5A3289DC">
            <w:pPr>
              <w:ind w:firstLine="480"/>
              <w:rPr>
                <w:rFonts w:hint="eastAsia" w:ascii="Times New Roman" w:hAnsi="Times New Roman"/>
                <w:color w:val="auto"/>
                <w:highlight w:val="none"/>
              </w:rPr>
            </w:pPr>
            <w:r>
              <w:rPr>
                <w:rFonts w:hint="eastAsia" w:ascii="Times New Roman" w:hAnsi="Times New Roman"/>
                <w:color w:val="auto"/>
                <w:highlight w:val="none"/>
              </w:rPr>
              <w:t>本项目总体布置分为停车场、清洗车间、</w:t>
            </w:r>
            <w:r>
              <w:rPr>
                <w:rFonts w:hint="eastAsia"/>
                <w:color w:val="auto"/>
                <w:highlight w:val="none"/>
                <w:lang w:val="en-US" w:eastAsia="zh-CN"/>
              </w:rPr>
              <w:t>办公</w:t>
            </w:r>
            <w:r>
              <w:rPr>
                <w:rFonts w:hint="eastAsia" w:ascii="Times New Roman" w:hAnsi="Times New Roman"/>
                <w:color w:val="auto"/>
                <w:highlight w:val="none"/>
              </w:rPr>
              <w:t>生活区</w:t>
            </w:r>
            <w:r>
              <w:rPr>
                <w:rFonts w:hint="eastAsia"/>
                <w:color w:val="auto"/>
                <w:highlight w:val="none"/>
                <w:lang w:val="en-US" w:eastAsia="zh-CN"/>
              </w:rPr>
              <w:t>三</w:t>
            </w:r>
            <w:r>
              <w:rPr>
                <w:rFonts w:hint="eastAsia" w:ascii="Times New Roman" w:hAnsi="Times New Roman"/>
                <w:color w:val="auto"/>
                <w:highlight w:val="none"/>
              </w:rPr>
              <w:t>个区域。清洗车间布置于项目区西南部，清洗车间南侧为生活区，剩余区域均作为停车场。项目区地势呈东北高西南低，</w:t>
            </w:r>
            <w:r>
              <w:rPr>
                <w:rFonts w:hint="eastAsia"/>
                <w:color w:val="auto"/>
                <w:highlight w:val="none"/>
                <w:lang w:val="en-US" w:eastAsia="zh-CN"/>
              </w:rPr>
              <w:t>隔油</w:t>
            </w:r>
            <w:r>
              <w:rPr>
                <w:rFonts w:hint="eastAsia" w:ascii="Times New Roman" w:hAnsi="Times New Roman"/>
                <w:color w:val="auto"/>
                <w:highlight w:val="none"/>
              </w:rPr>
              <w:t>沉淀池设置在清洗车间西南侧，一体化污水处理设施设置在</w:t>
            </w:r>
            <w:r>
              <w:rPr>
                <w:rFonts w:hint="eastAsia"/>
                <w:color w:val="auto"/>
                <w:highlight w:val="none"/>
                <w:lang w:val="en-US" w:eastAsia="zh-CN"/>
              </w:rPr>
              <w:t>隔油</w:t>
            </w:r>
            <w:r>
              <w:rPr>
                <w:rFonts w:hint="eastAsia" w:ascii="Times New Roman" w:hAnsi="Times New Roman"/>
                <w:color w:val="auto"/>
                <w:highlight w:val="none"/>
              </w:rPr>
              <w:t>沉淀池西南侧，清洗废水通过重力由清洗车间排入</w:t>
            </w:r>
            <w:r>
              <w:rPr>
                <w:rFonts w:hint="eastAsia"/>
                <w:color w:val="auto"/>
                <w:highlight w:val="none"/>
                <w:lang w:val="en-US" w:eastAsia="zh-CN"/>
              </w:rPr>
              <w:t>隔油</w:t>
            </w:r>
            <w:r>
              <w:rPr>
                <w:rFonts w:hint="eastAsia" w:ascii="Times New Roman" w:hAnsi="Times New Roman"/>
                <w:color w:val="auto"/>
                <w:highlight w:val="none"/>
              </w:rPr>
              <w:t>沉淀池再进入一体化污水处理设施。初期雨水池设置在停车场西南侧，初期雨水经收集池沉淀后回用场地洒水降尘，不外排。危废暂存间设置</w:t>
            </w:r>
            <w:r>
              <w:rPr>
                <w:rFonts w:hint="eastAsia"/>
                <w:color w:val="auto"/>
                <w:highlight w:val="none"/>
                <w:lang w:eastAsia="zh-CN"/>
              </w:rPr>
              <w:t>在</w:t>
            </w:r>
            <w:r>
              <w:rPr>
                <w:rFonts w:hint="eastAsia" w:ascii="Times New Roman" w:hAnsi="Times New Roman"/>
                <w:color w:val="auto"/>
                <w:highlight w:val="none"/>
              </w:rPr>
              <w:t>生活区北侧，用于暂存废油类物质等危险废物。</w:t>
            </w:r>
          </w:p>
          <w:p w14:paraId="409D301E">
            <w:pPr>
              <w:ind w:firstLine="480"/>
              <w:rPr>
                <w:rFonts w:hint="eastAsia"/>
                <w:color w:val="auto"/>
                <w:highlight w:val="red"/>
                <w:lang w:eastAsia="zh-CN"/>
              </w:rPr>
            </w:pPr>
            <w:r>
              <w:rPr>
                <w:rFonts w:hint="eastAsia" w:ascii="Times New Roman" w:hAnsi="Times New Roman"/>
                <w:color w:val="auto"/>
                <w:highlight w:val="none"/>
              </w:rPr>
              <w:t>根据</w:t>
            </w:r>
            <w:r>
              <w:rPr>
                <w:rFonts w:hint="eastAsia"/>
                <w:color w:val="auto"/>
                <w:highlight w:val="none"/>
                <w:lang w:val="en-US" w:eastAsia="zh-CN"/>
              </w:rPr>
              <w:t>本</w:t>
            </w:r>
            <w:r>
              <w:rPr>
                <w:rFonts w:hint="eastAsia" w:ascii="Times New Roman" w:hAnsi="Times New Roman"/>
                <w:color w:val="auto"/>
                <w:highlight w:val="none"/>
              </w:rPr>
              <w:t>项目的地形特点及生产生活的需求，在项目区靠近道路</w:t>
            </w:r>
            <w:r>
              <w:rPr>
                <w:rFonts w:hint="eastAsia"/>
                <w:color w:val="auto"/>
                <w:highlight w:val="none"/>
                <w:lang w:val="en-US" w:eastAsia="zh-CN"/>
              </w:rPr>
              <w:t>场界</w:t>
            </w:r>
            <w:r>
              <w:rPr>
                <w:rFonts w:hint="eastAsia" w:ascii="Times New Roman" w:hAnsi="Times New Roman"/>
                <w:color w:val="auto"/>
                <w:highlight w:val="none"/>
              </w:rPr>
              <w:t>西</w:t>
            </w:r>
            <w:r>
              <w:rPr>
                <w:rFonts w:hint="eastAsia"/>
                <w:color w:val="auto"/>
                <w:highlight w:val="none"/>
                <w:lang w:val="en-US" w:eastAsia="zh-CN"/>
              </w:rPr>
              <w:t>南</w:t>
            </w:r>
            <w:r>
              <w:rPr>
                <w:rFonts w:hint="eastAsia" w:ascii="Times New Roman" w:hAnsi="Times New Roman"/>
                <w:color w:val="auto"/>
                <w:highlight w:val="none"/>
              </w:rPr>
              <w:t>侧设置出入口，方便</w:t>
            </w:r>
            <w:r>
              <w:rPr>
                <w:rFonts w:hint="eastAsia"/>
                <w:color w:val="auto"/>
                <w:highlight w:val="none"/>
                <w:lang w:val="en-US" w:eastAsia="zh-CN"/>
              </w:rPr>
              <w:t>车辆出入</w:t>
            </w:r>
            <w:r>
              <w:rPr>
                <w:rFonts w:hint="eastAsia" w:ascii="Times New Roman" w:hAnsi="Times New Roman"/>
                <w:color w:val="auto"/>
                <w:highlight w:val="none"/>
              </w:rPr>
              <w:t>，减少相互之间的影响，项目总平面布置合理</w:t>
            </w:r>
            <w:r>
              <w:rPr>
                <w:rFonts w:hint="eastAsia"/>
                <w:color w:val="auto"/>
                <w:highlight w:val="none"/>
                <w:lang w:eastAsia="zh-CN"/>
              </w:rPr>
              <w:t>。</w:t>
            </w:r>
          </w:p>
          <w:p w14:paraId="04759D2A">
            <w:pPr>
              <w:numPr>
                <w:ilvl w:val="0"/>
                <w:numId w:val="0"/>
              </w:numPr>
              <w:rPr>
                <w:rFonts w:ascii="Times New Roman" w:hAnsi="Times New Roman"/>
                <w:b/>
                <w:bCs/>
                <w:color w:val="auto"/>
                <w:highlight w:val="none"/>
              </w:rPr>
            </w:pPr>
            <w:r>
              <w:rPr>
                <w:rFonts w:hint="eastAsia"/>
                <w:b/>
                <w:bCs/>
                <w:color w:val="auto"/>
                <w:highlight w:val="none"/>
                <w:lang w:val="en-US" w:eastAsia="zh-CN"/>
              </w:rPr>
              <w:t>14、</w:t>
            </w:r>
            <w:r>
              <w:rPr>
                <w:rFonts w:hint="eastAsia" w:ascii="Times New Roman" w:hAnsi="Times New Roman"/>
                <w:b/>
                <w:bCs/>
                <w:color w:val="auto"/>
                <w:highlight w:val="none"/>
              </w:rPr>
              <w:t>选址合理性分析</w:t>
            </w:r>
          </w:p>
          <w:p w14:paraId="33DEA19A">
            <w:pPr>
              <w:ind w:firstLine="480"/>
              <w:rPr>
                <w:rStyle w:val="33"/>
                <w:rFonts w:ascii="Times New Roman" w:hAnsi="Times New Roman"/>
                <w:color w:val="auto"/>
                <w:kern w:val="0"/>
                <w:highlight w:val="none"/>
              </w:rPr>
            </w:pPr>
            <w:r>
              <w:rPr>
                <w:rFonts w:hint="eastAsia"/>
                <w:color w:val="auto"/>
                <w:highlight w:val="none"/>
                <w:lang w:val="en-US" w:eastAsia="zh-CN"/>
              </w:rPr>
              <w:t>本项目</w:t>
            </w:r>
            <w:r>
              <w:rPr>
                <w:rFonts w:hint="eastAsia" w:ascii="Times New Roman" w:hAnsi="Times New Roman"/>
                <w:color w:val="auto"/>
                <w:highlight w:val="none"/>
              </w:rPr>
              <w:t>为</w:t>
            </w:r>
            <w:r>
              <w:rPr>
                <w:rFonts w:hint="eastAsia"/>
                <w:color w:val="auto"/>
                <w:highlight w:val="none"/>
                <w:lang w:val="en-US" w:eastAsia="zh-CN"/>
              </w:rPr>
              <w:t>危化品车辆清洗场，属于服务型商业活动。根据金所片区功能分区规划图，本项目位于中转物流区，项目主要为周边化工企业危化品运输车辆提供清洁服务</w:t>
            </w:r>
            <w:r>
              <w:rPr>
                <w:rFonts w:hint="eastAsia"/>
                <w:color w:val="auto"/>
                <w:highlight w:val="none"/>
                <w:lang w:eastAsia="zh-CN"/>
              </w:rPr>
              <w:t>。</w:t>
            </w:r>
            <w:r>
              <w:rPr>
                <w:rFonts w:hint="eastAsia" w:ascii="Times New Roman" w:hAnsi="Times New Roman"/>
                <w:color w:val="auto"/>
                <w:kern w:val="0"/>
                <w:highlight w:val="none"/>
              </w:rPr>
              <w:t>项目区域对本项目无制约因素。项目评价范围内无名胜古迹、风景区、自然保护区、饮用水源保护区等生态保护目标，不取用地下水，项目不涉及</w:t>
            </w:r>
            <w:r>
              <w:rPr>
                <w:rFonts w:hint="eastAsia"/>
                <w:color w:val="auto"/>
                <w:kern w:val="0"/>
                <w:highlight w:val="none"/>
                <w:lang w:eastAsia="zh-CN"/>
              </w:rPr>
              <w:t>永久</w:t>
            </w:r>
            <w:r>
              <w:rPr>
                <w:rFonts w:hint="eastAsia" w:ascii="Times New Roman" w:hAnsi="Times New Roman"/>
                <w:color w:val="auto"/>
                <w:kern w:val="0"/>
                <w:highlight w:val="none"/>
              </w:rPr>
              <w:t>基本农田，不在禁止开发区域，不在生态保护红线范围内。总体上，从多角度分析，本项目的选址是可行的。</w:t>
            </w:r>
          </w:p>
          <w:p w14:paraId="3EAA462A">
            <w:pPr>
              <w:jc w:val="left"/>
              <w:rPr>
                <w:rFonts w:hint="eastAsia"/>
                <w:b/>
                <w:bCs/>
                <w:color w:val="auto"/>
                <w:highlight w:val="none"/>
                <w:lang w:val="en-US" w:eastAsia="zh-CN"/>
              </w:rPr>
            </w:pPr>
            <w:r>
              <w:rPr>
                <w:rFonts w:hint="eastAsia"/>
                <w:b/>
                <w:bCs/>
                <w:color w:val="auto"/>
                <w:highlight w:val="none"/>
                <w:lang w:val="en-US" w:eastAsia="zh-CN"/>
              </w:rPr>
              <w:t>15、与周边环境相容性分析</w:t>
            </w:r>
          </w:p>
          <w:p w14:paraId="2B8D5B0D">
            <w:pPr>
              <w:ind w:firstLine="480"/>
              <w:jc w:val="left"/>
              <w:rPr>
                <w:rFonts w:hint="default"/>
                <w:color w:val="auto"/>
                <w:highlight w:val="none"/>
                <w:lang w:val="en-US" w:eastAsia="zh-CN"/>
              </w:rPr>
            </w:pPr>
            <w:r>
              <w:rPr>
                <w:rFonts w:hint="eastAsia"/>
                <w:color w:val="auto"/>
                <w:highlight w:val="none"/>
                <w:lang w:val="en-US" w:eastAsia="zh-CN"/>
              </w:rPr>
              <w:t>本项目位于云南省昆明市寻甸县特色产业园区金所片区，周边企业主要为化工、汽修轮胎等行业，项目主要为周边化工企业危化品运输车辆提供清洁服务</w:t>
            </w:r>
            <w:r>
              <w:rPr>
                <w:rFonts w:hint="eastAsia"/>
                <w:color w:val="auto"/>
                <w:highlight w:val="none"/>
                <w:lang w:eastAsia="zh-CN"/>
              </w:rPr>
              <w:t>。</w:t>
            </w:r>
            <w:r>
              <w:rPr>
                <w:rFonts w:hint="eastAsia"/>
                <w:color w:val="auto"/>
                <w:highlight w:val="none"/>
                <w:lang w:val="en-US" w:eastAsia="zh-CN"/>
              </w:rPr>
              <w:t>项目侧上风向存在大气敏感目标寻甸特色产业园区居民搬迁安置小区和寻甸同和精神病医院，其余周边无学校、文物保护、风景名胜等环境敏感目标存在，项目所在区域外环境情况相对简单，加上园区设施配套齐全，交通方便，外环境没有重大制约因素，因此，本项目与周围环境具有一定相容性，建设单位严格按照环评报告提出的污染防治措施做好生产管理，并确保废气、噪声等污染物实现达标排放的情况下，本项目的建设是可行的。项目所在区域周边关系见下表。</w:t>
            </w:r>
          </w:p>
          <w:p w14:paraId="51076654">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表1-1</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eastAsia="zh-CN"/>
              </w:rPr>
              <w:t xml:space="preserve">  项目周围环境关系一览表</w:t>
            </w:r>
          </w:p>
          <w:tbl>
            <w:tblPr>
              <w:tblStyle w:val="30"/>
              <w:tblW w:w="6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900"/>
              <w:gridCol w:w="2925"/>
              <w:gridCol w:w="1371"/>
            </w:tblGrid>
            <w:tr w14:paraId="7460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75F2B10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900" w:type="dxa"/>
                  <w:shd w:val="clear" w:color="auto" w:fill="auto"/>
                  <w:vAlign w:val="center"/>
                </w:tcPr>
                <w:p w14:paraId="01E7D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名称</w:t>
                  </w:r>
                </w:p>
              </w:tc>
              <w:tc>
                <w:tcPr>
                  <w:tcW w:w="2925" w:type="dxa"/>
                  <w:shd w:val="clear" w:color="auto" w:fill="auto"/>
                  <w:vAlign w:val="center"/>
                </w:tcPr>
                <w:p w14:paraId="42C2E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主营业务</w:t>
                  </w:r>
                </w:p>
              </w:tc>
              <w:tc>
                <w:tcPr>
                  <w:tcW w:w="1371" w:type="dxa"/>
                  <w:shd w:val="clear" w:color="auto" w:fill="auto"/>
                  <w:vAlign w:val="center"/>
                </w:tcPr>
                <w:p w14:paraId="1A242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方位/距离</w:t>
                  </w:r>
                </w:p>
              </w:tc>
            </w:tr>
            <w:tr w14:paraId="1782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4226744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900" w:type="dxa"/>
                  <w:vAlign w:val="center"/>
                </w:tcPr>
                <w:p w14:paraId="223CC0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云南先锋化工有限公司</w:t>
                  </w:r>
                </w:p>
              </w:tc>
              <w:tc>
                <w:tcPr>
                  <w:tcW w:w="2925" w:type="dxa"/>
                  <w:vAlign w:val="center"/>
                </w:tcPr>
                <w:p w14:paraId="4BD39FC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危化品生产、肥料生产</w:t>
                  </w:r>
                </w:p>
              </w:tc>
              <w:tc>
                <w:tcPr>
                  <w:tcW w:w="1371" w:type="dxa"/>
                  <w:vAlign w:val="center"/>
                </w:tcPr>
                <w:p w14:paraId="5D39F4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西北侧30m</w:t>
                  </w:r>
                </w:p>
              </w:tc>
            </w:tr>
            <w:tr w14:paraId="674F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014794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900" w:type="dxa"/>
                  <w:vAlign w:val="center"/>
                </w:tcPr>
                <w:p w14:paraId="274E9D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中化云龙有限公司</w:t>
                  </w:r>
                </w:p>
              </w:tc>
              <w:tc>
                <w:tcPr>
                  <w:tcW w:w="2925" w:type="dxa"/>
                  <w:vAlign w:val="center"/>
                </w:tcPr>
                <w:p w14:paraId="019631B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化工原料及产品生产销售</w:t>
                  </w:r>
                </w:p>
              </w:tc>
              <w:tc>
                <w:tcPr>
                  <w:tcW w:w="1371" w:type="dxa"/>
                  <w:vAlign w:val="center"/>
                </w:tcPr>
                <w:p w14:paraId="36D2FF5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西北侧325m</w:t>
                  </w:r>
                </w:p>
              </w:tc>
            </w:tr>
            <w:tr w14:paraId="2691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22244E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900" w:type="dxa"/>
                  <w:vAlign w:val="center"/>
                </w:tcPr>
                <w:p w14:paraId="22FC8A0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云南扬鑫建筑设施制造有限责任公司</w:t>
                  </w:r>
                </w:p>
              </w:tc>
              <w:tc>
                <w:tcPr>
                  <w:tcW w:w="2925" w:type="dxa"/>
                  <w:vAlign w:val="center"/>
                </w:tcPr>
                <w:p w14:paraId="5CFD5D4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电缆桥架、母线槽、配电箱柜及金属门窗的生产销售</w:t>
                  </w:r>
                </w:p>
              </w:tc>
              <w:tc>
                <w:tcPr>
                  <w:tcW w:w="1371" w:type="dxa"/>
                  <w:vAlign w:val="center"/>
                </w:tcPr>
                <w:p w14:paraId="7E2253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北侧35m</w:t>
                  </w:r>
                </w:p>
              </w:tc>
            </w:tr>
            <w:tr w14:paraId="0E4E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12BC823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900" w:type="dxa"/>
                  <w:vAlign w:val="center"/>
                </w:tcPr>
                <w:p w14:paraId="6942851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云南昌鼎饲料油脂加工有限公司</w:t>
                  </w:r>
                </w:p>
              </w:tc>
              <w:tc>
                <w:tcPr>
                  <w:tcW w:w="2925" w:type="dxa"/>
                  <w:vAlign w:val="center"/>
                </w:tcPr>
                <w:p w14:paraId="5432A5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饲料加工生产</w:t>
                  </w:r>
                </w:p>
              </w:tc>
              <w:tc>
                <w:tcPr>
                  <w:tcW w:w="1371" w:type="dxa"/>
                  <w:vAlign w:val="center"/>
                </w:tcPr>
                <w:p w14:paraId="4A6FD2E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北侧90m</w:t>
                  </w:r>
                </w:p>
              </w:tc>
            </w:tr>
            <w:tr w14:paraId="36D8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4DF98CD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900" w:type="dxa"/>
                  <w:vAlign w:val="center"/>
                </w:tcPr>
                <w:p w14:paraId="0F5736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云南黄玉建筑材料有限责任公司</w:t>
                  </w:r>
                </w:p>
              </w:tc>
              <w:tc>
                <w:tcPr>
                  <w:tcW w:w="2925" w:type="dxa"/>
                  <w:vAlign w:val="center"/>
                </w:tcPr>
                <w:p w14:paraId="540BA95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塑料管、板、型材料制造销售</w:t>
                  </w:r>
                </w:p>
              </w:tc>
              <w:tc>
                <w:tcPr>
                  <w:tcW w:w="1371" w:type="dxa"/>
                  <w:vAlign w:val="center"/>
                </w:tcPr>
                <w:p w14:paraId="494A865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北侧183m</w:t>
                  </w:r>
                </w:p>
              </w:tc>
            </w:tr>
            <w:tr w14:paraId="7557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500884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4825" w:type="dxa"/>
                  <w:gridSpan w:val="2"/>
                  <w:vAlign w:val="center"/>
                </w:tcPr>
                <w:p w14:paraId="33DE3C6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寻甸特色产业园区居民搬迁安置小区</w:t>
                  </w:r>
                </w:p>
              </w:tc>
              <w:tc>
                <w:tcPr>
                  <w:tcW w:w="1371" w:type="dxa"/>
                  <w:vAlign w:val="center"/>
                </w:tcPr>
                <w:p w14:paraId="2BC01A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西侧230m</w:t>
                  </w:r>
                </w:p>
              </w:tc>
            </w:tr>
            <w:tr w14:paraId="1FE7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5A0C45F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4825" w:type="dxa"/>
                  <w:gridSpan w:val="2"/>
                  <w:vAlign w:val="center"/>
                </w:tcPr>
                <w:p w14:paraId="56E1BA1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寻甸同和精神病医院</w:t>
                  </w:r>
                </w:p>
              </w:tc>
              <w:tc>
                <w:tcPr>
                  <w:tcW w:w="1371" w:type="dxa"/>
                  <w:vAlign w:val="center"/>
                </w:tcPr>
                <w:p w14:paraId="75C0EA3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南侧230m</w:t>
                  </w:r>
                </w:p>
              </w:tc>
            </w:tr>
          </w:tbl>
          <w:p w14:paraId="4B80DD12">
            <w:pPr>
              <w:ind w:firstLine="480"/>
              <w:jc w:val="left"/>
              <w:rPr>
                <w:rFonts w:hint="eastAsia"/>
                <w:color w:val="auto"/>
                <w:highlight w:val="none"/>
                <w:lang w:eastAsia="zh-CN"/>
              </w:rPr>
            </w:pPr>
            <w:r>
              <w:rPr>
                <w:rFonts w:hint="eastAsia" w:ascii="Times New Roman" w:hAnsi="Times New Roman"/>
                <w:color w:val="auto"/>
                <w:highlight w:val="none"/>
              </w:rPr>
              <w:t>从对项目周边企业情况调查可知，周围的企业主要为</w:t>
            </w:r>
            <w:r>
              <w:rPr>
                <w:rFonts w:hint="eastAsia"/>
                <w:color w:val="auto"/>
                <w:highlight w:val="none"/>
                <w:lang w:val="en-US" w:eastAsia="zh-CN"/>
              </w:rPr>
              <w:t>化工类、建筑材料制造</w:t>
            </w:r>
            <w:r>
              <w:rPr>
                <w:rFonts w:hint="eastAsia" w:ascii="Times New Roman" w:hAnsi="Times New Roman"/>
                <w:color w:val="auto"/>
                <w:highlight w:val="none"/>
              </w:rPr>
              <w:t>企业，项目主要为周边化工企业危化品运输车辆提供清洁服务</w:t>
            </w:r>
            <w:r>
              <w:rPr>
                <w:rFonts w:hint="eastAsia"/>
                <w:color w:val="auto"/>
                <w:highlight w:val="none"/>
                <w:lang w:eastAsia="zh-CN"/>
              </w:rPr>
              <w:t>，</w:t>
            </w:r>
            <w:r>
              <w:rPr>
                <w:rFonts w:hint="eastAsia" w:ascii="Times New Roman" w:hAnsi="Times New Roman"/>
                <w:color w:val="auto"/>
                <w:highlight w:val="none"/>
              </w:rPr>
              <w:t>对本项目无制约性因素。本项目的主要污染物是</w:t>
            </w:r>
            <w:r>
              <w:rPr>
                <w:rFonts w:hint="eastAsia"/>
                <w:color w:val="auto"/>
                <w:highlight w:val="none"/>
                <w:lang w:val="en-US" w:eastAsia="zh-CN"/>
              </w:rPr>
              <w:t>非甲烷总烃</w:t>
            </w:r>
            <w:r>
              <w:rPr>
                <w:rFonts w:hint="eastAsia" w:ascii="Times New Roman" w:hAnsi="Times New Roman"/>
                <w:color w:val="auto"/>
                <w:highlight w:val="none"/>
              </w:rPr>
              <w:t>、固废及噪声，经过相应的措施处理后，可以做到达标排放</w:t>
            </w:r>
            <w:r>
              <w:rPr>
                <w:rFonts w:hint="eastAsia"/>
                <w:color w:val="auto"/>
                <w:highlight w:val="none"/>
                <w:lang w:eastAsia="zh-CN"/>
              </w:rPr>
              <w:t>。</w:t>
            </w:r>
            <w:r>
              <w:rPr>
                <w:rFonts w:hint="eastAsia" w:ascii="Times New Roman" w:hAnsi="Times New Roman"/>
                <w:color w:val="auto"/>
                <w:highlight w:val="none"/>
              </w:rPr>
              <w:t>项目周边</w:t>
            </w:r>
            <w:r>
              <w:rPr>
                <w:rFonts w:hint="eastAsia"/>
                <w:color w:val="auto"/>
                <w:highlight w:val="none"/>
                <w:lang w:val="en-US" w:eastAsia="zh-CN"/>
              </w:rPr>
              <w:t>主要为化工类、建筑材料制造</w:t>
            </w:r>
            <w:r>
              <w:rPr>
                <w:rFonts w:hint="eastAsia" w:ascii="Times New Roman" w:hAnsi="Times New Roman"/>
                <w:color w:val="auto"/>
                <w:highlight w:val="none"/>
              </w:rPr>
              <w:t>企业，寻甸特色产业园区居民搬迁安置小区位于项目侧上风向</w:t>
            </w:r>
            <w:r>
              <w:rPr>
                <w:rFonts w:hint="eastAsia"/>
                <w:color w:val="auto"/>
                <w:highlight w:val="none"/>
                <w:lang w:eastAsia="zh-CN"/>
              </w:rPr>
              <w:t>，</w:t>
            </w:r>
            <w:r>
              <w:rPr>
                <w:rFonts w:hint="eastAsia" w:ascii="Times New Roman" w:hAnsi="Times New Roman"/>
                <w:color w:val="auto"/>
                <w:highlight w:val="none"/>
              </w:rPr>
              <w:t>项目建设对周围企业</w:t>
            </w:r>
            <w:r>
              <w:rPr>
                <w:rFonts w:hint="eastAsia"/>
                <w:color w:val="auto"/>
                <w:highlight w:val="none"/>
                <w:lang w:val="en-US" w:eastAsia="zh-CN"/>
              </w:rPr>
              <w:t>及敏感目标</w:t>
            </w:r>
            <w:r>
              <w:rPr>
                <w:rFonts w:hint="eastAsia" w:ascii="Times New Roman" w:hAnsi="Times New Roman"/>
                <w:color w:val="auto"/>
                <w:highlight w:val="none"/>
              </w:rPr>
              <w:t>影响不大。综上所述，项目与周边环境是相容的</w:t>
            </w:r>
            <w:r>
              <w:rPr>
                <w:rFonts w:hint="eastAsia"/>
                <w:color w:val="auto"/>
                <w:highlight w:val="none"/>
                <w:lang w:eastAsia="zh-CN"/>
              </w:rPr>
              <w:t>。</w:t>
            </w:r>
          </w:p>
          <w:p w14:paraId="2E9D1FE4">
            <w:pPr>
              <w:ind w:firstLine="480"/>
              <w:jc w:val="left"/>
              <w:rPr>
                <w:rFonts w:hint="eastAsia"/>
                <w:color w:val="auto"/>
                <w:highlight w:val="none"/>
                <w:lang w:eastAsia="zh-CN"/>
              </w:rPr>
            </w:pPr>
          </w:p>
          <w:p w14:paraId="62B75216">
            <w:pPr>
              <w:ind w:firstLine="480"/>
              <w:jc w:val="left"/>
              <w:rPr>
                <w:rFonts w:hint="eastAsia"/>
                <w:color w:val="auto"/>
                <w:highlight w:val="none"/>
                <w:lang w:eastAsia="zh-CN"/>
              </w:rPr>
            </w:pPr>
          </w:p>
          <w:p w14:paraId="246B6F28">
            <w:pPr>
              <w:ind w:firstLine="480"/>
              <w:jc w:val="left"/>
              <w:rPr>
                <w:rFonts w:hint="eastAsia"/>
                <w:color w:val="auto"/>
                <w:highlight w:val="none"/>
                <w:lang w:eastAsia="zh-CN"/>
              </w:rPr>
            </w:pPr>
          </w:p>
          <w:p w14:paraId="3EABC98E">
            <w:pPr>
              <w:ind w:firstLine="480"/>
              <w:jc w:val="left"/>
              <w:rPr>
                <w:rFonts w:hint="eastAsia"/>
                <w:color w:val="auto"/>
                <w:highlight w:val="none"/>
                <w:lang w:eastAsia="zh-CN"/>
              </w:rPr>
            </w:pPr>
          </w:p>
          <w:p w14:paraId="2AF51790">
            <w:pPr>
              <w:ind w:firstLine="480"/>
              <w:jc w:val="left"/>
              <w:rPr>
                <w:rFonts w:hint="eastAsia"/>
                <w:color w:val="auto"/>
                <w:highlight w:val="none"/>
                <w:lang w:eastAsia="zh-CN"/>
              </w:rPr>
            </w:pPr>
          </w:p>
          <w:p w14:paraId="31C402A5">
            <w:pPr>
              <w:ind w:firstLine="480"/>
              <w:jc w:val="left"/>
              <w:rPr>
                <w:rFonts w:hint="eastAsia"/>
                <w:color w:val="auto"/>
                <w:highlight w:val="none"/>
                <w:lang w:eastAsia="zh-CN"/>
              </w:rPr>
            </w:pPr>
          </w:p>
          <w:p w14:paraId="655785DA">
            <w:pPr>
              <w:ind w:firstLine="480"/>
              <w:jc w:val="left"/>
              <w:rPr>
                <w:rFonts w:hint="eastAsia"/>
                <w:color w:val="auto"/>
                <w:highlight w:val="none"/>
                <w:lang w:val="en-US" w:eastAsia="zh-CN"/>
              </w:rPr>
            </w:pPr>
          </w:p>
        </w:tc>
      </w:tr>
    </w:tbl>
    <w:p w14:paraId="6DC68A23">
      <w:pPr>
        <w:rPr>
          <w:color w:val="auto"/>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3DA54B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6" w:name="_Toc30312"/>
      <w:r>
        <w:rPr>
          <w:rFonts w:hint="eastAsia" w:ascii="黑体" w:hAnsi="黑体" w:eastAsia="黑体" w:cs="黑体"/>
          <w:color w:val="auto"/>
          <w:sz w:val="30"/>
          <w:szCs w:val="30"/>
          <w:lang w:val="en-US" w:eastAsia="zh-CN"/>
        </w:rPr>
        <w:t>二、建设项目工程分析</w:t>
      </w:r>
      <w:bookmarkEnd w:id="6"/>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69"/>
      </w:tblGrid>
      <w:tr w14:paraId="05C7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1BD108B7">
            <w:pPr>
              <w:jc w:val="center"/>
              <w:rPr>
                <w:color w:val="auto"/>
                <w:vertAlign w:val="baseline"/>
              </w:rPr>
            </w:pPr>
            <w:r>
              <w:rPr>
                <w:rFonts w:hint="eastAsia"/>
                <w:color w:val="auto"/>
                <w:vertAlign w:val="baseline"/>
              </w:rPr>
              <w:t>建设内容</w:t>
            </w:r>
          </w:p>
        </w:tc>
        <w:tc>
          <w:tcPr>
            <w:tcW w:w="8069" w:type="dxa"/>
          </w:tcPr>
          <w:p w14:paraId="5F239F57">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一、项目背景</w:t>
            </w:r>
          </w:p>
          <w:p w14:paraId="3A32EDB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vertAlign w:val="baseline"/>
                <w:lang w:val="en-US" w:eastAsia="zh-CN"/>
              </w:rPr>
            </w:pPr>
            <w:r>
              <w:rPr>
                <w:rFonts w:hint="eastAsia"/>
                <w:color w:val="auto"/>
                <w:vertAlign w:val="baseline"/>
                <w:lang w:val="en-US" w:eastAsia="zh-CN"/>
              </w:rPr>
              <w:t>寻甸县运良商贸有限公司成立于2012年12月11日，位于云南省昆明市寻甸县特色产业园区金所片区，经营范围主要包括停车场服务、普通货物仓储服务等。本项目用地原属于云南明兴物流有限公司，2014年因云南明兴物流有限公司与本项目法人胡运良存在债务纠纷，2015年在金所人民调解委员会的调解下，双方达成如下协议：云南明兴物流有限公司将两套商铺及商铺前空地抵押给胡运良，云南明兴物流有限公司欠款由胡运良解决，本项目用地为商铺前空地，属于抵押资产中的一部分。因此，本项目用地目前属于胡运良（寻甸县运良商贸有限公司）所有。</w:t>
            </w:r>
          </w:p>
          <w:p w14:paraId="5F397E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vertAlign w:val="baseline"/>
                <w:lang w:val="en-US" w:eastAsia="zh-CN"/>
              </w:rPr>
            </w:pPr>
            <w:r>
              <w:rPr>
                <w:rFonts w:hint="eastAsia"/>
                <w:color w:val="auto"/>
                <w:vertAlign w:val="baseline"/>
                <w:lang w:val="en-US" w:eastAsia="zh-CN"/>
              </w:rPr>
              <w:t>现根据业务发展需要，</w:t>
            </w:r>
            <w:r>
              <w:rPr>
                <w:rFonts w:hint="eastAsia"/>
                <w:color w:val="auto"/>
                <w:kern w:val="0"/>
                <w:lang w:val="en-US" w:eastAsia="zh-CN"/>
              </w:rPr>
              <w:t>在该停车场内建设危化品车辆清洗项目，建设单位于2024年12月25向寻甸回族彝族自治县发展和改革局申请投资项目备案证，但因</w:t>
            </w:r>
            <w:r>
              <w:rPr>
                <w:rFonts w:hint="eastAsia"/>
                <w:color w:val="auto"/>
                <w:kern w:val="0"/>
                <w:highlight w:val="none"/>
                <w:lang w:val="en-US" w:eastAsia="zh-CN"/>
              </w:rPr>
              <w:t>投资金额未达到发证标准</w:t>
            </w:r>
            <w:r>
              <w:rPr>
                <w:rFonts w:hint="eastAsia"/>
                <w:color w:val="auto"/>
                <w:kern w:val="0"/>
                <w:lang w:val="en-US" w:eastAsia="zh-CN"/>
              </w:rPr>
              <w:t>，因此寻甸回族彝族自治县发展和改革局未出具投资项目备案证，仅为本项目赋码（项目代码为2412-530129-04-05-694814），</w:t>
            </w:r>
            <w:r>
              <w:rPr>
                <w:rFonts w:hint="eastAsia"/>
                <w:color w:val="auto"/>
                <w:vertAlign w:val="baseline"/>
              </w:rPr>
              <w:t>项目总用地面积</w:t>
            </w:r>
            <w:r>
              <w:rPr>
                <w:rFonts w:hint="eastAsia"/>
                <w:color w:val="auto"/>
                <w:vertAlign w:val="baseline"/>
                <w:lang w:val="en-US" w:eastAsia="zh-CN"/>
              </w:rPr>
              <w:t>约</w:t>
            </w:r>
            <w:r>
              <w:rPr>
                <w:rFonts w:hint="eastAsia"/>
                <w:color w:val="auto"/>
                <w:vertAlign w:val="baseline"/>
              </w:rPr>
              <w:t>为</w:t>
            </w: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color w:val="auto"/>
                <w:vertAlign w:val="baseline"/>
              </w:rPr>
              <w:t>，</w:t>
            </w:r>
            <w:r>
              <w:rPr>
                <w:rFonts w:hint="eastAsia"/>
                <w:color w:val="auto"/>
                <w:kern w:val="0"/>
                <w:lang w:val="en-US" w:eastAsia="zh-CN"/>
              </w:rPr>
              <w:t>建成后年清洗危险品运输罐车900辆。</w:t>
            </w:r>
          </w:p>
          <w:p w14:paraId="34C56CFC">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vertAlign w:val="baseline"/>
              </w:rPr>
              <w:t>根据《中华人民共和国环境保护法》、《中华人民共和国环境影响评价法》和国务院第682号令《建设项目环境保护管理条例》(2017年修订)，本项目应开展环境影响评价工作。根据《建设项目环境影响评价分类管理名录》(2021年版)的有关规定，建设项目属于“五十、社会事业与服务业—120、洗车场—危险化学品运输车辆清洗场”，应当编制环境影响报告表。建设单位委托我公司（</w:t>
            </w:r>
            <w:r>
              <w:rPr>
                <w:rFonts w:hint="eastAsia"/>
                <w:color w:val="auto"/>
                <w:highlight w:val="none"/>
                <w:vertAlign w:val="baseline"/>
              </w:rPr>
              <w:t>云南</w:t>
            </w:r>
            <w:r>
              <w:rPr>
                <w:rFonts w:hint="eastAsia"/>
                <w:color w:val="auto"/>
                <w:highlight w:val="none"/>
                <w:vertAlign w:val="baseline"/>
                <w:lang w:val="en-US" w:eastAsia="zh-CN"/>
              </w:rPr>
              <w:t>绿韵环保科技</w:t>
            </w:r>
            <w:r>
              <w:rPr>
                <w:rFonts w:hint="eastAsia"/>
                <w:color w:val="auto"/>
                <w:highlight w:val="none"/>
                <w:vertAlign w:val="baseline"/>
              </w:rPr>
              <w:t>有限公司）承</w:t>
            </w:r>
            <w:r>
              <w:rPr>
                <w:rFonts w:hint="eastAsia"/>
                <w:color w:val="auto"/>
                <w:vertAlign w:val="baseline"/>
              </w:rPr>
              <w:t>担该项目环境影响评价工作，我公司按照环评工作的实际需要开展了详细现场踏勘、资料收集工作，按照《建设项目环境影响报告表编制技术指南（污染影响类）（试行）》的要求，在环境质量现状调查、工程影响分析、工程环保措施论证的基础上，编制了本环境影响报告表，供建设单位上报审批。</w:t>
            </w:r>
          </w:p>
          <w:p w14:paraId="2FA775FA">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二、建设项目基本概况</w:t>
            </w:r>
          </w:p>
          <w:p w14:paraId="3475D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eastAsia="宋体"/>
                <w:color w:val="auto"/>
                <w:kern w:val="0"/>
                <w:lang w:val="en-US" w:eastAsia="zh-CN"/>
              </w:rPr>
            </w:pPr>
            <w:r>
              <w:rPr>
                <w:rFonts w:hint="eastAsia"/>
                <w:color w:val="auto"/>
                <w:kern w:val="0"/>
              </w:rPr>
              <w:t>项目名称：</w:t>
            </w:r>
            <w:r>
              <w:rPr>
                <w:rFonts w:hint="eastAsia"/>
                <w:color w:val="auto"/>
                <w:kern w:val="0"/>
                <w:lang w:val="en-US" w:eastAsia="zh-CN"/>
              </w:rPr>
              <w:t>危险品车辆清洗</w:t>
            </w:r>
          </w:p>
          <w:p w14:paraId="50ECC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eastAsia"/>
                <w:color w:val="auto"/>
                <w:kern w:val="0"/>
              </w:rPr>
              <w:t>项目建设单位：寻甸县运良商贸有限公司</w:t>
            </w:r>
          </w:p>
          <w:p w14:paraId="13896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eastAsia"/>
                <w:color w:val="auto"/>
                <w:kern w:val="0"/>
              </w:rPr>
              <w:t>项目建设性质：新建</w:t>
            </w:r>
          </w:p>
          <w:p w14:paraId="0FAB6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default"/>
                <w:color w:val="auto"/>
                <w:kern w:val="0"/>
              </w:rPr>
              <w:t>项目建设地点：云南省昆明市寻甸县特色产业园区金所片区，中心地理坐标为经度103°12′20.282″，纬度25°33′19.857″。</w:t>
            </w:r>
          </w:p>
          <w:p w14:paraId="73477090">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kern w:val="0"/>
                <w:highlight w:val="none"/>
              </w:rPr>
              <w:t>项目投资：</w:t>
            </w:r>
            <w:r>
              <w:rPr>
                <w:rFonts w:hint="eastAsia"/>
                <w:color w:val="auto"/>
                <w:kern w:val="0"/>
              </w:rPr>
              <w:t>本项</w:t>
            </w:r>
            <w:r>
              <w:rPr>
                <w:rFonts w:hint="eastAsia"/>
                <w:color w:val="auto"/>
                <w:kern w:val="0"/>
                <w:highlight w:val="none"/>
              </w:rPr>
              <w:t>目总投资为</w:t>
            </w:r>
            <w:r>
              <w:rPr>
                <w:rFonts w:hint="eastAsia"/>
                <w:color w:val="auto"/>
                <w:kern w:val="0"/>
                <w:highlight w:val="none"/>
                <w:lang w:val="en-US" w:eastAsia="zh-CN"/>
              </w:rPr>
              <w:t>50</w:t>
            </w:r>
            <w:r>
              <w:rPr>
                <w:rFonts w:hint="eastAsia"/>
                <w:color w:val="auto"/>
                <w:kern w:val="0"/>
                <w:highlight w:val="none"/>
              </w:rPr>
              <w:t>万元</w:t>
            </w:r>
            <w:r>
              <w:rPr>
                <w:rFonts w:hint="eastAsia"/>
                <w:color w:val="auto"/>
                <w:kern w:val="0"/>
              </w:rPr>
              <w:t>，其中环保投资约为</w:t>
            </w:r>
            <w:r>
              <w:rPr>
                <w:rFonts w:hint="eastAsia"/>
                <w:color w:val="auto"/>
                <w:kern w:val="0"/>
                <w:lang w:val="en-US" w:eastAsia="zh-CN"/>
              </w:rPr>
              <w:t>8.7</w:t>
            </w:r>
            <w:r>
              <w:rPr>
                <w:rFonts w:hint="eastAsia"/>
                <w:color w:val="auto"/>
                <w:kern w:val="0"/>
              </w:rPr>
              <w:t>万元，占总投资的</w:t>
            </w:r>
            <w:r>
              <w:rPr>
                <w:rFonts w:hint="eastAsia"/>
                <w:color w:val="auto"/>
                <w:kern w:val="0"/>
                <w:lang w:val="en-US" w:eastAsia="zh-CN"/>
              </w:rPr>
              <w:t>17.4</w:t>
            </w:r>
            <w:r>
              <w:rPr>
                <w:rFonts w:hint="eastAsia"/>
                <w:color w:val="auto"/>
                <w:kern w:val="0"/>
              </w:rPr>
              <w:t>%，项目建设资金全部由建设单位自筹解决。</w:t>
            </w:r>
          </w:p>
          <w:p w14:paraId="4438191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bCs/>
                <w:color w:val="auto"/>
                <w:vertAlign w:val="baseline"/>
                <w:lang w:val="en-US" w:eastAsia="zh-CN"/>
              </w:rPr>
            </w:pPr>
            <w:r>
              <w:rPr>
                <w:rFonts w:hint="eastAsia"/>
                <w:b/>
                <w:bCs/>
                <w:color w:val="auto"/>
                <w:vertAlign w:val="baseline"/>
                <w:lang w:val="en-US" w:eastAsia="zh-CN"/>
              </w:rPr>
              <w:t>三、建设内容</w:t>
            </w:r>
          </w:p>
          <w:p w14:paraId="035CE1A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vertAlign w:val="baseline"/>
              </w:rPr>
              <w:t>项目总用地面积</w:t>
            </w:r>
            <w:r>
              <w:rPr>
                <w:rFonts w:hint="eastAsia"/>
                <w:color w:val="auto"/>
                <w:vertAlign w:val="baseline"/>
                <w:lang w:val="en-US" w:eastAsia="zh-CN"/>
              </w:rPr>
              <w:t>约</w:t>
            </w:r>
            <w:r>
              <w:rPr>
                <w:rFonts w:hint="eastAsia"/>
                <w:color w:val="auto"/>
                <w:vertAlign w:val="baseline"/>
              </w:rPr>
              <w:t>为</w:t>
            </w: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color w:val="auto"/>
                <w:vertAlign w:val="baseline"/>
              </w:rPr>
              <w:t>，</w:t>
            </w:r>
            <w:r>
              <w:rPr>
                <w:rFonts w:hint="eastAsia"/>
                <w:color w:val="auto"/>
                <w:vertAlign w:val="baseline"/>
                <w:lang w:val="en-US" w:eastAsia="zh-CN"/>
              </w:rPr>
              <w:t>主要建设清洗车间、办公生活区、停车场等，</w:t>
            </w:r>
            <w:r>
              <w:rPr>
                <w:rFonts w:hint="eastAsia"/>
                <w:color w:val="auto"/>
                <w:vertAlign w:val="baseline"/>
              </w:rPr>
              <w:t>以及</w:t>
            </w:r>
            <w:r>
              <w:rPr>
                <w:rFonts w:hint="eastAsia"/>
                <w:color w:val="auto"/>
                <w:vertAlign w:val="baseline"/>
                <w:lang w:val="en-US" w:eastAsia="zh-CN"/>
              </w:rPr>
              <w:t>初期雨水池、一体化污水处理</w:t>
            </w:r>
            <w:r>
              <w:rPr>
                <w:rFonts w:hint="eastAsia"/>
                <w:color w:val="auto"/>
                <w:vertAlign w:val="baseline"/>
              </w:rPr>
              <w:t>等配套设施，项目主要建设内容详见下表。</w:t>
            </w:r>
          </w:p>
          <w:p w14:paraId="395EF4E4">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b/>
                <w:color w:val="auto"/>
                <w:kern w:val="0"/>
                <w:sz w:val="21"/>
                <w:szCs w:val="21"/>
              </w:rPr>
              <w:t>表2-1  项目主要建设内容一览表</w:t>
            </w:r>
          </w:p>
          <w:tbl>
            <w:tblPr>
              <w:tblStyle w:val="30"/>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765"/>
              <w:gridCol w:w="611"/>
              <w:gridCol w:w="4801"/>
              <w:gridCol w:w="858"/>
            </w:tblGrid>
            <w:tr w14:paraId="2E80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4030744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工程名称</w:t>
                  </w:r>
                </w:p>
              </w:tc>
              <w:tc>
                <w:tcPr>
                  <w:tcW w:w="1376" w:type="dxa"/>
                  <w:gridSpan w:val="2"/>
                  <w:shd w:val="clear" w:color="auto" w:fill="auto"/>
                  <w:vAlign w:val="center"/>
                </w:tcPr>
                <w:p w14:paraId="7ADA1E9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建设内容</w:t>
                  </w:r>
                </w:p>
              </w:tc>
              <w:tc>
                <w:tcPr>
                  <w:tcW w:w="4801" w:type="dxa"/>
                  <w:shd w:val="clear" w:color="auto" w:fill="auto"/>
                  <w:vAlign w:val="center"/>
                </w:tcPr>
                <w:p w14:paraId="084DE23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eastAsia="宋体" w:cs="Times New Roman"/>
                      <w:b/>
                      <w:bCs w:val="0"/>
                      <w:color w:val="auto"/>
                      <w:kern w:val="2"/>
                      <w:sz w:val="21"/>
                      <w:szCs w:val="21"/>
                      <w:highlight w:val="none"/>
                      <w:lang w:val="en-US" w:eastAsia="zh-CN" w:bidi="ar-SA"/>
                    </w:rPr>
                    <w:t>建设规模</w:t>
                  </w:r>
                </w:p>
              </w:tc>
              <w:tc>
                <w:tcPr>
                  <w:tcW w:w="858" w:type="dxa"/>
                  <w:vAlign w:val="center"/>
                </w:tcPr>
                <w:p w14:paraId="3A6C6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vertAlign w:val="baseline"/>
                      <w:lang w:val="en-US" w:eastAsia="zh-CN"/>
                    </w:rPr>
                  </w:pPr>
                  <w:r>
                    <w:rPr>
                      <w:rFonts w:hint="eastAsia"/>
                      <w:b/>
                      <w:bCs w:val="0"/>
                      <w:color w:val="auto"/>
                      <w:sz w:val="21"/>
                      <w:szCs w:val="21"/>
                      <w:vertAlign w:val="baseline"/>
                      <w:lang w:val="en-US" w:eastAsia="zh-CN"/>
                    </w:rPr>
                    <w:t>备注</w:t>
                  </w:r>
                </w:p>
              </w:tc>
            </w:tr>
            <w:tr w14:paraId="37D4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0F7C2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主体工程</w:t>
                  </w:r>
                </w:p>
              </w:tc>
              <w:tc>
                <w:tcPr>
                  <w:tcW w:w="1376" w:type="dxa"/>
                  <w:gridSpan w:val="2"/>
                  <w:vAlign w:val="center"/>
                </w:tcPr>
                <w:p w14:paraId="063A2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停车场</w:t>
                  </w:r>
                </w:p>
              </w:tc>
              <w:tc>
                <w:tcPr>
                  <w:tcW w:w="4801" w:type="dxa"/>
                  <w:vAlign w:val="center"/>
                </w:tcPr>
                <w:p w14:paraId="41BB5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停车场面积约为7000m</w:t>
                  </w:r>
                  <w:r>
                    <w:rPr>
                      <w:rFonts w:hint="eastAsia"/>
                      <w:color w:val="auto"/>
                      <w:sz w:val="21"/>
                      <w:szCs w:val="21"/>
                      <w:vertAlign w:val="superscript"/>
                      <w:lang w:val="en-US" w:eastAsia="zh-CN"/>
                    </w:rPr>
                    <w:t>2</w:t>
                  </w:r>
                  <w:r>
                    <w:rPr>
                      <w:rFonts w:hint="eastAsia"/>
                      <w:color w:val="auto"/>
                      <w:sz w:val="21"/>
                      <w:szCs w:val="21"/>
                      <w:vertAlign w:val="baseline"/>
                      <w:lang w:val="en-US" w:eastAsia="zh-CN"/>
                    </w:rPr>
                    <w:t>，地面均进行硬化，</w:t>
                  </w:r>
                  <w:r>
                    <w:rPr>
                      <w:rFonts w:hint="eastAsia"/>
                      <w:color w:val="auto"/>
                      <w:sz w:val="21"/>
                      <w:szCs w:val="21"/>
                      <w:highlight w:val="none"/>
                      <w:vertAlign w:val="baseline"/>
                      <w:lang w:val="en-US" w:eastAsia="zh-CN"/>
                    </w:rPr>
                    <w:t>设置停车位40个，不涉及小车停车位，均</w:t>
                  </w:r>
                  <w:r>
                    <w:rPr>
                      <w:rFonts w:hint="eastAsia"/>
                      <w:color w:val="auto"/>
                      <w:sz w:val="21"/>
                      <w:szCs w:val="21"/>
                      <w:vertAlign w:val="baseline"/>
                      <w:lang w:val="en-US" w:eastAsia="zh-CN"/>
                    </w:rPr>
                    <w:t>用于停放危化品运输车辆，危化品运输车辆进场时均为空载。</w:t>
                  </w:r>
                </w:p>
              </w:tc>
              <w:tc>
                <w:tcPr>
                  <w:tcW w:w="858" w:type="dxa"/>
                  <w:vAlign w:val="center"/>
                </w:tcPr>
                <w:p w14:paraId="02D3C4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沿用，本次进行硬化</w:t>
                  </w:r>
                </w:p>
              </w:tc>
            </w:tr>
            <w:tr w14:paraId="3AFC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E37D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p>
              </w:tc>
              <w:tc>
                <w:tcPr>
                  <w:tcW w:w="1376" w:type="dxa"/>
                  <w:gridSpan w:val="2"/>
                  <w:vAlign w:val="center"/>
                </w:tcPr>
                <w:p w14:paraId="32679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清洗车间</w:t>
                  </w:r>
                </w:p>
              </w:tc>
              <w:tc>
                <w:tcPr>
                  <w:tcW w:w="4801" w:type="dxa"/>
                  <w:vAlign w:val="center"/>
                </w:tcPr>
                <w:p w14:paraId="6BFA9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w:t>
                  </w:r>
                  <w:r>
                    <w:rPr>
                      <w:rFonts w:hint="eastAsia"/>
                      <w:color w:val="auto"/>
                      <w:sz w:val="21"/>
                      <w:szCs w:val="21"/>
                      <w:vertAlign w:val="baseline"/>
                    </w:rPr>
                    <w:t>一个罐车清洗</w:t>
                  </w:r>
                  <w:r>
                    <w:rPr>
                      <w:rFonts w:hint="eastAsia"/>
                      <w:color w:val="auto"/>
                      <w:sz w:val="21"/>
                      <w:szCs w:val="21"/>
                      <w:vertAlign w:val="baseline"/>
                      <w:lang w:val="en-US" w:eastAsia="zh-CN"/>
                    </w:rPr>
                    <w:t>车间</w:t>
                  </w:r>
                  <w:r>
                    <w:rPr>
                      <w:rFonts w:hint="eastAsia"/>
                      <w:color w:val="auto"/>
                      <w:sz w:val="21"/>
                      <w:szCs w:val="21"/>
                      <w:vertAlign w:val="baseline"/>
                    </w:rPr>
                    <w:t>，占地面积约为</w:t>
                  </w:r>
                  <w:r>
                    <w:rPr>
                      <w:rFonts w:hint="eastAsia"/>
                      <w:color w:val="auto"/>
                      <w:sz w:val="21"/>
                      <w:szCs w:val="21"/>
                      <w:vertAlign w:val="baseline"/>
                      <w:lang w:val="en-US" w:eastAsia="zh-CN"/>
                    </w:rPr>
                    <w:t>3</w:t>
                  </w:r>
                  <w:r>
                    <w:rPr>
                      <w:rFonts w:hint="eastAsia"/>
                      <w:color w:val="auto"/>
                      <w:sz w:val="21"/>
                      <w:szCs w:val="21"/>
                      <w:vertAlign w:val="baseline"/>
                    </w:rPr>
                    <w:t>00</w:t>
                  </w:r>
                  <w:r>
                    <w:rPr>
                      <w:rFonts w:hint="eastAsia"/>
                      <w:color w:val="auto"/>
                      <w:sz w:val="21"/>
                      <w:szCs w:val="21"/>
                      <w:vertAlign w:val="baseline"/>
                      <w:lang w:val="en-US" w:eastAsia="zh-CN"/>
                    </w:rPr>
                    <w:t>m</w:t>
                  </w:r>
                  <w:r>
                    <w:rPr>
                      <w:rFonts w:hint="eastAsia"/>
                      <w:color w:val="auto"/>
                      <w:sz w:val="21"/>
                      <w:szCs w:val="21"/>
                      <w:vertAlign w:val="superscript"/>
                      <w:lang w:val="en-US" w:eastAsia="zh-CN"/>
                    </w:rPr>
                    <w:t>2</w:t>
                  </w:r>
                  <w:r>
                    <w:rPr>
                      <w:rFonts w:hint="eastAsia"/>
                      <w:color w:val="auto"/>
                      <w:sz w:val="21"/>
                      <w:szCs w:val="21"/>
                      <w:vertAlign w:val="baseline"/>
                    </w:rPr>
                    <w:t>，</w:t>
                  </w:r>
                  <w:r>
                    <w:rPr>
                      <w:rFonts w:hint="eastAsia"/>
                      <w:color w:val="auto"/>
                      <w:sz w:val="21"/>
                      <w:szCs w:val="21"/>
                      <w:vertAlign w:val="baseline"/>
                      <w:lang w:val="en-US" w:eastAsia="zh-CN"/>
                    </w:rPr>
                    <w:t>清洗车间包括预处理区和清洗区，预处理区主要对进场罐车进行登记检查，排空残液；清洗区设置一套高压清洗水枪、电锅炉配套蒸汽软管对罐车内部进行清洗，不涉及罐车外部清洗。</w:t>
                  </w:r>
                </w:p>
              </w:tc>
              <w:tc>
                <w:tcPr>
                  <w:tcW w:w="858" w:type="dxa"/>
                  <w:vAlign w:val="center"/>
                </w:tcPr>
                <w:p w14:paraId="3BBAD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新建</w:t>
                  </w:r>
                </w:p>
              </w:tc>
            </w:tr>
            <w:tr w14:paraId="138B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4BF643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辅助工程</w:t>
                  </w:r>
                </w:p>
              </w:tc>
              <w:tc>
                <w:tcPr>
                  <w:tcW w:w="1376" w:type="dxa"/>
                  <w:gridSpan w:val="2"/>
                  <w:shd w:val="clear" w:color="auto" w:fill="auto"/>
                  <w:vAlign w:val="center"/>
                </w:tcPr>
                <w:p w14:paraId="1D84F44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蒸汽发生器（电锅炉）</w:t>
                  </w:r>
                </w:p>
              </w:tc>
              <w:tc>
                <w:tcPr>
                  <w:tcW w:w="4801" w:type="dxa"/>
                  <w:shd w:val="clear" w:color="auto" w:fill="auto"/>
                  <w:vAlign w:val="center"/>
                </w:tcPr>
                <w:p w14:paraId="04B107D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占地面积</w:t>
                  </w:r>
                  <w:r>
                    <w:rPr>
                      <w:rFonts w:hint="eastAsia" w:eastAsia="宋体" w:cs="Times New Roman"/>
                      <w:bCs/>
                      <w:color w:val="auto"/>
                      <w:kern w:val="2"/>
                      <w:sz w:val="21"/>
                      <w:szCs w:val="21"/>
                      <w:highlight w:val="none"/>
                      <w:lang w:val="en-US" w:eastAsia="zh-CN" w:bidi="ar-SA"/>
                    </w:rPr>
                    <w:t>3</w:t>
                  </w:r>
                  <w:r>
                    <w:rPr>
                      <w:rFonts w:hint="default" w:ascii="Times New Roman" w:hAnsi="Times New Roman" w:eastAsia="宋体" w:cs="Times New Roman"/>
                      <w:bCs/>
                      <w:color w:val="auto"/>
                      <w:kern w:val="2"/>
                      <w:sz w:val="21"/>
                      <w:szCs w:val="21"/>
                      <w:highlight w:val="none"/>
                      <w:lang w:val="en-US" w:eastAsia="zh-CN" w:bidi="ar-SA"/>
                    </w:rPr>
                    <w:t>0m</w:t>
                  </w:r>
                  <w:r>
                    <w:rPr>
                      <w:rFonts w:hint="default" w:ascii="Times New Roman" w:hAnsi="Times New Roman" w:eastAsia="宋体" w:cs="Times New Roman"/>
                      <w:bCs/>
                      <w:color w:val="auto"/>
                      <w:kern w:val="2"/>
                      <w:sz w:val="21"/>
                      <w:szCs w:val="21"/>
                      <w:highlight w:val="none"/>
                      <w:vertAlign w:val="superscript"/>
                      <w:lang w:val="en-US" w:eastAsia="zh-CN" w:bidi="ar-SA"/>
                    </w:rPr>
                    <w:t>2</w:t>
                  </w:r>
                  <w:r>
                    <w:rPr>
                      <w:rFonts w:hint="default" w:ascii="Times New Roman" w:hAnsi="Times New Roman" w:eastAsia="宋体" w:cs="Times New Roman"/>
                      <w:bCs/>
                      <w:color w:val="auto"/>
                      <w:kern w:val="2"/>
                      <w:sz w:val="21"/>
                      <w:szCs w:val="21"/>
                      <w:highlight w:val="none"/>
                      <w:lang w:val="en-US" w:eastAsia="zh-CN" w:bidi="ar-SA"/>
                    </w:rPr>
                    <w:t>，设置于</w:t>
                  </w:r>
                  <w:r>
                    <w:rPr>
                      <w:rFonts w:hint="eastAsia" w:eastAsia="宋体" w:cs="Times New Roman"/>
                      <w:bCs/>
                      <w:color w:val="auto"/>
                      <w:kern w:val="2"/>
                      <w:sz w:val="21"/>
                      <w:szCs w:val="21"/>
                      <w:highlight w:val="none"/>
                      <w:lang w:val="en-US" w:eastAsia="zh-CN" w:bidi="ar-SA"/>
                    </w:rPr>
                    <w:t>清洗车间东</w:t>
                  </w:r>
                  <w:r>
                    <w:rPr>
                      <w:rFonts w:hint="default" w:ascii="Times New Roman" w:hAnsi="Times New Roman" w:eastAsia="宋体" w:cs="Times New Roman"/>
                      <w:bCs/>
                      <w:color w:val="auto"/>
                      <w:kern w:val="2"/>
                      <w:sz w:val="21"/>
                      <w:szCs w:val="21"/>
                      <w:highlight w:val="none"/>
                      <w:lang w:val="en-US" w:eastAsia="zh-CN" w:bidi="ar-SA"/>
                    </w:rPr>
                    <w:t>侧，购置一套额定蒸发量为0.5t/h的蒸汽发生器</w:t>
                  </w:r>
                  <w:r>
                    <w:rPr>
                      <w:rFonts w:hint="eastAsia" w:eastAsia="宋体" w:cs="Times New Roman"/>
                      <w:bCs/>
                      <w:color w:val="auto"/>
                      <w:kern w:val="2"/>
                      <w:sz w:val="21"/>
                      <w:szCs w:val="21"/>
                      <w:highlight w:val="none"/>
                      <w:lang w:val="en-US" w:eastAsia="zh-CN" w:bidi="ar-SA"/>
                    </w:rPr>
                    <w:t>，不涉及软水设备</w:t>
                  </w:r>
                  <w:r>
                    <w:rPr>
                      <w:rFonts w:hint="default" w:ascii="Times New Roman" w:hAnsi="Times New Roman" w:eastAsia="宋体" w:cs="Times New Roman"/>
                      <w:bCs/>
                      <w:color w:val="auto"/>
                      <w:kern w:val="2"/>
                      <w:sz w:val="21"/>
                      <w:szCs w:val="21"/>
                      <w:highlight w:val="none"/>
                      <w:lang w:val="en-US" w:eastAsia="zh-CN" w:bidi="ar-SA"/>
                    </w:rPr>
                    <w:t>。</w:t>
                  </w:r>
                </w:p>
              </w:tc>
              <w:tc>
                <w:tcPr>
                  <w:tcW w:w="858" w:type="dxa"/>
                  <w:vAlign w:val="center"/>
                </w:tcPr>
                <w:p w14:paraId="6EB61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新建</w:t>
                  </w:r>
                </w:p>
              </w:tc>
            </w:tr>
            <w:tr w14:paraId="001B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327F8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p>
              </w:tc>
              <w:tc>
                <w:tcPr>
                  <w:tcW w:w="1376" w:type="dxa"/>
                  <w:gridSpan w:val="2"/>
                  <w:shd w:val="clear" w:color="auto" w:fill="auto"/>
                  <w:vAlign w:val="center"/>
                </w:tcPr>
                <w:p w14:paraId="105C8C3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办公生活区</w:t>
                  </w:r>
                </w:p>
              </w:tc>
              <w:tc>
                <w:tcPr>
                  <w:tcW w:w="4801" w:type="dxa"/>
                  <w:shd w:val="clear" w:color="auto" w:fill="auto"/>
                  <w:vAlign w:val="center"/>
                </w:tcPr>
                <w:p w14:paraId="77EA62D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建筑面积</w:t>
                  </w:r>
                  <w:r>
                    <w:rPr>
                      <w:rFonts w:hint="eastAsia" w:eastAsia="宋体" w:cs="Times New Roman"/>
                      <w:bCs/>
                      <w:color w:val="auto"/>
                      <w:kern w:val="2"/>
                      <w:sz w:val="21"/>
                      <w:szCs w:val="21"/>
                      <w:highlight w:val="none"/>
                      <w:lang w:val="en-US" w:eastAsia="zh-CN" w:bidi="ar-SA"/>
                    </w:rPr>
                    <w:t>400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2</w:t>
                  </w:r>
                  <w:r>
                    <w:rPr>
                      <w:rFonts w:hint="eastAsia" w:ascii="Times New Roman" w:hAnsi="Times New Roman" w:eastAsia="宋体" w:cs="Times New Roman"/>
                      <w:bCs/>
                      <w:color w:val="auto"/>
                      <w:kern w:val="2"/>
                      <w:sz w:val="21"/>
                      <w:szCs w:val="21"/>
                      <w:highlight w:val="none"/>
                      <w:vertAlign w:val="baseline"/>
                      <w:lang w:val="en-US" w:eastAsia="zh-CN" w:bidi="ar-SA"/>
                    </w:rPr>
                    <w:t>，包含办公室和宿舍</w:t>
                  </w:r>
                  <w:r>
                    <w:rPr>
                      <w:rFonts w:hint="eastAsia" w:eastAsia="宋体" w:cs="Times New Roman"/>
                      <w:bCs/>
                      <w:color w:val="auto"/>
                      <w:kern w:val="2"/>
                      <w:sz w:val="21"/>
                      <w:szCs w:val="21"/>
                      <w:highlight w:val="none"/>
                      <w:vertAlign w:val="baseline"/>
                      <w:lang w:val="en-US" w:eastAsia="zh-CN" w:bidi="ar-SA"/>
                    </w:rPr>
                    <w:t>，项目劳动定员为2人，不设置食堂。</w:t>
                  </w:r>
                </w:p>
              </w:tc>
              <w:tc>
                <w:tcPr>
                  <w:tcW w:w="858" w:type="dxa"/>
                  <w:vAlign w:val="center"/>
                </w:tcPr>
                <w:p w14:paraId="54CB6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沿用</w:t>
                  </w:r>
                </w:p>
              </w:tc>
            </w:tr>
            <w:tr w14:paraId="379B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4FBB4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376" w:type="dxa"/>
                  <w:gridSpan w:val="2"/>
                  <w:shd w:val="clear" w:color="auto" w:fill="auto"/>
                  <w:vAlign w:val="center"/>
                </w:tcPr>
                <w:p w14:paraId="567DDBA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供水池</w:t>
                  </w:r>
                </w:p>
              </w:tc>
              <w:tc>
                <w:tcPr>
                  <w:tcW w:w="4801" w:type="dxa"/>
                  <w:shd w:val="clear" w:color="auto" w:fill="auto"/>
                  <w:vAlign w:val="center"/>
                </w:tcPr>
                <w:p w14:paraId="51E4273D">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清洗车间东侧设置了一个5m</w:t>
                  </w:r>
                  <w:r>
                    <w:rPr>
                      <w:rFonts w:hint="eastAsia" w:eastAsia="宋体" w:cs="Times New Roman"/>
                      <w:bCs/>
                      <w:color w:val="auto"/>
                      <w:kern w:val="2"/>
                      <w:sz w:val="21"/>
                      <w:szCs w:val="21"/>
                      <w:highlight w:val="none"/>
                      <w:vertAlign w:val="superscript"/>
                      <w:lang w:val="en-US" w:eastAsia="zh-CN" w:bidi="ar-SA"/>
                    </w:rPr>
                    <w:t>3</w:t>
                  </w:r>
                  <w:r>
                    <w:rPr>
                      <w:rFonts w:hint="eastAsia" w:eastAsia="宋体" w:cs="Times New Roman"/>
                      <w:bCs/>
                      <w:color w:val="auto"/>
                      <w:kern w:val="2"/>
                      <w:sz w:val="21"/>
                      <w:szCs w:val="21"/>
                      <w:highlight w:val="none"/>
                      <w:lang w:val="en-US" w:eastAsia="zh-CN" w:bidi="ar-SA"/>
                    </w:rPr>
                    <w:t>的供水池，主要为罐车清洗提供水源。</w:t>
                  </w:r>
                </w:p>
              </w:tc>
              <w:tc>
                <w:tcPr>
                  <w:tcW w:w="858" w:type="dxa"/>
                  <w:vAlign w:val="center"/>
                </w:tcPr>
                <w:p w14:paraId="4E652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沿用</w:t>
                  </w:r>
                </w:p>
              </w:tc>
            </w:tr>
            <w:tr w14:paraId="0B9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4108D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公用工程</w:t>
                  </w:r>
                </w:p>
              </w:tc>
              <w:tc>
                <w:tcPr>
                  <w:tcW w:w="1376" w:type="dxa"/>
                  <w:gridSpan w:val="2"/>
                  <w:shd w:val="clear" w:color="auto" w:fill="auto"/>
                  <w:vAlign w:val="center"/>
                </w:tcPr>
                <w:p w14:paraId="15B8429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sz w:val="21"/>
                      <w:szCs w:val="21"/>
                    </w:rPr>
                    <w:t>供水</w:t>
                  </w:r>
                </w:p>
              </w:tc>
              <w:tc>
                <w:tcPr>
                  <w:tcW w:w="4801" w:type="dxa"/>
                  <w:shd w:val="clear" w:color="auto" w:fill="auto"/>
                  <w:vAlign w:val="center"/>
                </w:tcPr>
                <w:p w14:paraId="038F0C7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由园区供水管网供给。</w:t>
                  </w:r>
                </w:p>
              </w:tc>
              <w:tc>
                <w:tcPr>
                  <w:tcW w:w="858" w:type="dxa"/>
                  <w:shd w:val="clear" w:color="auto" w:fill="auto"/>
                  <w:vAlign w:val="center"/>
                </w:tcPr>
                <w:p w14:paraId="30C2074F">
                  <w:pPr>
                    <w:keepNext w:val="0"/>
                    <w:keepLines w:val="0"/>
                    <w:suppressLineNumbers w:val="0"/>
                    <w:autoSpaceDE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vertAlign w:val="baseline"/>
                      <w:lang w:val="en-US" w:eastAsia="zh-CN"/>
                    </w:rPr>
                    <w:t>沿用</w:t>
                  </w:r>
                </w:p>
              </w:tc>
            </w:tr>
            <w:tr w14:paraId="3F4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D52A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shd w:val="clear" w:color="auto" w:fill="auto"/>
                  <w:vAlign w:val="center"/>
                </w:tcPr>
                <w:p w14:paraId="4A577A7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供电</w:t>
                  </w:r>
                </w:p>
              </w:tc>
              <w:tc>
                <w:tcPr>
                  <w:tcW w:w="4801" w:type="dxa"/>
                  <w:shd w:val="clear" w:color="auto" w:fill="auto"/>
                  <w:vAlign w:val="center"/>
                </w:tcPr>
                <w:p w14:paraId="7C0169D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宋体" w:hAnsi="宋体"/>
                      <w:color w:val="auto"/>
                      <w:sz w:val="21"/>
                      <w:szCs w:val="21"/>
                    </w:rPr>
                    <w:t>由园区</w:t>
                  </w:r>
                  <w:r>
                    <w:rPr>
                      <w:rFonts w:hint="default" w:ascii="宋体" w:hAnsi="宋体" w:cs="宋体"/>
                      <w:color w:val="auto"/>
                      <w:sz w:val="21"/>
                      <w:szCs w:val="21"/>
                    </w:rPr>
                    <w:t>电网供给。</w:t>
                  </w:r>
                </w:p>
              </w:tc>
              <w:tc>
                <w:tcPr>
                  <w:tcW w:w="858" w:type="dxa"/>
                  <w:shd w:val="clear" w:color="auto" w:fill="auto"/>
                  <w:vAlign w:val="center"/>
                </w:tcPr>
                <w:p w14:paraId="4D719ED2">
                  <w:pPr>
                    <w:keepNext w:val="0"/>
                    <w:keepLines w:val="0"/>
                    <w:suppressLineNumbers w:val="0"/>
                    <w:autoSpaceDE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vertAlign w:val="baseline"/>
                      <w:lang w:val="en-US" w:eastAsia="zh-CN"/>
                    </w:rPr>
                    <w:t>沿用</w:t>
                  </w:r>
                </w:p>
              </w:tc>
            </w:tr>
            <w:tr w14:paraId="3A46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3815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shd w:val="clear" w:color="auto" w:fill="auto"/>
                  <w:vAlign w:val="center"/>
                </w:tcPr>
                <w:p w14:paraId="7BAFA04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排水</w:t>
                  </w:r>
                </w:p>
              </w:tc>
              <w:tc>
                <w:tcPr>
                  <w:tcW w:w="4801" w:type="dxa"/>
                  <w:shd w:val="clear" w:color="auto" w:fill="auto"/>
                  <w:vAlign w:val="center"/>
                </w:tcPr>
                <w:p w14:paraId="48105B3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处理厂；生产废水收集后经一体化污水处理设施处理后回用，不外排。</w:t>
                  </w:r>
                </w:p>
              </w:tc>
              <w:tc>
                <w:tcPr>
                  <w:tcW w:w="858" w:type="dxa"/>
                  <w:vAlign w:val="center"/>
                </w:tcPr>
                <w:p w14:paraId="7C83B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7466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473738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环保工程</w:t>
                  </w:r>
                </w:p>
              </w:tc>
              <w:tc>
                <w:tcPr>
                  <w:tcW w:w="1376" w:type="dxa"/>
                  <w:gridSpan w:val="2"/>
                  <w:vAlign w:val="center"/>
                </w:tcPr>
                <w:p w14:paraId="3996DA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废气</w:t>
                  </w:r>
                </w:p>
              </w:tc>
              <w:tc>
                <w:tcPr>
                  <w:tcW w:w="4801" w:type="dxa"/>
                  <w:vAlign w:val="center"/>
                </w:tcPr>
                <w:p w14:paraId="5C38D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罐车抽排残液和蒸汽清洗时挥发的少量</w:t>
                  </w:r>
                  <w:r>
                    <w:rPr>
                      <w:rFonts w:hint="eastAsia"/>
                      <w:color w:val="auto"/>
                      <w:sz w:val="21"/>
                      <w:szCs w:val="21"/>
                      <w:vertAlign w:val="baseline"/>
                    </w:rPr>
                    <w:t>有机废气</w:t>
                  </w:r>
                  <w:r>
                    <w:rPr>
                      <w:rFonts w:hint="eastAsia"/>
                      <w:color w:val="auto"/>
                      <w:sz w:val="21"/>
                      <w:szCs w:val="21"/>
                      <w:vertAlign w:val="baseline"/>
                      <w:lang w:val="en-US" w:eastAsia="zh-CN"/>
                    </w:rPr>
                    <w:t>呈无组织排放。</w:t>
                  </w:r>
                </w:p>
              </w:tc>
              <w:tc>
                <w:tcPr>
                  <w:tcW w:w="858" w:type="dxa"/>
                  <w:vAlign w:val="center"/>
                </w:tcPr>
                <w:p w14:paraId="11C58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4C8A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1CC1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62A2A1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废水</w:t>
                  </w:r>
                </w:p>
              </w:tc>
              <w:tc>
                <w:tcPr>
                  <w:tcW w:w="611" w:type="dxa"/>
                  <w:vAlign w:val="center"/>
                </w:tcPr>
                <w:p w14:paraId="185638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生活污水</w:t>
                  </w:r>
                </w:p>
              </w:tc>
              <w:tc>
                <w:tcPr>
                  <w:tcW w:w="4801" w:type="dxa"/>
                  <w:vAlign w:val="center"/>
                </w:tcPr>
                <w:p w14:paraId="397A4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设置一个2m</w:t>
                  </w:r>
                  <w:r>
                    <w:rPr>
                      <w:rFonts w:hint="eastAsia"/>
                      <w:color w:val="auto"/>
                      <w:sz w:val="21"/>
                      <w:szCs w:val="21"/>
                      <w:vertAlign w:val="superscript"/>
                      <w:lang w:val="en-US" w:eastAsia="zh-CN"/>
                    </w:rPr>
                    <w:t>3</w:t>
                  </w:r>
                  <w:r>
                    <w:rPr>
                      <w:rFonts w:hint="eastAsia"/>
                      <w:color w:val="auto"/>
                      <w:sz w:val="21"/>
                      <w:szCs w:val="21"/>
                      <w:vertAlign w:val="baseline"/>
                      <w:lang w:val="en-US" w:eastAsia="zh-CN"/>
                    </w:rPr>
                    <w:t>的化粪池，</w:t>
                  </w:r>
                  <w:r>
                    <w:rPr>
                      <w:rFonts w:hint="default" w:ascii="Times New Roman" w:hAnsi="Times New Roman" w:cs="Times New Roman"/>
                      <w:color w:val="auto"/>
                      <w:sz w:val="21"/>
                      <w:szCs w:val="21"/>
                    </w:rPr>
                    <w:t>生活废水进入化粪池处理后，由于项目区未接通园区管网，定期委托环卫部门清掏，不外排。若今后项目区接通园区管网，项目生活废水经化粪池处理后排入园区市政污水管网</w:t>
                  </w:r>
                  <w:r>
                    <w:rPr>
                      <w:rFonts w:hint="eastAsia" w:cs="Times New Roman"/>
                      <w:color w:val="auto"/>
                      <w:sz w:val="21"/>
                      <w:szCs w:val="21"/>
                      <w:lang w:eastAsia="zh-CN"/>
                    </w:rPr>
                    <w:t>，</w:t>
                  </w:r>
                  <w:r>
                    <w:rPr>
                      <w:rFonts w:hint="eastAsia" w:cs="Times New Roman"/>
                      <w:color w:val="auto"/>
                      <w:sz w:val="21"/>
                      <w:szCs w:val="21"/>
                      <w:lang w:val="en-US" w:eastAsia="zh-CN"/>
                    </w:rPr>
                    <w:t>进入园区污水处理厂。</w:t>
                  </w:r>
                </w:p>
              </w:tc>
              <w:tc>
                <w:tcPr>
                  <w:tcW w:w="858" w:type="dxa"/>
                  <w:vAlign w:val="center"/>
                </w:tcPr>
                <w:p w14:paraId="76516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沿用</w:t>
                  </w:r>
                </w:p>
              </w:tc>
            </w:tr>
            <w:tr w14:paraId="7014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C1CF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775F1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611" w:type="dxa"/>
                  <w:vAlign w:val="center"/>
                </w:tcPr>
                <w:p w14:paraId="1989C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清洗废水</w:t>
                  </w:r>
                </w:p>
              </w:tc>
              <w:tc>
                <w:tcPr>
                  <w:tcW w:w="4801" w:type="dxa"/>
                  <w:vAlign w:val="center"/>
                </w:tcPr>
                <w:p w14:paraId="4D979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设置一个5m</w:t>
                  </w:r>
                  <w:r>
                    <w:rPr>
                      <w:rFonts w:hint="eastAsia"/>
                      <w:color w:val="auto"/>
                      <w:sz w:val="21"/>
                      <w:szCs w:val="21"/>
                      <w:vertAlign w:val="superscript"/>
                      <w:lang w:val="en-US" w:eastAsia="zh-CN"/>
                    </w:rPr>
                    <w:t>3</w:t>
                  </w:r>
                  <w:r>
                    <w:rPr>
                      <w:rFonts w:hint="eastAsia"/>
                      <w:color w:val="auto"/>
                      <w:sz w:val="21"/>
                      <w:szCs w:val="21"/>
                      <w:vertAlign w:val="baseline"/>
                      <w:lang w:val="en-US" w:eastAsia="zh-CN"/>
                    </w:rPr>
                    <w:t>的隔油沉淀池和1m</w:t>
                  </w:r>
                  <w:r>
                    <w:rPr>
                      <w:rFonts w:hint="eastAsia"/>
                      <w:color w:val="auto"/>
                      <w:sz w:val="21"/>
                      <w:szCs w:val="21"/>
                      <w:vertAlign w:val="superscript"/>
                      <w:lang w:val="en-US" w:eastAsia="zh-CN"/>
                    </w:rPr>
                    <w:t>3</w:t>
                  </w:r>
                  <w:r>
                    <w:rPr>
                      <w:rFonts w:hint="eastAsia"/>
                      <w:color w:val="auto"/>
                      <w:sz w:val="21"/>
                      <w:szCs w:val="21"/>
                      <w:vertAlign w:val="baseline"/>
                      <w:lang w:val="en-US" w:eastAsia="zh-CN"/>
                    </w:rPr>
                    <w:t>/h的一体化污水处理设施，一体化污水处理设施采用</w:t>
                  </w:r>
                  <w:r>
                    <w:rPr>
                      <w:rFonts w:hint="eastAsia"/>
                      <w:color w:val="auto"/>
                      <w:sz w:val="21"/>
                      <w:szCs w:val="21"/>
                      <w:highlight w:val="none"/>
                      <w:vertAlign w:val="baseline"/>
                      <w:lang w:val="en-US" w:eastAsia="zh-CN"/>
                    </w:rPr>
                    <w:t>“pH调节+絮凝混凝气浮+过滤”工艺。</w:t>
                  </w:r>
                  <w:r>
                    <w:rPr>
                      <w:rFonts w:hint="eastAsia"/>
                      <w:color w:val="auto"/>
                      <w:sz w:val="21"/>
                      <w:szCs w:val="21"/>
                      <w:vertAlign w:val="baseline"/>
                      <w:lang w:val="en-US" w:eastAsia="zh-CN"/>
                    </w:rPr>
                    <w:t>罐车清洗废水经隔油沉淀池收集后进入一体化污水处理设施，处理后回用，不外排。</w:t>
                  </w:r>
                </w:p>
              </w:tc>
              <w:tc>
                <w:tcPr>
                  <w:tcW w:w="858" w:type="dxa"/>
                  <w:vAlign w:val="center"/>
                </w:tcPr>
                <w:p w14:paraId="303B2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5F0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8513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14EEF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611" w:type="dxa"/>
                  <w:vAlign w:val="center"/>
                </w:tcPr>
                <w:p w14:paraId="67D3D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初期雨水</w:t>
                  </w:r>
                </w:p>
              </w:tc>
              <w:tc>
                <w:tcPr>
                  <w:tcW w:w="4801" w:type="dxa"/>
                  <w:vAlign w:val="center"/>
                </w:tcPr>
                <w:p w14:paraId="1C7A5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设置一</w:t>
                  </w:r>
                  <w:r>
                    <w:rPr>
                      <w:rFonts w:hint="eastAsia"/>
                      <w:color w:val="auto"/>
                      <w:sz w:val="21"/>
                      <w:szCs w:val="21"/>
                      <w:highlight w:val="none"/>
                      <w:vertAlign w:val="baseline"/>
                      <w:lang w:val="en-US" w:eastAsia="zh-CN"/>
                    </w:rPr>
                    <w:t>个43m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的初期雨水收集池</w:t>
                  </w:r>
                  <w:r>
                    <w:rPr>
                      <w:rFonts w:hint="eastAsia"/>
                      <w:color w:val="auto"/>
                      <w:sz w:val="21"/>
                      <w:szCs w:val="21"/>
                      <w:vertAlign w:val="baseline"/>
                      <w:lang w:val="en-US" w:eastAsia="zh-CN"/>
                    </w:rPr>
                    <w:t>，初期雨水沉淀后回用场地洒水降尘，不外排。</w:t>
                  </w:r>
                </w:p>
              </w:tc>
              <w:tc>
                <w:tcPr>
                  <w:tcW w:w="858" w:type="dxa"/>
                  <w:vAlign w:val="center"/>
                </w:tcPr>
                <w:p w14:paraId="39686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590D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57291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vAlign w:val="center"/>
                </w:tcPr>
                <w:p w14:paraId="4D6FE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噪声</w:t>
                  </w:r>
                </w:p>
              </w:tc>
              <w:tc>
                <w:tcPr>
                  <w:tcW w:w="4801" w:type="dxa"/>
                  <w:vAlign w:val="center"/>
                </w:tcPr>
                <w:p w14:paraId="6A6EE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ascii="Times New Roman" w:hAnsi="Times New Roman" w:eastAsia="宋体" w:cs="Times New Roman"/>
                      <w:color w:val="auto"/>
                      <w:kern w:val="28"/>
                      <w:sz w:val="21"/>
                      <w:szCs w:val="21"/>
                      <w:lang w:eastAsia="zh-CN"/>
                    </w:rPr>
                    <w:t>合理布局、</w:t>
                  </w:r>
                  <w:r>
                    <w:rPr>
                      <w:rFonts w:hint="default" w:ascii="Times New Roman" w:hAnsi="Times New Roman" w:eastAsia="宋体" w:cs="Times New Roman"/>
                      <w:color w:val="auto"/>
                      <w:kern w:val="28"/>
                      <w:sz w:val="21"/>
                      <w:szCs w:val="21"/>
                    </w:rPr>
                    <w:t>加强管理</w:t>
                  </w:r>
                  <w:r>
                    <w:rPr>
                      <w:rFonts w:hint="default" w:ascii="Times New Roman" w:hAnsi="Times New Roman" w:eastAsia="宋体" w:cs="Times New Roman"/>
                      <w:color w:val="auto"/>
                      <w:kern w:val="28"/>
                      <w:sz w:val="21"/>
                      <w:szCs w:val="21"/>
                      <w:lang w:eastAsia="zh-CN"/>
                    </w:rPr>
                    <w:t>等</w:t>
                  </w:r>
                  <w:r>
                    <w:rPr>
                      <w:rFonts w:hint="eastAsia" w:ascii="Times New Roman" w:hAnsi="Times New Roman" w:eastAsia="宋体" w:cs="Times New Roman"/>
                      <w:color w:val="auto"/>
                      <w:kern w:val="28"/>
                      <w:sz w:val="21"/>
                      <w:szCs w:val="21"/>
                      <w:lang w:eastAsia="zh-CN"/>
                    </w:rPr>
                    <w:t>。</w:t>
                  </w:r>
                </w:p>
              </w:tc>
              <w:tc>
                <w:tcPr>
                  <w:tcW w:w="858" w:type="dxa"/>
                  <w:vAlign w:val="center"/>
                </w:tcPr>
                <w:p w14:paraId="070E1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7B4F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086C4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05406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固废</w:t>
                  </w:r>
                </w:p>
              </w:tc>
              <w:tc>
                <w:tcPr>
                  <w:tcW w:w="611" w:type="dxa"/>
                  <w:vAlign w:val="center"/>
                </w:tcPr>
                <w:p w14:paraId="17998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生活垃圾</w:t>
                  </w:r>
                </w:p>
              </w:tc>
              <w:tc>
                <w:tcPr>
                  <w:tcW w:w="4801" w:type="dxa"/>
                  <w:vAlign w:val="center"/>
                </w:tcPr>
                <w:p w14:paraId="554B7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rPr>
                    <w:t>设置</w:t>
                  </w:r>
                  <w:r>
                    <w:rPr>
                      <w:rFonts w:hint="eastAsia"/>
                      <w:color w:val="auto"/>
                      <w:sz w:val="21"/>
                      <w:szCs w:val="21"/>
                      <w:vertAlign w:val="baseline"/>
                      <w:lang w:val="en-US" w:eastAsia="zh-CN"/>
                    </w:rPr>
                    <w:t>若干</w:t>
                  </w:r>
                  <w:r>
                    <w:rPr>
                      <w:rFonts w:hint="eastAsia"/>
                      <w:color w:val="auto"/>
                      <w:sz w:val="21"/>
                      <w:szCs w:val="21"/>
                      <w:vertAlign w:val="baseline"/>
                    </w:rPr>
                    <w:t>生活垃圾桶集中收集，定期由环卫部门清运处置。</w:t>
                  </w:r>
                </w:p>
              </w:tc>
              <w:tc>
                <w:tcPr>
                  <w:tcW w:w="858" w:type="dxa"/>
                  <w:vAlign w:val="center"/>
                </w:tcPr>
                <w:p w14:paraId="09F8D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沿用</w:t>
                  </w:r>
                </w:p>
              </w:tc>
            </w:tr>
            <w:tr w14:paraId="0792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3BB14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2D90D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560D0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rPr>
                    <w:t>危险废物</w:t>
                  </w:r>
                </w:p>
              </w:tc>
              <w:tc>
                <w:tcPr>
                  <w:tcW w:w="4801" w:type="dxa"/>
                  <w:vAlign w:val="center"/>
                </w:tcPr>
                <w:p w14:paraId="0E91E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w:t>
                  </w:r>
                  <w:r>
                    <w:rPr>
                      <w:rFonts w:hint="eastAsia"/>
                      <w:color w:val="auto"/>
                      <w:sz w:val="21"/>
                      <w:szCs w:val="21"/>
                      <w:vertAlign w:val="baseline"/>
                    </w:rPr>
                    <w:t>一间</w:t>
                  </w:r>
                  <w:r>
                    <w:rPr>
                      <w:rFonts w:hint="eastAsia"/>
                      <w:color w:val="auto"/>
                      <w:sz w:val="21"/>
                      <w:szCs w:val="21"/>
                      <w:vertAlign w:val="baseline"/>
                      <w:lang w:val="en-US" w:eastAsia="zh-CN"/>
                    </w:rPr>
                    <w:t>10</w:t>
                  </w:r>
                  <w:r>
                    <w:rPr>
                      <w:rFonts w:hint="eastAsia"/>
                      <w:color w:val="auto"/>
                      <w:sz w:val="21"/>
                      <w:szCs w:val="21"/>
                      <w:vertAlign w:val="baseline"/>
                    </w:rPr>
                    <w:t>m</w:t>
                  </w:r>
                  <w:r>
                    <w:rPr>
                      <w:rFonts w:hint="eastAsia"/>
                      <w:color w:val="auto"/>
                      <w:sz w:val="21"/>
                      <w:szCs w:val="21"/>
                      <w:vertAlign w:val="superscript"/>
                    </w:rPr>
                    <w:t>2</w:t>
                  </w:r>
                  <w:r>
                    <w:rPr>
                      <w:rFonts w:hint="eastAsia"/>
                      <w:color w:val="auto"/>
                      <w:sz w:val="21"/>
                      <w:szCs w:val="21"/>
                      <w:vertAlign w:val="baseline"/>
                    </w:rPr>
                    <w:t>的危废暂存间，</w:t>
                  </w:r>
                  <w:r>
                    <w:rPr>
                      <w:rFonts w:hint="eastAsia"/>
                      <w:color w:val="auto"/>
                      <w:sz w:val="21"/>
                      <w:szCs w:val="21"/>
                      <w:vertAlign w:val="baseline"/>
                      <w:lang w:val="en-US" w:eastAsia="zh-CN"/>
                    </w:rPr>
                    <w:t>其中设置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eastAsia"/>
                      <w:color w:val="auto"/>
                      <w:sz w:val="21"/>
                      <w:szCs w:val="21"/>
                      <w:vertAlign w:val="baseline"/>
                      <w:lang w:val="en-US" w:eastAsia="zh-CN"/>
                    </w:rPr>
                    <w:t>的储存罐，用于储存废油</w:t>
                  </w:r>
                  <w:r>
                    <w:rPr>
                      <w:rFonts w:hint="eastAsia"/>
                      <w:color w:val="auto"/>
                      <w:sz w:val="21"/>
                      <w:szCs w:val="21"/>
                      <w:vertAlign w:val="baseline"/>
                      <w:lang w:eastAsia="zh-CN"/>
                    </w:rPr>
                    <w:t>。</w:t>
                  </w:r>
                  <w:r>
                    <w:rPr>
                      <w:rFonts w:hint="eastAsia"/>
                      <w:color w:val="auto"/>
                      <w:sz w:val="21"/>
                      <w:szCs w:val="21"/>
                      <w:vertAlign w:val="baseline"/>
                      <w:lang w:val="en-US" w:eastAsia="zh-CN"/>
                    </w:rPr>
                    <w:t>危废暂存间应做重点防渗处理，粘贴标识标牌，并设置围堰。</w:t>
                  </w:r>
                </w:p>
              </w:tc>
              <w:tc>
                <w:tcPr>
                  <w:tcW w:w="858" w:type="dxa"/>
                  <w:vAlign w:val="center"/>
                </w:tcPr>
                <w:p w14:paraId="5781F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295B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08E73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41D5A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地下水污染防治措施</w:t>
                  </w:r>
                </w:p>
              </w:tc>
              <w:tc>
                <w:tcPr>
                  <w:tcW w:w="611" w:type="dxa"/>
                  <w:vAlign w:val="center"/>
                </w:tcPr>
                <w:p w14:paraId="6B2CB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重点防渗区</w:t>
                  </w:r>
                </w:p>
              </w:tc>
              <w:tc>
                <w:tcPr>
                  <w:tcW w:w="4801" w:type="dxa"/>
                  <w:vAlign w:val="center"/>
                </w:tcPr>
                <w:p w14:paraId="2EFD8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危废暂存间、</w:t>
                  </w:r>
                  <w:r>
                    <w:rPr>
                      <w:rFonts w:hint="eastAsia" w:cs="Times New Roman"/>
                      <w:color w:val="auto"/>
                      <w:sz w:val="21"/>
                      <w:szCs w:val="21"/>
                      <w:vertAlign w:val="baseline"/>
                      <w:lang w:val="en-US" w:eastAsia="zh-CN"/>
                    </w:rPr>
                    <w:t>隔油</w:t>
                  </w:r>
                  <w:r>
                    <w:rPr>
                      <w:rFonts w:hint="default" w:ascii="Times New Roman" w:hAnsi="Times New Roman" w:cs="Times New Roman"/>
                      <w:color w:val="auto"/>
                      <w:sz w:val="21"/>
                      <w:szCs w:val="21"/>
                      <w:vertAlign w:val="baseline"/>
                      <w:lang w:val="en-US" w:eastAsia="zh-CN"/>
                    </w:rPr>
                    <w:t>沉淀池、一体化污水处理设施进行重点防渗处理，等效黏土防渗层Mb≥6.0m，K≤1.0×10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vertAlign w:val="baseline"/>
                      <w:lang w:val="en-US" w:eastAsia="zh-CN"/>
                    </w:rPr>
                    <w:t>cm/s；危废暂存间按《危险废物贮存污染物控制标准》（GB18597-2023），地面和四周墙裙脚采用“抗渗混凝土+环氧树脂”进行重点防渗处理，渗透系数≤10</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vertAlign w:val="baseline"/>
                      <w:lang w:val="en-US" w:eastAsia="zh-CN"/>
                    </w:rPr>
                    <w:t>cm/s。</w:t>
                  </w:r>
                </w:p>
              </w:tc>
              <w:tc>
                <w:tcPr>
                  <w:tcW w:w="858" w:type="dxa"/>
                  <w:vAlign w:val="center"/>
                </w:tcPr>
                <w:p w14:paraId="09434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252C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4AF29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1EC0E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25FF5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一般防渗区</w:t>
                  </w:r>
                </w:p>
              </w:tc>
              <w:tc>
                <w:tcPr>
                  <w:tcW w:w="4801" w:type="dxa"/>
                  <w:vAlign w:val="center"/>
                </w:tcPr>
                <w:p w14:paraId="46C64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清洗车间进行一般防渗处理，等效黏土防渗层Mb≥1.5m，K≤1.0×10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vertAlign w:val="baseline"/>
                      <w:lang w:val="en-US" w:eastAsia="zh-CN"/>
                    </w:rPr>
                    <w:t>cm/s；</w:t>
                  </w:r>
                </w:p>
              </w:tc>
              <w:tc>
                <w:tcPr>
                  <w:tcW w:w="858" w:type="dxa"/>
                  <w:vAlign w:val="center"/>
                </w:tcPr>
                <w:p w14:paraId="68278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19E0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E8F6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45B4D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2C40A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r>
                    <w:rPr>
                      <w:rFonts w:hint="eastAsia" w:ascii="Times New Roman" w:hAnsi="Times New Roman" w:cs="宋体"/>
                      <w:b w:val="0"/>
                      <w:bCs/>
                      <w:color w:val="auto"/>
                      <w:sz w:val="21"/>
                      <w:szCs w:val="21"/>
                      <w:highlight w:val="none"/>
                    </w:rPr>
                    <w:t>简单防渗区</w:t>
                  </w:r>
                </w:p>
              </w:tc>
              <w:tc>
                <w:tcPr>
                  <w:tcW w:w="4801" w:type="dxa"/>
                  <w:vAlign w:val="center"/>
                </w:tcPr>
                <w:p w14:paraId="34C61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Cs/>
                      <w:color w:val="auto"/>
                      <w:sz w:val="21"/>
                      <w:szCs w:val="21"/>
                      <w:highlight w:val="none"/>
                    </w:rPr>
                    <w:t>其余</w:t>
                  </w:r>
                  <w:r>
                    <w:rPr>
                      <w:rFonts w:hint="default" w:ascii="Times New Roman" w:hAnsi="Times New Roman" w:cs="Times New Roman"/>
                      <w:bCs/>
                      <w:color w:val="auto"/>
                      <w:sz w:val="21"/>
                      <w:szCs w:val="21"/>
                      <w:highlight w:val="none"/>
                      <w:lang w:val="en-US" w:eastAsia="zh-CN"/>
                    </w:rPr>
                    <w:t>办公生活区、停车场等</w:t>
                  </w:r>
                  <w:r>
                    <w:rPr>
                      <w:rFonts w:hint="default" w:ascii="Times New Roman" w:hAnsi="Times New Roman" w:cs="Times New Roman"/>
                      <w:bCs/>
                      <w:color w:val="auto"/>
                      <w:sz w:val="21"/>
                      <w:szCs w:val="21"/>
                      <w:highlight w:val="none"/>
                    </w:rPr>
                    <w:t>进行硬化处理。</w:t>
                  </w:r>
                </w:p>
              </w:tc>
              <w:tc>
                <w:tcPr>
                  <w:tcW w:w="858" w:type="dxa"/>
                  <w:vAlign w:val="center"/>
                </w:tcPr>
                <w:p w14:paraId="2638F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19D7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37F3E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Align w:val="center"/>
                </w:tcPr>
                <w:p w14:paraId="18381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环境风险防范措施</w:t>
                  </w:r>
                </w:p>
              </w:tc>
              <w:tc>
                <w:tcPr>
                  <w:tcW w:w="611" w:type="dxa"/>
                  <w:vAlign w:val="center"/>
                </w:tcPr>
                <w:p w14:paraId="0C8AA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color w:val="auto"/>
                      <w:sz w:val="21"/>
                      <w:szCs w:val="21"/>
                      <w:highlight w:val="none"/>
                      <w:lang w:val="en-US" w:eastAsia="zh-CN"/>
                    </w:rPr>
                  </w:pPr>
                  <w:r>
                    <w:rPr>
                      <w:rFonts w:hint="eastAsia" w:cs="宋体"/>
                      <w:b w:val="0"/>
                      <w:bCs/>
                      <w:color w:val="auto"/>
                      <w:sz w:val="21"/>
                      <w:szCs w:val="21"/>
                      <w:highlight w:val="none"/>
                      <w:lang w:val="en-US" w:eastAsia="zh-CN"/>
                    </w:rPr>
                    <w:t>危废暂存间</w:t>
                  </w:r>
                </w:p>
              </w:tc>
              <w:tc>
                <w:tcPr>
                  <w:tcW w:w="4801" w:type="dxa"/>
                  <w:vAlign w:val="center"/>
                </w:tcPr>
                <w:p w14:paraId="5C0E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危废间设置0.</w:t>
                  </w:r>
                  <w:r>
                    <w:rPr>
                      <w:rFonts w:hint="eastAsia"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m高的围堰，围堰内容积约</w:t>
                  </w:r>
                  <w:r>
                    <w:rPr>
                      <w:rFonts w:hint="eastAsia"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p>
              </w:tc>
              <w:tc>
                <w:tcPr>
                  <w:tcW w:w="858" w:type="dxa"/>
                  <w:vAlign w:val="center"/>
                </w:tcPr>
                <w:p w14:paraId="5C508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bl>
          <w:p w14:paraId="313E73A4">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default"/>
                <w:b/>
                <w:color w:val="auto"/>
                <w:kern w:val="0"/>
              </w:rPr>
              <w:t>四、</w:t>
            </w:r>
            <w:r>
              <w:rPr>
                <w:rFonts w:hint="eastAsia"/>
                <w:b/>
                <w:color w:val="auto"/>
                <w:kern w:val="0"/>
                <w:lang w:val="en-US" w:eastAsia="zh-CN"/>
              </w:rPr>
              <w:t>清洗方案</w:t>
            </w:r>
          </w:p>
          <w:p w14:paraId="344402EA">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lang w:val="en-US" w:eastAsia="zh-CN"/>
              </w:rPr>
              <w:t>本项目</w:t>
            </w:r>
            <w:r>
              <w:rPr>
                <w:rFonts w:hint="eastAsia"/>
                <w:color w:val="auto"/>
                <w:kern w:val="0"/>
              </w:rPr>
              <w:t>仅清洗装载柴油的危化品车辆，不接收其他类</w:t>
            </w:r>
            <w:r>
              <w:rPr>
                <w:rFonts w:hint="eastAsia"/>
                <w:color w:val="auto"/>
                <w:kern w:val="0"/>
                <w:lang w:val="en-US" w:eastAsia="zh-CN"/>
              </w:rPr>
              <w:t>别</w:t>
            </w:r>
            <w:r>
              <w:rPr>
                <w:rFonts w:hint="eastAsia"/>
                <w:color w:val="auto"/>
                <w:kern w:val="0"/>
              </w:rPr>
              <w:t>危化品车辆的清洗服务</w:t>
            </w:r>
            <w:r>
              <w:rPr>
                <w:rFonts w:hint="eastAsia"/>
                <w:color w:val="auto"/>
                <w:kern w:val="0"/>
                <w:lang w:eastAsia="zh-CN"/>
              </w:rPr>
              <w:t>，</w:t>
            </w:r>
            <w:r>
              <w:rPr>
                <w:rFonts w:hint="eastAsia"/>
                <w:color w:val="auto"/>
                <w:kern w:val="0"/>
              </w:rPr>
              <w:t>本项目清洗方案如下表所示。</w:t>
            </w:r>
          </w:p>
          <w:p w14:paraId="31F1201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表2-2 本项目清洗方案一览表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561"/>
              <w:gridCol w:w="2822"/>
              <w:gridCol w:w="1192"/>
              <w:gridCol w:w="1206"/>
            </w:tblGrid>
            <w:tr w14:paraId="12E7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6" w:type="pct"/>
                  <w:vAlign w:val="center"/>
                </w:tcPr>
                <w:p w14:paraId="145D6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清洗内容</w:t>
                  </w:r>
                </w:p>
              </w:tc>
              <w:tc>
                <w:tcPr>
                  <w:tcW w:w="995" w:type="pct"/>
                  <w:vAlign w:val="center"/>
                </w:tcPr>
                <w:p w14:paraId="23BA3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车辆运输介质</w:t>
                  </w:r>
                </w:p>
              </w:tc>
              <w:tc>
                <w:tcPr>
                  <w:tcW w:w="1799" w:type="pct"/>
                  <w:vAlign w:val="center"/>
                </w:tcPr>
                <w:p w14:paraId="16820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清洗工艺</w:t>
                  </w:r>
                </w:p>
              </w:tc>
              <w:tc>
                <w:tcPr>
                  <w:tcW w:w="758" w:type="pct"/>
                  <w:vAlign w:val="center"/>
                </w:tcPr>
                <w:p w14:paraId="5AB8A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罐体容积</w:t>
                  </w:r>
                </w:p>
              </w:tc>
              <w:tc>
                <w:tcPr>
                  <w:tcW w:w="769" w:type="pct"/>
                  <w:vAlign w:val="center"/>
                </w:tcPr>
                <w:p w14:paraId="40E438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年清洗量</w:t>
                  </w:r>
                </w:p>
              </w:tc>
            </w:tr>
            <w:tr w14:paraId="607F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6" w:type="pct"/>
                  <w:vMerge w:val="restart"/>
                  <w:vAlign w:val="center"/>
                </w:tcPr>
                <w:p w14:paraId="3C47F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危险化学品车罐体</w:t>
                  </w:r>
                </w:p>
              </w:tc>
              <w:tc>
                <w:tcPr>
                  <w:tcW w:w="995" w:type="pct"/>
                  <w:vAlign w:val="center"/>
                </w:tcPr>
                <w:p w14:paraId="1A87D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柴油</w:t>
                  </w:r>
                </w:p>
              </w:tc>
              <w:tc>
                <w:tcPr>
                  <w:tcW w:w="1799" w:type="pct"/>
                  <w:vAlign w:val="center"/>
                </w:tcPr>
                <w:p w14:paraId="3C44C5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高压水洗</w:t>
                  </w:r>
                </w:p>
                <w:p w14:paraId="30D11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（无混装，罐壁仅有薄油膜，无结块，无死角积垢的罐车）</w:t>
                  </w:r>
                </w:p>
              </w:tc>
              <w:tc>
                <w:tcPr>
                  <w:tcW w:w="758" w:type="pct"/>
                  <w:vAlign w:val="center"/>
                </w:tcPr>
                <w:p w14:paraId="3350D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40m</w:t>
                  </w:r>
                  <w:r>
                    <w:rPr>
                      <w:rFonts w:hint="eastAsia"/>
                      <w:color w:val="auto"/>
                      <w:sz w:val="21"/>
                      <w:szCs w:val="21"/>
                      <w:vertAlign w:val="superscript"/>
                      <w:lang w:val="en-US" w:eastAsia="zh-CN"/>
                    </w:rPr>
                    <w:t>3</w:t>
                  </w:r>
                </w:p>
              </w:tc>
              <w:tc>
                <w:tcPr>
                  <w:tcW w:w="769" w:type="pct"/>
                  <w:vAlign w:val="center"/>
                </w:tcPr>
                <w:p w14:paraId="269395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630辆</w:t>
                  </w:r>
                </w:p>
              </w:tc>
            </w:tr>
            <w:tr w14:paraId="440F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6" w:type="pct"/>
                  <w:vMerge w:val="continue"/>
                  <w:vAlign w:val="center"/>
                </w:tcPr>
                <w:p w14:paraId="5FA5C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995" w:type="pct"/>
                  <w:vAlign w:val="center"/>
                </w:tcPr>
                <w:p w14:paraId="748B03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柴油</w:t>
                  </w:r>
                </w:p>
              </w:tc>
              <w:tc>
                <w:tcPr>
                  <w:tcW w:w="1799" w:type="pct"/>
                  <w:vAlign w:val="center"/>
                </w:tcPr>
                <w:p w14:paraId="56A83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蒸汽清洗</w:t>
                  </w:r>
                </w:p>
                <w:p w14:paraId="51EA6E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（罐内形成氧化油泥、胶质，死角/焊缝积垢严重的罐车）</w:t>
                  </w:r>
                </w:p>
              </w:tc>
              <w:tc>
                <w:tcPr>
                  <w:tcW w:w="758" w:type="pct"/>
                  <w:vAlign w:val="center"/>
                </w:tcPr>
                <w:p w14:paraId="1F85F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40m</w:t>
                  </w:r>
                  <w:r>
                    <w:rPr>
                      <w:rFonts w:hint="eastAsia"/>
                      <w:color w:val="auto"/>
                      <w:sz w:val="21"/>
                      <w:szCs w:val="21"/>
                      <w:vertAlign w:val="superscript"/>
                      <w:lang w:val="en-US" w:eastAsia="zh-CN"/>
                    </w:rPr>
                    <w:t>3</w:t>
                  </w:r>
                </w:p>
              </w:tc>
              <w:tc>
                <w:tcPr>
                  <w:tcW w:w="769" w:type="pct"/>
                  <w:vAlign w:val="center"/>
                </w:tcPr>
                <w:p w14:paraId="5F7F0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270辆</w:t>
                  </w:r>
                </w:p>
              </w:tc>
            </w:tr>
            <w:tr w14:paraId="1B33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230" w:type="pct"/>
                  <w:gridSpan w:val="4"/>
                  <w:vAlign w:val="center"/>
                </w:tcPr>
                <w:p w14:paraId="55A89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合计</w:t>
                  </w:r>
                </w:p>
              </w:tc>
              <w:tc>
                <w:tcPr>
                  <w:tcW w:w="769" w:type="pct"/>
                  <w:vAlign w:val="center"/>
                </w:tcPr>
                <w:p w14:paraId="6917A5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900辆</w:t>
                  </w:r>
                </w:p>
              </w:tc>
            </w:tr>
          </w:tbl>
          <w:p w14:paraId="7BD66881">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五、</w:t>
            </w:r>
            <w:r>
              <w:rPr>
                <w:rFonts w:hint="eastAsia"/>
                <w:b/>
                <w:color w:val="auto"/>
                <w:kern w:val="0"/>
              </w:rPr>
              <w:t>主要生产设施和设施参数</w:t>
            </w:r>
          </w:p>
          <w:p w14:paraId="70A044E0">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本项目危化品罐车清洗涉及的</w:t>
            </w:r>
            <w:r>
              <w:rPr>
                <w:rFonts w:hint="eastAsia"/>
                <w:color w:val="auto"/>
                <w:kern w:val="0"/>
              </w:rPr>
              <w:t>主要生产设施设备及参数见下表。</w:t>
            </w:r>
          </w:p>
          <w:p w14:paraId="40A05F4F">
            <w:pPr>
              <w:jc w:val="center"/>
              <w:rPr>
                <w:color w:val="auto"/>
                <w:vertAlign w:val="baseline"/>
              </w:rPr>
            </w:pPr>
            <w:r>
              <w:rPr>
                <w:rFonts w:hint="eastAsia"/>
                <w:b/>
                <w:color w:val="auto"/>
                <w:kern w:val="0"/>
                <w:sz w:val="21"/>
                <w:szCs w:val="21"/>
              </w:rPr>
              <w:t>表2-3  主要生产设施及参数一览表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587"/>
              <w:gridCol w:w="1065"/>
              <w:gridCol w:w="885"/>
              <w:gridCol w:w="3165"/>
            </w:tblGrid>
            <w:tr w14:paraId="022E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2EAE8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587" w:type="dxa"/>
                  <w:vAlign w:val="center"/>
                </w:tcPr>
                <w:p w14:paraId="2B457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1065" w:type="dxa"/>
                  <w:vAlign w:val="center"/>
                </w:tcPr>
                <w:p w14:paraId="77F40D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规格型号</w:t>
                  </w:r>
                </w:p>
              </w:tc>
              <w:tc>
                <w:tcPr>
                  <w:tcW w:w="885" w:type="dxa"/>
                  <w:vAlign w:val="center"/>
                </w:tcPr>
                <w:p w14:paraId="7F72E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c>
                <w:tcPr>
                  <w:tcW w:w="3165" w:type="dxa"/>
                  <w:vAlign w:val="center"/>
                </w:tcPr>
                <w:p w14:paraId="5C3BB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用途</w:t>
                  </w:r>
                </w:p>
              </w:tc>
            </w:tr>
            <w:tr w14:paraId="2955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0B794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587" w:type="dxa"/>
                  <w:vAlign w:val="center"/>
                </w:tcPr>
                <w:p w14:paraId="12BFA0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高压清洗机</w:t>
                  </w:r>
                </w:p>
              </w:tc>
              <w:tc>
                <w:tcPr>
                  <w:tcW w:w="1065" w:type="dxa"/>
                  <w:vAlign w:val="center"/>
                </w:tcPr>
                <w:p w14:paraId="2B58E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MOOEL</w:t>
                  </w:r>
                </w:p>
              </w:tc>
              <w:tc>
                <w:tcPr>
                  <w:tcW w:w="885" w:type="dxa"/>
                  <w:vAlign w:val="center"/>
                </w:tcPr>
                <w:p w14:paraId="5CFC6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1套</w:t>
                  </w:r>
                </w:p>
              </w:tc>
              <w:tc>
                <w:tcPr>
                  <w:tcW w:w="3165" w:type="dxa"/>
                  <w:vAlign w:val="center"/>
                </w:tcPr>
                <w:p w14:paraId="41985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用于清洗</w:t>
                  </w:r>
                  <w:r>
                    <w:rPr>
                      <w:rFonts w:hint="eastAsia"/>
                      <w:color w:val="auto"/>
                      <w:sz w:val="21"/>
                      <w:szCs w:val="21"/>
                      <w:highlight w:val="none"/>
                      <w:vertAlign w:val="baseline"/>
                      <w:lang w:val="en-US" w:eastAsia="zh-CN"/>
                    </w:rPr>
                    <w:t>无混装，罐壁仅有薄油膜，无结块，无死角积垢的罐车</w:t>
                  </w:r>
                </w:p>
              </w:tc>
            </w:tr>
            <w:tr w14:paraId="28D8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shd w:val="clear" w:color="auto" w:fill="auto"/>
                  <w:vAlign w:val="center"/>
                </w:tcPr>
                <w:p w14:paraId="38275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1587" w:type="dxa"/>
                  <w:vAlign w:val="center"/>
                </w:tcPr>
                <w:p w14:paraId="0E630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蒸汽发生器</w:t>
                  </w:r>
                </w:p>
              </w:tc>
              <w:tc>
                <w:tcPr>
                  <w:tcW w:w="1065" w:type="dxa"/>
                  <w:vAlign w:val="center"/>
                </w:tcPr>
                <w:p w14:paraId="64E75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0.5t/h</w:t>
                  </w:r>
                </w:p>
              </w:tc>
              <w:tc>
                <w:tcPr>
                  <w:tcW w:w="885" w:type="dxa"/>
                  <w:vAlign w:val="center"/>
                </w:tcPr>
                <w:p w14:paraId="55EFE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1套</w:t>
                  </w:r>
                </w:p>
              </w:tc>
              <w:tc>
                <w:tcPr>
                  <w:tcW w:w="3165" w:type="dxa"/>
                  <w:vAlign w:val="center"/>
                </w:tcPr>
                <w:p w14:paraId="3D36D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用于清洗</w:t>
                  </w:r>
                  <w:r>
                    <w:rPr>
                      <w:rFonts w:hint="eastAsia"/>
                      <w:color w:val="auto"/>
                      <w:sz w:val="21"/>
                      <w:szCs w:val="21"/>
                      <w:highlight w:val="none"/>
                      <w:vertAlign w:val="baseline"/>
                      <w:lang w:val="en-US" w:eastAsia="zh-CN"/>
                    </w:rPr>
                    <w:t>罐内形成氧化油泥、胶质，死角/焊缝积垢严重的罐车</w:t>
                  </w:r>
                  <w:r>
                    <w:rPr>
                      <w:rFonts w:hint="eastAsia" w:cs="Times New Roman"/>
                      <w:color w:val="auto"/>
                      <w:sz w:val="21"/>
                      <w:szCs w:val="21"/>
                      <w:highlight w:val="none"/>
                      <w:vertAlign w:val="baseline"/>
                      <w:lang w:val="en-US" w:eastAsia="zh-CN"/>
                    </w:rPr>
                    <w:t>）</w:t>
                  </w:r>
                </w:p>
              </w:tc>
            </w:tr>
            <w:tr w14:paraId="2710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shd w:val="clear" w:color="auto" w:fill="auto"/>
                  <w:vAlign w:val="center"/>
                </w:tcPr>
                <w:p w14:paraId="793A5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1587" w:type="dxa"/>
                  <w:vAlign w:val="center"/>
                </w:tcPr>
                <w:p w14:paraId="3F767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风机</w:t>
                  </w:r>
                </w:p>
              </w:tc>
              <w:tc>
                <w:tcPr>
                  <w:tcW w:w="1065" w:type="dxa"/>
                  <w:vAlign w:val="center"/>
                </w:tcPr>
                <w:p w14:paraId="63600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885" w:type="dxa"/>
                  <w:vAlign w:val="center"/>
                </w:tcPr>
                <w:p w14:paraId="6F1808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1台</w:t>
                  </w:r>
                </w:p>
              </w:tc>
              <w:tc>
                <w:tcPr>
                  <w:tcW w:w="3165" w:type="dxa"/>
                  <w:vAlign w:val="center"/>
                </w:tcPr>
                <w:p w14:paraId="6350D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安全作业（降温）</w:t>
                  </w:r>
                </w:p>
              </w:tc>
            </w:tr>
            <w:tr w14:paraId="5733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shd w:val="clear" w:color="auto" w:fill="auto"/>
                  <w:vAlign w:val="center"/>
                </w:tcPr>
                <w:p w14:paraId="45DFD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w:t>
                  </w:r>
                </w:p>
              </w:tc>
              <w:tc>
                <w:tcPr>
                  <w:tcW w:w="1587" w:type="dxa"/>
                  <w:shd w:val="clear" w:color="auto" w:fill="auto"/>
                  <w:vAlign w:val="center"/>
                </w:tcPr>
                <w:p w14:paraId="42F14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供水</w:t>
                  </w:r>
                  <w:r>
                    <w:rPr>
                      <w:rFonts w:hint="default" w:ascii="Times New Roman" w:hAnsi="Times New Roman" w:cs="Times New Roman"/>
                      <w:color w:val="auto"/>
                      <w:sz w:val="21"/>
                      <w:szCs w:val="21"/>
                      <w:vertAlign w:val="baseline"/>
                      <w:lang w:val="en-US" w:eastAsia="zh-CN"/>
                    </w:rPr>
                    <w:t>池</w:t>
                  </w:r>
                </w:p>
              </w:tc>
              <w:tc>
                <w:tcPr>
                  <w:tcW w:w="1065" w:type="dxa"/>
                  <w:shd w:val="clear" w:color="auto" w:fill="auto"/>
                  <w:vAlign w:val="center"/>
                </w:tcPr>
                <w:p w14:paraId="2A28A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885" w:type="dxa"/>
                  <w:shd w:val="clear" w:color="auto" w:fill="auto"/>
                  <w:vAlign w:val="center"/>
                </w:tcPr>
                <w:p w14:paraId="72D32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1个</w:t>
                  </w:r>
                </w:p>
              </w:tc>
              <w:tc>
                <w:tcPr>
                  <w:tcW w:w="3165" w:type="dxa"/>
                  <w:shd w:val="clear" w:color="auto" w:fill="auto"/>
                  <w:vAlign w:val="center"/>
                </w:tcPr>
                <w:p w14:paraId="26BA7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提供生产用水</w:t>
                  </w:r>
                </w:p>
              </w:tc>
            </w:tr>
            <w:tr w14:paraId="6E4D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shd w:val="clear" w:color="auto" w:fill="auto"/>
                  <w:vAlign w:val="center"/>
                </w:tcPr>
                <w:p w14:paraId="64864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w:t>
                  </w:r>
                </w:p>
              </w:tc>
              <w:tc>
                <w:tcPr>
                  <w:tcW w:w="1587" w:type="dxa"/>
                  <w:shd w:val="clear" w:color="auto" w:fill="auto"/>
                  <w:vAlign w:val="center"/>
                </w:tcPr>
                <w:p w14:paraId="5D604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隔油</w:t>
                  </w:r>
                  <w:r>
                    <w:rPr>
                      <w:rFonts w:hint="default" w:ascii="Times New Roman" w:hAnsi="Times New Roman" w:cs="Times New Roman"/>
                      <w:color w:val="auto"/>
                      <w:sz w:val="21"/>
                      <w:szCs w:val="21"/>
                      <w:vertAlign w:val="baseline"/>
                      <w:lang w:val="en-US" w:eastAsia="zh-CN"/>
                    </w:rPr>
                    <w:t>沉淀池</w:t>
                  </w:r>
                </w:p>
              </w:tc>
              <w:tc>
                <w:tcPr>
                  <w:tcW w:w="1065" w:type="dxa"/>
                  <w:shd w:val="clear" w:color="auto" w:fill="auto"/>
                  <w:vAlign w:val="center"/>
                </w:tcPr>
                <w:p w14:paraId="082E2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885" w:type="dxa"/>
                  <w:shd w:val="clear" w:color="auto" w:fill="auto"/>
                  <w:vAlign w:val="center"/>
                </w:tcPr>
                <w:p w14:paraId="26073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1个</w:t>
                  </w:r>
                </w:p>
              </w:tc>
              <w:tc>
                <w:tcPr>
                  <w:tcW w:w="3165" w:type="dxa"/>
                  <w:shd w:val="clear" w:color="auto" w:fill="auto"/>
                  <w:vAlign w:val="center"/>
                </w:tcPr>
                <w:p w14:paraId="5B33B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收集生产废水</w:t>
                  </w:r>
                </w:p>
              </w:tc>
            </w:tr>
            <w:tr w14:paraId="0710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36" w:type="dxa"/>
                  <w:vAlign w:val="center"/>
                </w:tcPr>
                <w:p w14:paraId="35146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587" w:type="dxa"/>
                  <w:vAlign w:val="center"/>
                </w:tcPr>
                <w:p w14:paraId="2C37B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一体化</w:t>
                  </w:r>
                  <w:r>
                    <w:rPr>
                      <w:rFonts w:hint="default" w:ascii="Times New Roman" w:hAnsi="Times New Roman" w:cs="Times New Roman"/>
                      <w:color w:val="auto"/>
                      <w:sz w:val="21"/>
                      <w:szCs w:val="21"/>
                      <w:vertAlign w:val="baseline"/>
                      <w:lang w:val="en-US" w:eastAsia="zh-CN"/>
                    </w:rPr>
                    <w:t>污水处理设施</w:t>
                  </w:r>
                </w:p>
              </w:tc>
              <w:tc>
                <w:tcPr>
                  <w:tcW w:w="1065" w:type="dxa"/>
                  <w:vAlign w:val="center"/>
                </w:tcPr>
                <w:p w14:paraId="3C7EB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/h</w:t>
                  </w:r>
                </w:p>
              </w:tc>
              <w:tc>
                <w:tcPr>
                  <w:tcW w:w="885" w:type="dxa"/>
                  <w:vAlign w:val="center"/>
                </w:tcPr>
                <w:p w14:paraId="7878D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1套</w:t>
                  </w:r>
                </w:p>
              </w:tc>
              <w:tc>
                <w:tcPr>
                  <w:tcW w:w="3165" w:type="dxa"/>
                  <w:vAlign w:val="center"/>
                </w:tcPr>
                <w:p w14:paraId="73461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处理生产废水</w:t>
                  </w:r>
                </w:p>
              </w:tc>
            </w:tr>
          </w:tbl>
          <w:p w14:paraId="4BE601B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六、主要原辅材料及燃料的种类和数量</w:t>
            </w:r>
          </w:p>
          <w:p w14:paraId="3C25017D">
            <w:pPr>
              <w:keepNext w:val="0"/>
              <w:keepLines w:val="0"/>
              <w:suppressLineNumbers w:val="0"/>
              <w:spacing w:before="0" w:beforeAutospacing="0" w:after="0" w:afterAutospacing="0"/>
              <w:ind w:left="0" w:right="0"/>
              <w:jc w:val="center"/>
              <w:rPr>
                <w:rFonts w:hint="default"/>
                <w:b/>
                <w:color w:val="auto"/>
                <w:kern w:val="0"/>
                <w:sz w:val="21"/>
                <w:szCs w:val="21"/>
                <w:highlight w:val="none"/>
              </w:rPr>
            </w:pPr>
            <w:r>
              <w:rPr>
                <w:rFonts w:hint="eastAsia" w:ascii="宋体" w:hAnsi="宋体"/>
                <w:b/>
                <w:color w:val="auto"/>
                <w:kern w:val="0"/>
                <w:sz w:val="21"/>
                <w:szCs w:val="21"/>
                <w:highlight w:val="none"/>
              </w:rPr>
              <w:t>表</w:t>
            </w:r>
            <w:r>
              <w:rPr>
                <w:rFonts w:hint="eastAsia"/>
                <w:b/>
                <w:color w:val="auto"/>
                <w:kern w:val="0"/>
                <w:sz w:val="21"/>
                <w:szCs w:val="21"/>
                <w:highlight w:val="none"/>
              </w:rPr>
              <w:t xml:space="preserve">2-4  </w:t>
            </w:r>
            <w:r>
              <w:rPr>
                <w:rFonts w:hint="eastAsia" w:ascii="宋体" w:hAnsi="宋体"/>
                <w:b/>
                <w:color w:val="auto"/>
                <w:kern w:val="0"/>
                <w:sz w:val="21"/>
                <w:szCs w:val="21"/>
                <w:highlight w:val="none"/>
              </w:rPr>
              <w:t>主要原辅材料种类及用量</w:t>
            </w:r>
          </w:p>
          <w:tbl>
            <w:tblPr>
              <w:tblStyle w:val="30"/>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094"/>
              <w:gridCol w:w="749"/>
              <w:gridCol w:w="955"/>
              <w:gridCol w:w="1080"/>
              <w:gridCol w:w="1560"/>
              <w:gridCol w:w="1767"/>
            </w:tblGrid>
            <w:tr w14:paraId="3F83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5984F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094" w:type="dxa"/>
                  <w:vAlign w:val="center"/>
                </w:tcPr>
                <w:p w14:paraId="0FE10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749" w:type="dxa"/>
                  <w:vAlign w:val="center"/>
                </w:tcPr>
                <w:p w14:paraId="05ED2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955" w:type="dxa"/>
                  <w:vAlign w:val="center"/>
                </w:tcPr>
                <w:p w14:paraId="63AB0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年用量</w:t>
                  </w:r>
                </w:p>
              </w:tc>
              <w:tc>
                <w:tcPr>
                  <w:tcW w:w="1080" w:type="dxa"/>
                  <w:vAlign w:val="center"/>
                </w:tcPr>
                <w:p w14:paraId="5D5F0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来源</w:t>
                  </w:r>
                </w:p>
              </w:tc>
              <w:tc>
                <w:tcPr>
                  <w:tcW w:w="1560" w:type="dxa"/>
                  <w:vAlign w:val="center"/>
                </w:tcPr>
                <w:p w14:paraId="3C713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用途</w:t>
                  </w:r>
                </w:p>
              </w:tc>
              <w:tc>
                <w:tcPr>
                  <w:tcW w:w="1767" w:type="dxa"/>
                  <w:vAlign w:val="center"/>
                </w:tcPr>
                <w:p w14:paraId="16E57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备注</w:t>
                  </w:r>
                </w:p>
              </w:tc>
            </w:tr>
            <w:tr w14:paraId="35A2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07A54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094" w:type="dxa"/>
                  <w:vAlign w:val="center"/>
                </w:tcPr>
                <w:p w14:paraId="2E9D4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电能</w:t>
                  </w:r>
                </w:p>
              </w:tc>
              <w:tc>
                <w:tcPr>
                  <w:tcW w:w="749" w:type="dxa"/>
                  <w:vAlign w:val="center"/>
                </w:tcPr>
                <w:p w14:paraId="52701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kW·h</w:t>
                  </w:r>
                </w:p>
              </w:tc>
              <w:tc>
                <w:tcPr>
                  <w:tcW w:w="955" w:type="dxa"/>
                  <w:vAlign w:val="center"/>
                </w:tcPr>
                <w:p w14:paraId="1B04FA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eastAsia"/>
                      <w:color w:val="auto"/>
                      <w:kern w:val="0"/>
                      <w:sz w:val="21"/>
                      <w:szCs w:val="21"/>
                      <w:highlight w:val="none"/>
                      <w:lang w:val="en-US" w:eastAsia="zh-CN"/>
                    </w:rPr>
                    <w:t>2</w:t>
                  </w:r>
                  <w:r>
                    <w:rPr>
                      <w:rFonts w:hint="eastAsia"/>
                      <w:color w:val="auto"/>
                      <w:kern w:val="0"/>
                      <w:sz w:val="21"/>
                      <w:szCs w:val="21"/>
                      <w:highlight w:val="none"/>
                    </w:rPr>
                    <w:t>万</w:t>
                  </w:r>
                </w:p>
              </w:tc>
              <w:tc>
                <w:tcPr>
                  <w:tcW w:w="1080" w:type="dxa"/>
                  <w:vAlign w:val="center"/>
                </w:tcPr>
                <w:p w14:paraId="1F495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市政供电</w:t>
                  </w:r>
                </w:p>
              </w:tc>
              <w:tc>
                <w:tcPr>
                  <w:tcW w:w="1560" w:type="dxa"/>
                  <w:vAlign w:val="center"/>
                </w:tcPr>
                <w:p w14:paraId="5FEE9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清洗、办公</w:t>
                  </w:r>
                </w:p>
              </w:tc>
              <w:tc>
                <w:tcPr>
                  <w:tcW w:w="1767" w:type="dxa"/>
                  <w:vAlign w:val="center"/>
                </w:tcPr>
                <w:p w14:paraId="506DF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3C86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0D04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94" w:type="dxa"/>
                  <w:vAlign w:val="center"/>
                </w:tcPr>
                <w:p w14:paraId="3D409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w:t>
                  </w:r>
                </w:p>
              </w:tc>
              <w:tc>
                <w:tcPr>
                  <w:tcW w:w="749" w:type="dxa"/>
                  <w:vAlign w:val="center"/>
                </w:tcPr>
                <w:p w14:paraId="0E2FF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吨</w:t>
                  </w:r>
                </w:p>
              </w:tc>
              <w:tc>
                <w:tcPr>
                  <w:tcW w:w="955" w:type="dxa"/>
                  <w:vAlign w:val="center"/>
                </w:tcPr>
                <w:p w14:paraId="2FF58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green"/>
                      <w:vertAlign w:val="baseline"/>
                      <w:lang w:val="en-US" w:eastAsia="zh-CN"/>
                    </w:rPr>
                  </w:pPr>
                  <w:r>
                    <w:rPr>
                      <w:rFonts w:hint="eastAsia" w:cs="Times New Roman"/>
                      <w:color w:val="auto"/>
                      <w:sz w:val="21"/>
                      <w:szCs w:val="21"/>
                      <w:highlight w:val="none"/>
                      <w:vertAlign w:val="baseline"/>
                      <w:lang w:val="en-US" w:eastAsia="zh-CN"/>
                    </w:rPr>
                    <w:t>120</w:t>
                  </w:r>
                </w:p>
              </w:tc>
              <w:tc>
                <w:tcPr>
                  <w:tcW w:w="1080" w:type="dxa"/>
                  <w:vAlign w:val="center"/>
                </w:tcPr>
                <w:p w14:paraId="4E3D5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市政供水</w:t>
                  </w:r>
                </w:p>
              </w:tc>
              <w:tc>
                <w:tcPr>
                  <w:tcW w:w="1560" w:type="dxa"/>
                  <w:vAlign w:val="center"/>
                </w:tcPr>
                <w:p w14:paraId="4F2C4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清洗、生活</w:t>
                  </w:r>
                </w:p>
              </w:tc>
              <w:tc>
                <w:tcPr>
                  <w:tcW w:w="1767" w:type="dxa"/>
                  <w:vAlign w:val="center"/>
                </w:tcPr>
                <w:p w14:paraId="53E69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3D7E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FB78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094" w:type="dxa"/>
                  <w:vAlign w:val="center"/>
                </w:tcPr>
                <w:p w14:paraId="3BAF5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絮凝剂（PAC、PAM）</w:t>
                  </w:r>
                </w:p>
              </w:tc>
              <w:tc>
                <w:tcPr>
                  <w:tcW w:w="749" w:type="dxa"/>
                  <w:vAlign w:val="center"/>
                </w:tcPr>
                <w:p w14:paraId="1F09E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kg</w:t>
                  </w:r>
                </w:p>
              </w:tc>
              <w:tc>
                <w:tcPr>
                  <w:tcW w:w="955" w:type="dxa"/>
                  <w:vAlign w:val="center"/>
                </w:tcPr>
                <w:p w14:paraId="0D121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25</w:t>
                  </w:r>
                </w:p>
              </w:tc>
              <w:tc>
                <w:tcPr>
                  <w:tcW w:w="1080" w:type="dxa"/>
                  <w:vAlign w:val="center"/>
                </w:tcPr>
                <w:p w14:paraId="21D54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市场外购</w:t>
                  </w:r>
                </w:p>
              </w:tc>
              <w:tc>
                <w:tcPr>
                  <w:tcW w:w="1560" w:type="dxa"/>
                  <w:vAlign w:val="center"/>
                </w:tcPr>
                <w:p w14:paraId="485C3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一体化污水处理设施</w:t>
                  </w:r>
                </w:p>
              </w:tc>
              <w:tc>
                <w:tcPr>
                  <w:tcW w:w="1767" w:type="dxa"/>
                  <w:vAlign w:val="center"/>
                </w:tcPr>
                <w:p w14:paraId="7DD76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2660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DA2B3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094" w:type="dxa"/>
                  <w:vAlign w:val="center"/>
                </w:tcPr>
                <w:p w14:paraId="571555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pH调节剂（氢氧化钠）</w:t>
                  </w:r>
                </w:p>
              </w:tc>
              <w:tc>
                <w:tcPr>
                  <w:tcW w:w="749" w:type="dxa"/>
                  <w:vAlign w:val="center"/>
                </w:tcPr>
                <w:p w14:paraId="69D2F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kg</w:t>
                  </w:r>
                </w:p>
              </w:tc>
              <w:tc>
                <w:tcPr>
                  <w:tcW w:w="955" w:type="dxa"/>
                  <w:vAlign w:val="center"/>
                </w:tcPr>
                <w:p w14:paraId="35A03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1080" w:type="dxa"/>
                  <w:shd w:val="clear" w:color="auto" w:fill="auto"/>
                  <w:vAlign w:val="center"/>
                </w:tcPr>
                <w:p w14:paraId="19E94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市场外购</w:t>
                  </w:r>
                </w:p>
              </w:tc>
              <w:tc>
                <w:tcPr>
                  <w:tcW w:w="1560" w:type="dxa"/>
                  <w:shd w:val="clear" w:color="auto" w:fill="auto"/>
                  <w:vAlign w:val="center"/>
                </w:tcPr>
                <w:p w14:paraId="41366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一体化污水处理设施</w:t>
                  </w:r>
                </w:p>
              </w:tc>
              <w:tc>
                <w:tcPr>
                  <w:tcW w:w="1767" w:type="dxa"/>
                  <w:shd w:val="clear" w:color="auto" w:fill="auto"/>
                  <w:vAlign w:val="center"/>
                </w:tcPr>
                <w:p w14:paraId="376E3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污水处理时絮凝混凝过程需要在碱性条件下进行，pH调节时仅添加碱性药剂。</w:t>
                  </w:r>
                </w:p>
              </w:tc>
            </w:tr>
          </w:tbl>
          <w:p w14:paraId="69186FC1">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七、水平衡分析</w:t>
            </w:r>
          </w:p>
          <w:p w14:paraId="045E6E17">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本项目用水主要包括生活用水及生产用水，其中生产用水主要</w:t>
            </w:r>
            <w:r>
              <w:rPr>
                <w:rFonts w:hint="eastAsia"/>
                <w:color w:val="auto"/>
                <w:kern w:val="0"/>
                <w:lang w:val="en-US" w:eastAsia="zh-CN"/>
              </w:rPr>
              <w:t>为高压清洗用水和蒸汽清洗用水</w:t>
            </w:r>
            <w:r>
              <w:rPr>
                <w:rFonts w:hint="eastAsia"/>
                <w:color w:val="auto"/>
                <w:kern w:val="0"/>
                <w:lang w:eastAsia="zh-CN"/>
              </w:rPr>
              <w:t>，</w:t>
            </w:r>
            <w:r>
              <w:rPr>
                <w:rFonts w:hint="eastAsia"/>
                <w:color w:val="auto"/>
                <w:kern w:val="0"/>
              </w:rPr>
              <w:t>本项目罐车清洗过程中只使用清水，</w:t>
            </w:r>
            <w:r>
              <w:rPr>
                <w:rFonts w:hint="eastAsia"/>
                <w:color w:val="auto"/>
                <w:kern w:val="0"/>
                <w:lang w:val="en-US" w:eastAsia="zh-CN"/>
              </w:rPr>
              <w:t>不添加</w:t>
            </w:r>
            <w:r>
              <w:rPr>
                <w:rFonts w:hint="eastAsia"/>
                <w:color w:val="auto"/>
                <w:kern w:val="0"/>
              </w:rPr>
              <w:t>任何清洗剂。</w:t>
            </w:r>
          </w:p>
          <w:p w14:paraId="235982E2">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w:t>
            </w:r>
            <w:r>
              <w:rPr>
                <w:rFonts w:hint="eastAsia"/>
                <w:b/>
                <w:color w:val="auto"/>
                <w:kern w:val="0"/>
              </w:rPr>
              <w:t>1</w:t>
            </w:r>
            <w:r>
              <w:rPr>
                <w:rFonts w:hint="eastAsia" w:ascii="宋体" w:hAnsi="宋体"/>
                <w:b/>
                <w:color w:val="auto"/>
                <w:kern w:val="0"/>
              </w:rPr>
              <w:t>）生活用水</w:t>
            </w:r>
          </w:p>
          <w:p w14:paraId="2EAC843E">
            <w:pPr>
              <w:keepNext w:val="0"/>
              <w:keepLines w:val="0"/>
              <w:suppressLineNumbers w:val="0"/>
              <w:spacing w:before="0" w:beforeAutospacing="0" w:after="0" w:afterAutospacing="0"/>
              <w:ind w:left="0" w:right="0" w:firstLine="480" w:firstLineChars="200"/>
              <w:rPr>
                <w:rFonts w:hint="default" w:eastAsia="宋体"/>
                <w:color w:val="auto"/>
                <w:lang w:val="en-US" w:eastAsia="zh-CN"/>
              </w:rPr>
            </w:pPr>
            <w:r>
              <w:rPr>
                <w:rFonts w:hint="eastAsia" w:ascii="宋体" w:hAnsi="宋体"/>
                <w:color w:val="auto"/>
                <w:kern w:val="0"/>
              </w:rPr>
              <w:t>本项目职工共</w:t>
            </w:r>
            <w:r>
              <w:rPr>
                <w:rFonts w:hint="eastAsia"/>
                <w:color w:val="auto"/>
                <w:kern w:val="0"/>
              </w:rPr>
              <w:t>2</w:t>
            </w:r>
            <w:r>
              <w:rPr>
                <w:rFonts w:hint="eastAsia" w:ascii="宋体" w:hAnsi="宋体"/>
                <w:color w:val="auto"/>
                <w:kern w:val="0"/>
              </w:rPr>
              <w:t>人，生活用水参考《云南省地方标准—用水定额》（</w:t>
            </w:r>
            <w:r>
              <w:rPr>
                <w:rFonts w:hint="eastAsia"/>
                <w:color w:val="auto"/>
                <w:kern w:val="0"/>
              </w:rPr>
              <w:t>DB53/T168-2019</w:t>
            </w:r>
            <w:r>
              <w:rPr>
                <w:rFonts w:hint="eastAsia" w:ascii="宋体" w:hAnsi="宋体"/>
                <w:color w:val="auto"/>
                <w:kern w:val="0"/>
              </w:rPr>
              <w:t>）中城镇居民生活用水定额，按</w:t>
            </w:r>
            <w:r>
              <w:rPr>
                <w:rFonts w:hint="eastAsia"/>
                <w:color w:val="auto"/>
                <w:kern w:val="0"/>
              </w:rPr>
              <w:t>100L/</w:t>
            </w:r>
            <w:r>
              <w:rPr>
                <w:rFonts w:hint="eastAsia" w:ascii="宋体" w:hAnsi="宋体"/>
                <w:color w:val="auto"/>
                <w:kern w:val="0"/>
              </w:rPr>
              <w:t>（人</w:t>
            </w:r>
            <w:r>
              <w:rPr>
                <w:rFonts w:hint="eastAsia"/>
                <w:color w:val="auto"/>
                <w:kern w:val="0"/>
              </w:rPr>
              <w:t>.d</w:t>
            </w:r>
            <w:r>
              <w:rPr>
                <w:rFonts w:hint="eastAsia" w:ascii="宋体" w:hAnsi="宋体"/>
                <w:color w:val="auto"/>
                <w:kern w:val="0"/>
              </w:rPr>
              <w:t>）计，则生活用</w:t>
            </w:r>
            <w:r>
              <w:rPr>
                <w:rFonts w:hint="default" w:ascii="Times New Roman" w:hAnsi="Times New Roman" w:cs="Times New Roman"/>
                <w:color w:val="auto"/>
                <w:kern w:val="0"/>
              </w:rPr>
              <w:t>水量为</w:t>
            </w:r>
            <w:r>
              <w:rPr>
                <w:rFonts w:hint="default" w:ascii="Times New Roman" w:hAnsi="Times New Roman" w:cs="Times New Roman"/>
                <w:color w:val="auto"/>
                <w:kern w:val="0"/>
                <w:lang w:val="en-US" w:eastAsia="zh-CN"/>
              </w:rPr>
              <w:t>0</w:t>
            </w:r>
            <w:r>
              <w:rPr>
                <w:rFonts w:hint="default" w:ascii="Times New Roman" w:hAnsi="Times New Roman" w:cs="Times New Roman"/>
                <w:color w:val="auto"/>
                <w:kern w:val="0"/>
              </w:rPr>
              <w:t>.2m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60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/a，废水产生系数按0.8计，则生活废水量为</w:t>
            </w:r>
            <w:r>
              <w:rPr>
                <w:rFonts w:hint="default" w:ascii="Times New Roman" w:hAnsi="Times New Roman" w:cs="Times New Roman"/>
                <w:color w:val="auto"/>
                <w:kern w:val="0"/>
                <w:lang w:val="en-US" w:eastAsia="zh-CN"/>
              </w:rPr>
              <w:t>0.16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48</w:t>
            </w:r>
            <w:r>
              <w:rPr>
                <w:rFonts w:hint="default" w:ascii="Times New Roman" w:hAnsi="Times New Roman" w:cs="Times New Roman"/>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。项目区还未接通园区污水管网</w:t>
            </w:r>
            <w:r>
              <w:rPr>
                <w:rFonts w:hint="eastAsia" w:ascii="宋体" w:hAnsi="宋体"/>
                <w:color w:val="auto"/>
                <w:kern w:val="0"/>
                <w:lang w:eastAsia="zh-CN"/>
              </w:rPr>
              <w:t>，</w:t>
            </w:r>
            <w:r>
              <w:rPr>
                <w:rFonts w:hint="eastAsia" w:ascii="宋体" w:hAnsi="宋体"/>
                <w:color w:val="auto"/>
                <w:kern w:val="0"/>
                <w:lang w:val="en-US" w:eastAsia="zh-CN"/>
              </w:rPr>
              <w:t>生活污水进入化粪池处理后，定期委托环卫部门清掏。若今后项目区接通园区管网，项目生活废水经化粪池处理后排入园区市政污水管网，进入园区污水处理厂。</w:t>
            </w:r>
          </w:p>
          <w:p w14:paraId="5249BB32">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eastAsia"/>
                <w:b/>
                <w:color w:val="auto"/>
                <w:kern w:val="0"/>
              </w:rPr>
              <w:t>（2）</w:t>
            </w:r>
            <w:r>
              <w:rPr>
                <w:rFonts w:hint="eastAsia"/>
                <w:b/>
                <w:color w:val="auto"/>
                <w:kern w:val="0"/>
                <w:lang w:val="en-US" w:eastAsia="zh-CN"/>
              </w:rPr>
              <w:t>生产用水</w:t>
            </w:r>
          </w:p>
          <w:p w14:paraId="071B331E">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color w:val="auto"/>
                <w:lang w:val="en-US" w:eastAsia="zh-CN"/>
              </w:rPr>
              <w:t>本项目年清洗900辆柴油罐车，其中只对长期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装柴油未彻底清洗，罐内形成氧化油泥、胶质，死角/焊缝积垢严重的罐车进行蒸汽清洗，需蒸汽清洗的车辆占30%，其余70%的车辆采用高压清洗。</w:t>
            </w:r>
          </w:p>
          <w:p w14:paraId="1B848244">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b w:val="0"/>
                <w:bCs/>
                <w:color w:val="auto"/>
                <w:kern w:val="0"/>
                <w:lang w:val="en-US" w:eastAsia="zh-CN"/>
              </w:rPr>
              <w:t>①高压清洗用水</w:t>
            </w:r>
          </w:p>
          <w:p w14:paraId="4121683E">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本项目采用人工用高压水枪对罐体内部进行冲洗，高压水枪出水量为12L/min，每辆车冲洗时间为30min，则每辆罐车内部的冲洗用水量为0.36m</w:t>
            </w:r>
            <w:r>
              <w:rPr>
                <w:rFonts w:hint="eastAsia"/>
                <w:b w:val="0"/>
                <w:bCs/>
                <w:color w:val="auto"/>
                <w:kern w:val="0"/>
                <w:vertAlign w:val="superscript"/>
                <w:lang w:val="en-US" w:eastAsia="zh-CN"/>
              </w:rPr>
              <w:t>3</w:t>
            </w:r>
            <w:r>
              <w:rPr>
                <w:rFonts w:hint="eastAsia"/>
                <w:b w:val="0"/>
                <w:bCs/>
                <w:color w:val="auto"/>
                <w:kern w:val="0"/>
                <w:lang w:val="en-US" w:eastAsia="zh-CN"/>
              </w:rPr>
              <w:t>；本项目罐车高压清洗数量为630辆，则罐车内部冲洗用水量为226.8m</w:t>
            </w:r>
            <w:r>
              <w:rPr>
                <w:rFonts w:hint="eastAsia"/>
                <w:b w:val="0"/>
                <w:bCs/>
                <w:color w:val="auto"/>
                <w:kern w:val="0"/>
                <w:vertAlign w:val="superscript"/>
                <w:lang w:val="en-US" w:eastAsia="zh-CN"/>
              </w:rPr>
              <w:t>3</w:t>
            </w:r>
            <w:r>
              <w:rPr>
                <w:rFonts w:hint="eastAsia"/>
                <w:b w:val="0"/>
                <w:bCs/>
                <w:color w:val="auto"/>
                <w:kern w:val="0"/>
                <w:lang w:val="en-US" w:eastAsia="zh-CN"/>
              </w:rPr>
              <w:t>/a，0.756m</w:t>
            </w:r>
            <w:r>
              <w:rPr>
                <w:rFonts w:hint="eastAsia"/>
                <w:b w:val="0"/>
                <w:bCs/>
                <w:color w:val="auto"/>
                <w:kern w:val="0"/>
                <w:vertAlign w:val="superscript"/>
                <w:lang w:val="en-US" w:eastAsia="zh-CN"/>
              </w:rPr>
              <w:t>3</w:t>
            </w:r>
            <w:r>
              <w:rPr>
                <w:rFonts w:hint="eastAsia"/>
                <w:b w:val="0"/>
                <w:bCs/>
                <w:color w:val="auto"/>
                <w:kern w:val="0"/>
                <w:lang w:val="en-US" w:eastAsia="zh-CN"/>
              </w:rPr>
              <w:t>/d，清洗废水采用排污管连接罐体卸料口，直接通过排污管接入隔油沉淀池，再进入一体化污水处理设施处理。</w:t>
            </w:r>
          </w:p>
          <w:p w14:paraId="06B216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②蒸汽清洗用水</w:t>
            </w:r>
          </w:p>
          <w:p w14:paraId="536747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本项目年清洗900辆柴油罐车，其中只对长期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装柴油未彻底清洗，罐内形成氧化油泥、胶质，死角/焊缝积垢严重的罐车进行蒸汽清洗，需蒸汽清洗的车辆占30%。根据业主提供资料，单台油罐车清洗用蒸汽量约为0.33m</w:t>
            </w:r>
            <w:r>
              <w:rPr>
                <w:rFonts w:hint="eastAsia"/>
                <w:color w:val="auto"/>
                <w:vertAlign w:val="superscript"/>
                <w:lang w:val="en-US" w:eastAsia="zh-CN"/>
              </w:rPr>
              <w:t>3</w:t>
            </w:r>
            <w:r>
              <w:rPr>
                <w:rFonts w:hint="eastAsia"/>
                <w:color w:val="auto"/>
                <w:lang w:val="en-US" w:eastAsia="zh-CN"/>
              </w:rPr>
              <w:t>/次，</w:t>
            </w:r>
            <w:r>
              <w:rPr>
                <w:rFonts w:hint="eastAsia"/>
                <w:b w:val="0"/>
                <w:bCs/>
                <w:color w:val="auto"/>
                <w:kern w:val="0"/>
                <w:lang w:val="en-US" w:eastAsia="zh-CN"/>
              </w:rPr>
              <w:t>本项目需蒸汽清洗数量为270辆，则蒸汽用量为89.1m</w:t>
            </w:r>
            <w:r>
              <w:rPr>
                <w:rFonts w:hint="eastAsia"/>
                <w:b w:val="0"/>
                <w:bCs/>
                <w:color w:val="auto"/>
                <w:kern w:val="0"/>
                <w:vertAlign w:val="superscript"/>
                <w:lang w:val="en-US" w:eastAsia="zh-CN"/>
              </w:rPr>
              <w:t>3</w:t>
            </w:r>
            <w:r>
              <w:rPr>
                <w:rFonts w:hint="eastAsia"/>
                <w:b w:val="0"/>
                <w:bCs/>
                <w:color w:val="auto"/>
                <w:kern w:val="0"/>
                <w:lang w:val="en-US" w:eastAsia="zh-CN"/>
              </w:rPr>
              <w:t>/a，0.297m</w:t>
            </w:r>
            <w:r>
              <w:rPr>
                <w:rFonts w:hint="eastAsia"/>
                <w:b w:val="0"/>
                <w:bCs/>
                <w:color w:val="auto"/>
                <w:kern w:val="0"/>
                <w:vertAlign w:val="superscript"/>
                <w:lang w:val="en-US" w:eastAsia="zh-CN"/>
              </w:rPr>
              <w:t>3</w:t>
            </w:r>
            <w:r>
              <w:rPr>
                <w:rFonts w:hint="eastAsia"/>
                <w:b w:val="0"/>
                <w:bCs/>
                <w:color w:val="auto"/>
                <w:kern w:val="0"/>
                <w:lang w:val="en-US" w:eastAsia="zh-CN"/>
              </w:rPr>
              <w:t>/d</w:t>
            </w:r>
            <w:r>
              <w:rPr>
                <w:rFonts w:hint="eastAsia"/>
                <w:color w:val="auto"/>
                <w:lang w:val="en-US" w:eastAsia="zh-CN"/>
              </w:rPr>
              <w:t>。清洗时蒸汽冷凝率为90%，则污水产生量为</w:t>
            </w:r>
            <w:r>
              <w:rPr>
                <w:rFonts w:hint="eastAsia"/>
                <w:b w:val="0"/>
                <w:bCs/>
                <w:color w:val="auto"/>
                <w:kern w:val="0"/>
                <w:lang w:val="en-US" w:eastAsia="zh-CN"/>
              </w:rPr>
              <w:t>0.267m</w:t>
            </w:r>
            <w:r>
              <w:rPr>
                <w:rFonts w:hint="eastAsia"/>
                <w:b w:val="0"/>
                <w:bCs/>
                <w:color w:val="auto"/>
                <w:kern w:val="0"/>
                <w:vertAlign w:val="superscript"/>
                <w:lang w:val="en-US" w:eastAsia="zh-CN"/>
              </w:rPr>
              <w:t>3</w:t>
            </w:r>
            <w:r>
              <w:rPr>
                <w:rFonts w:hint="eastAsia"/>
                <w:b w:val="0"/>
                <w:bCs/>
                <w:color w:val="auto"/>
                <w:kern w:val="0"/>
                <w:lang w:val="en-US" w:eastAsia="zh-CN"/>
              </w:rPr>
              <w:t>/d，80.1m</w:t>
            </w:r>
            <w:r>
              <w:rPr>
                <w:rFonts w:hint="eastAsia"/>
                <w:b w:val="0"/>
                <w:bCs/>
                <w:color w:val="auto"/>
                <w:kern w:val="0"/>
                <w:vertAlign w:val="superscript"/>
                <w:lang w:val="en-US" w:eastAsia="zh-CN"/>
              </w:rPr>
              <w:t>3</w:t>
            </w:r>
            <w:r>
              <w:rPr>
                <w:rFonts w:hint="eastAsia"/>
                <w:b w:val="0"/>
                <w:bCs/>
                <w:color w:val="auto"/>
                <w:kern w:val="0"/>
                <w:lang w:val="en-US" w:eastAsia="zh-CN"/>
              </w:rPr>
              <w:t>/a，清洗废水采用排污管连接罐体卸料口，直接通过排污管接入隔油沉淀池，再进入一体化污水处理设施处理。</w:t>
            </w:r>
          </w:p>
          <w:p w14:paraId="0A42891E">
            <w:pPr>
              <w:keepNext w:val="0"/>
              <w:keepLines w:val="0"/>
              <w:suppressLineNumbers w:val="0"/>
              <w:spacing w:before="0" w:beforeAutospacing="0" w:after="0" w:afterAutospacing="0"/>
              <w:ind w:left="0" w:right="0" w:firstLine="480" w:firstLineChars="200"/>
              <w:rPr>
                <w:rFonts w:hint="default"/>
                <w:color w:val="auto"/>
                <w:lang w:val="en-US" w:eastAsia="zh-CN"/>
              </w:rPr>
            </w:pPr>
            <w:r>
              <w:rPr>
                <w:rFonts w:hint="eastAsia"/>
                <w:color w:val="auto"/>
                <w:lang w:val="en-US" w:eastAsia="zh-CN"/>
              </w:rPr>
              <w:t>综上，本项目生产用水量为1.053</w:t>
            </w:r>
            <w:r>
              <w:rPr>
                <w:rFonts w:hint="eastAsia"/>
                <w:b w:val="0"/>
                <w:bCs/>
                <w:color w:val="auto"/>
                <w:kern w:val="0"/>
                <w:lang w:val="en-US" w:eastAsia="zh-CN"/>
              </w:rPr>
              <w:t>m</w:t>
            </w:r>
            <w:r>
              <w:rPr>
                <w:rFonts w:hint="eastAsia"/>
                <w:b w:val="0"/>
                <w:bCs/>
                <w:color w:val="auto"/>
                <w:kern w:val="0"/>
                <w:vertAlign w:val="superscript"/>
                <w:lang w:val="en-US" w:eastAsia="zh-CN"/>
              </w:rPr>
              <w:t>3</w:t>
            </w:r>
            <w:r>
              <w:rPr>
                <w:rFonts w:hint="eastAsia"/>
                <w:b w:val="0"/>
                <w:bCs/>
                <w:color w:val="auto"/>
                <w:kern w:val="0"/>
                <w:lang w:val="en-US" w:eastAsia="zh-CN"/>
              </w:rPr>
              <w:t>/d，315.9m</w:t>
            </w:r>
            <w:r>
              <w:rPr>
                <w:rFonts w:hint="eastAsia"/>
                <w:b w:val="0"/>
                <w:bCs/>
                <w:color w:val="auto"/>
                <w:kern w:val="0"/>
                <w:vertAlign w:val="superscript"/>
                <w:lang w:val="en-US" w:eastAsia="zh-CN"/>
              </w:rPr>
              <w:t>3</w:t>
            </w:r>
            <w:r>
              <w:rPr>
                <w:rFonts w:hint="eastAsia"/>
                <w:b w:val="0"/>
                <w:bCs/>
                <w:color w:val="auto"/>
                <w:kern w:val="0"/>
                <w:lang w:val="en-US" w:eastAsia="zh-CN"/>
              </w:rPr>
              <w:t>/a。废水产生量为1.023m</w:t>
            </w:r>
            <w:r>
              <w:rPr>
                <w:rFonts w:hint="eastAsia"/>
                <w:b w:val="0"/>
                <w:bCs/>
                <w:color w:val="auto"/>
                <w:kern w:val="0"/>
                <w:vertAlign w:val="superscript"/>
                <w:lang w:val="en-US" w:eastAsia="zh-CN"/>
              </w:rPr>
              <w:t>3</w:t>
            </w:r>
            <w:r>
              <w:rPr>
                <w:rFonts w:hint="eastAsia"/>
                <w:b w:val="0"/>
                <w:bCs/>
                <w:color w:val="auto"/>
                <w:kern w:val="0"/>
                <w:lang w:val="en-US" w:eastAsia="zh-CN"/>
              </w:rPr>
              <w:t>/d，306.9m</w:t>
            </w:r>
            <w:r>
              <w:rPr>
                <w:rFonts w:hint="eastAsia"/>
                <w:b w:val="0"/>
                <w:bCs/>
                <w:color w:val="auto"/>
                <w:kern w:val="0"/>
                <w:vertAlign w:val="superscript"/>
                <w:lang w:val="en-US" w:eastAsia="zh-CN"/>
              </w:rPr>
              <w:t>3</w:t>
            </w:r>
            <w:r>
              <w:rPr>
                <w:rFonts w:hint="eastAsia"/>
                <w:b w:val="0"/>
                <w:bCs/>
                <w:color w:val="auto"/>
                <w:kern w:val="0"/>
                <w:lang w:val="en-US" w:eastAsia="zh-CN"/>
              </w:rPr>
              <w:t>/a。清洗废水采用排污管连接罐体卸料口，直接通过排污管接入隔油沉淀池，再进入一体化污水处理设施处理。考虑污水处理过程蒸发、污泥带走等损耗，损耗约为10%，因此每天需补充新鲜水0.0834m</w:t>
            </w:r>
            <w:r>
              <w:rPr>
                <w:rFonts w:hint="eastAsia"/>
                <w:b w:val="0"/>
                <w:bCs/>
                <w:color w:val="auto"/>
                <w:kern w:val="0"/>
                <w:vertAlign w:val="superscript"/>
                <w:lang w:val="en-US" w:eastAsia="zh-CN"/>
              </w:rPr>
              <w:t>3</w:t>
            </w:r>
            <w:r>
              <w:rPr>
                <w:rFonts w:hint="eastAsia"/>
                <w:b w:val="0"/>
                <w:bCs/>
                <w:color w:val="auto"/>
                <w:kern w:val="0"/>
                <w:lang w:val="en-US" w:eastAsia="zh-CN"/>
              </w:rPr>
              <w:t>/d。</w:t>
            </w:r>
          </w:p>
          <w:p w14:paraId="799C8FC0">
            <w:pPr>
              <w:keepNext w:val="0"/>
              <w:keepLines w:val="0"/>
              <w:suppressLineNumbers w:val="0"/>
              <w:spacing w:before="0" w:beforeAutospacing="0" w:after="0" w:afterAutospacing="0"/>
              <w:ind w:left="0" w:right="0" w:firstLine="482" w:firstLineChars="200"/>
              <w:rPr>
                <w:rFonts w:hint="default"/>
                <w:b/>
                <w:bCs w:val="0"/>
                <w:color w:val="auto"/>
                <w:kern w:val="0"/>
                <w:highlight w:val="none"/>
                <w:lang w:val="en-US" w:eastAsia="zh-CN"/>
              </w:rPr>
            </w:pPr>
            <w:r>
              <w:rPr>
                <w:rFonts w:hint="eastAsia"/>
                <w:b/>
                <w:bCs w:val="0"/>
                <w:color w:val="auto"/>
                <w:kern w:val="0"/>
                <w:highlight w:val="none"/>
                <w:lang w:val="en-US" w:eastAsia="zh-CN"/>
              </w:rPr>
              <w:t>（3）场地洒水降尘用水</w:t>
            </w:r>
          </w:p>
          <w:p w14:paraId="6D74C6B0">
            <w:pPr>
              <w:ind w:firstLine="480" w:firstLineChars="200"/>
              <w:rPr>
                <w:rFonts w:eastAsia="Times New Roman"/>
                <w:color w:val="auto"/>
                <w:kern w:val="0"/>
              </w:rPr>
            </w:pPr>
            <w:r>
              <w:rPr>
                <w:rFonts w:hint="eastAsia" w:eastAsia="Times New Roman"/>
                <w:color w:val="auto"/>
                <w:kern w:val="0"/>
              </w:rPr>
              <w:t>项目区</w:t>
            </w:r>
            <w:r>
              <w:rPr>
                <w:rFonts w:hint="eastAsia" w:eastAsia="宋体"/>
                <w:color w:val="auto"/>
                <w:kern w:val="0"/>
                <w:lang w:val="en-US" w:eastAsia="zh-CN"/>
              </w:rPr>
              <w:t>停车场</w:t>
            </w:r>
            <w:r>
              <w:rPr>
                <w:rFonts w:hint="eastAsia" w:eastAsia="Times New Roman"/>
                <w:color w:val="auto"/>
                <w:kern w:val="0"/>
              </w:rPr>
              <w:t>面积约为</w:t>
            </w:r>
            <w:r>
              <w:rPr>
                <w:rFonts w:hint="eastAsia" w:eastAsia="宋体"/>
                <w:color w:val="auto"/>
                <w:kern w:val="0"/>
                <w:lang w:val="en-US" w:eastAsia="zh-CN"/>
              </w:rPr>
              <w:t>7</w:t>
            </w:r>
            <w:r>
              <w:rPr>
                <w:rFonts w:hint="eastAsia" w:eastAsia="Times New Roman"/>
                <w:color w:val="auto"/>
                <w:kern w:val="0"/>
              </w:rPr>
              <w:t>000m</w:t>
            </w:r>
            <w:r>
              <w:rPr>
                <w:rFonts w:hint="eastAsia" w:eastAsia="Times New Roman"/>
                <w:color w:val="auto"/>
                <w:kern w:val="0"/>
                <w:vertAlign w:val="superscript"/>
              </w:rPr>
              <w:t>2</w:t>
            </w:r>
            <w:r>
              <w:rPr>
                <w:rFonts w:hint="eastAsia" w:eastAsia="Times New Roman"/>
                <w:color w:val="auto"/>
                <w:kern w:val="0"/>
              </w:rPr>
              <w:t>，道路面积约为</w:t>
            </w:r>
            <w:r>
              <w:rPr>
                <w:rFonts w:hint="eastAsia"/>
                <w:color w:val="auto"/>
                <w:kern w:val="0"/>
                <w:lang w:val="en-US" w:eastAsia="zh-CN"/>
              </w:rPr>
              <w:t>800</w:t>
            </w:r>
            <w:r>
              <w:rPr>
                <w:rFonts w:hint="eastAsia" w:eastAsia="Times New Roman"/>
                <w:color w:val="auto"/>
                <w:kern w:val="0"/>
              </w:rPr>
              <w:t>m</w:t>
            </w:r>
            <w:r>
              <w:rPr>
                <w:rFonts w:hint="eastAsia" w:eastAsia="Times New Roman"/>
                <w:color w:val="auto"/>
                <w:kern w:val="0"/>
                <w:vertAlign w:val="superscript"/>
              </w:rPr>
              <w:t>2</w:t>
            </w:r>
            <w:r>
              <w:rPr>
                <w:rFonts w:hint="eastAsia" w:eastAsia="Times New Roman"/>
                <w:color w:val="auto"/>
                <w:kern w:val="0"/>
              </w:rPr>
              <w:t>，绿化面积为</w:t>
            </w:r>
            <w:r>
              <w:rPr>
                <w:rFonts w:hint="eastAsia" w:eastAsia="宋体"/>
                <w:color w:val="auto"/>
                <w:kern w:val="0"/>
                <w:lang w:val="en-US" w:eastAsia="zh-CN"/>
              </w:rPr>
              <w:t>20</w:t>
            </w:r>
            <w:r>
              <w:rPr>
                <w:rFonts w:hint="eastAsia" w:eastAsia="Times New Roman"/>
                <w:color w:val="auto"/>
                <w:kern w:val="0"/>
              </w:rPr>
              <w:t>0m</w:t>
            </w:r>
            <w:r>
              <w:rPr>
                <w:rFonts w:hint="eastAsia" w:eastAsia="Times New Roman"/>
                <w:color w:val="auto"/>
                <w:kern w:val="0"/>
                <w:vertAlign w:val="superscript"/>
              </w:rPr>
              <w:t>2</w:t>
            </w:r>
            <w:r>
              <w:rPr>
                <w:rFonts w:hint="eastAsia" w:eastAsia="Times New Roman"/>
                <w:color w:val="auto"/>
                <w:kern w:val="0"/>
              </w:rPr>
              <w:t>，根据《云南省地方标准 用水定额》（DB53/T168-2019），场地浇洒用水按2L/（m</w:t>
            </w:r>
            <w:r>
              <w:rPr>
                <w:rFonts w:hint="eastAsia" w:eastAsia="Times New Roman"/>
                <w:color w:val="auto"/>
                <w:kern w:val="0"/>
                <w:vertAlign w:val="superscript"/>
              </w:rPr>
              <w:t>2</w:t>
            </w:r>
            <w:r>
              <w:rPr>
                <w:rFonts w:hint="eastAsia" w:eastAsia="Times New Roman"/>
                <w:color w:val="auto"/>
                <w:kern w:val="0"/>
              </w:rPr>
              <w:t>•次）计，绿化用水按3L/（m</w:t>
            </w:r>
            <w:r>
              <w:rPr>
                <w:rFonts w:hint="eastAsia" w:eastAsia="Times New Roman"/>
                <w:color w:val="auto"/>
                <w:kern w:val="0"/>
                <w:vertAlign w:val="superscript"/>
              </w:rPr>
              <w:t>2</w:t>
            </w:r>
            <w:r>
              <w:rPr>
                <w:rFonts w:hint="eastAsia" w:eastAsia="Times New Roman"/>
                <w:color w:val="auto"/>
                <w:kern w:val="0"/>
              </w:rPr>
              <w:t>•次）</w:t>
            </w:r>
            <w:r>
              <w:rPr>
                <w:rFonts w:hint="eastAsia" w:eastAsia="宋体"/>
                <w:color w:val="auto"/>
                <w:kern w:val="0"/>
                <w:lang w:val="en-US" w:eastAsia="zh-CN"/>
              </w:rPr>
              <w:t>计</w:t>
            </w:r>
            <w:r>
              <w:rPr>
                <w:rFonts w:hint="eastAsia" w:eastAsia="Times New Roman"/>
                <w:color w:val="auto"/>
                <w:kern w:val="0"/>
              </w:rPr>
              <w:t>，非雨天每天浇洒</w:t>
            </w:r>
            <w:r>
              <w:rPr>
                <w:rFonts w:hint="eastAsia" w:eastAsia="宋体"/>
                <w:color w:val="auto"/>
                <w:kern w:val="0"/>
                <w:lang w:val="en-US" w:eastAsia="zh-CN"/>
              </w:rPr>
              <w:t>1</w:t>
            </w:r>
            <w:r>
              <w:rPr>
                <w:rFonts w:hint="eastAsia" w:eastAsia="Times New Roman"/>
                <w:color w:val="auto"/>
                <w:kern w:val="0"/>
              </w:rPr>
              <w:t>次，则项目</w:t>
            </w:r>
            <w:r>
              <w:rPr>
                <w:rFonts w:hint="eastAsia" w:eastAsia="宋体"/>
                <w:color w:val="auto"/>
                <w:kern w:val="0"/>
                <w:lang w:val="en-US" w:eastAsia="zh-CN"/>
              </w:rPr>
              <w:t>绿化及</w:t>
            </w:r>
            <w:r>
              <w:rPr>
                <w:rFonts w:hint="eastAsia" w:eastAsia="Times New Roman"/>
                <w:color w:val="auto"/>
                <w:kern w:val="0"/>
              </w:rPr>
              <w:t>场地</w:t>
            </w:r>
            <w:r>
              <w:rPr>
                <w:rFonts w:hint="eastAsia" w:eastAsia="宋体"/>
                <w:color w:val="auto"/>
                <w:kern w:val="0"/>
                <w:lang w:val="en-US" w:eastAsia="zh-CN"/>
              </w:rPr>
              <w:t>洒水降尘</w:t>
            </w:r>
            <w:r>
              <w:rPr>
                <w:rFonts w:hint="eastAsia" w:eastAsia="Times New Roman"/>
                <w:color w:val="auto"/>
                <w:kern w:val="0"/>
              </w:rPr>
              <w:t>用水量为</w:t>
            </w:r>
            <w:r>
              <w:rPr>
                <w:rFonts w:hint="eastAsia"/>
                <w:color w:val="auto"/>
                <w:kern w:val="0"/>
                <w:lang w:val="en-US" w:eastAsia="zh-CN"/>
              </w:rPr>
              <w:t>16.2</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/d、</w:t>
            </w:r>
            <w:r>
              <w:rPr>
                <w:rFonts w:hint="eastAsia"/>
                <w:color w:val="auto"/>
                <w:kern w:val="0"/>
                <w:lang w:val="en-US" w:eastAsia="zh-CN"/>
              </w:rPr>
              <w:t>3807</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/a（非雨天按235d计）。场地洒水</w:t>
            </w:r>
            <w:r>
              <w:rPr>
                <w:rFonts w:hint="eastAsia" w:eastAsia="宋体"/>
                <w:color w:val="auto"/>
                <w:kern w:val="0"/>
                <w:lang w:val="en-US" w:eastAsia="zh-CN"/>
              </w:rPr>
              <w:t>降尘</w:t>
            </w:r>
            <w:r>
              <w:rPr>
                <w:rFonts w:hint="eastAsia" w:eastAsia="Times New Roman"/>
                <w:color w:val="auto"/>
                <w:kern w:val="0"/>
              </w:rPr>
              <w:t>使用初期雨水及</w:t>
            </w:r>
            <w:r>
              <w:rPr>
                <w:rFonts w:hint="eastAsia" w:eastAsia="宋体"/>
                <w:color w:val="auto"/>
                <w:kern w:val="0"/>
                <w:lang w:val="en-US" w:eastAsia="zh-CN"/>
              </w:rPr>
              <w:t>新鲜水</w:t>
            </w:r>
            <w:r>
              <w:rPr>
                <w:rFonts w:hint="eastAsia" w:eastAsia="Times New Roman"/>
                <w:color w:val="auto"/>
                <w:kern w:val="0"/>
              </w:rPr>
              <w:t>，洒水后水分自然蒸发，不产生废水。</w:t>
            </w:r>
          </w:p>
          <w:p w14:paraId="659B0B04">
            <w:pPr>
              <w:keepNext w:val="0"/>
              <w:keepLines w:val="0"/>
              <w:suppressLineNumbers w:val="0"/>
              <w:spacing w:before="0" w:beforeAutospacing="0" w:after="0" w:afterAutospacing="0"/>
              <w:ind w:left="0" w:right="0" w:firstLine="482" w:firstLineChars="200"/>
              <w:rPr>
                <w:rFonts w:hint="default"/>
                <w:b/>
                <w:bCs w:val="0"/>
                <w:color w:val="auto"/>
                <w:kern w:val="0"/>
                <w:lang w:val="en-US" w:eastAsia="zh-CN"/>
              </w:rPr>
            </w:pPr>
            <w:r>
              <w:rPr>
                <w:rFonts w:hint="eastAsia"/>
                <w:b/>
                <w:bCs w:val="0"/>
                <w:color w:val="auto"/>
                <w:kern w:val="0"/>
                <w:lang w:val="en-US" w:eastAsia="zh-CN"/>
              </w:rPr>
              <w:t>（4）初期雨水</w:t>
            </w:r>
          </w:p>
          <w:p w14:paraId="4BD29869">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停车场区域在雨水的冲刷下会有一定量的地表径流产生，地表径流中含有少量泥沙和石油类，在雨水冲刷作用下，随雨水直接进入地表水体，一定程度上对水体造成污染，所以在停车场周边设置截排水沟、初期雨水收集池。本次评价采用昆明暴雨强度公式计算：</w:t>
            </w:r>
          </w:p>
          <w:p w14:paraId="2D4770C4">
            <w:pPr>
              <w:keepNext w:val="0"/>
              <w:keepLines w:val="0"/>
              <w:suppressLineNumbers w:val="0"/>
              <w:spacing w:before="0" w:beforeAutospacing="0" w:after="0" w:afterAutospacing="0"/>
              <w:ind w:right="0"/>
              <w:jc w:val="center"/>
              <w:rPr>
                <w:rFonts w:hint="eastAsia"/>
                <w:b w:val="0"/>
                <w:bCs/>
                <w:color w:val="auto"/>
                <w:kern w:val="0"/>
                <w:lang w:val="en-US" w:eastAsia="zh-CN"/>
              </w:rPr>
            </w:pPr>
            <w:r>
              <w:rPr>
                <w:color w:val="auto"/>
              </w:rPr>
              <w:drawing>
                <wp:inline distT="0" distB="0" distL="114300" distR="114300">
                  <wp:extent cx="3665220" cy="3535680"/>
                  <wp:effectExtent l="0" t="0" r="1143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3665220" cy="3535680"/>
                          </a:xfrm>
                          <a:prstGeom prst="rect">
                            <a:avLst/>
                          </a:prstGeom>
                          <a:noFill/>
                          <a:ln>
                            <a:noFill/>
                          </a:ln>
                        </pic:spPr>
                      </pic:pic>
                    </a:graphicData>
                  </a:graphic>
                </wp:inline>
              </w:drawing>
            </w:r>
          </w:p>
          <w:p w14:paraId="1D1DB56A">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经计算，项目场地暴雨强度q为63.04L/s·hm</w:t>
            </w:r>
            <w:r>
              <w:rPr>
                <w:rFonts w:hint="eastAsia"/>
                <w:b w:val="0"/>
                <w:bCs/>
                <w:color w:val="auto"/>
                <w:kern w:val="0"/>
                <w:vertAlign w:val="superscript"/>
                <w:lang w:val="en-US" w:eastAsia="zh-CN"/>
              </w:rPr>
              <w:t>2</w:t>
            </w:r>
            <w:r>
              <w:rPr>
                <w:rFonts w:hint="eastAsia"/>
                <w:b w:val="0"/>
                <w:bCs/>
                <w:color w:val="auto"/>
                <w:kern w:val="0"/>
                <w:lang w:val="en-US" w:eastAsia="zh-CN"/>
              </w:rPr>
              <w:t>，雨水流量Q为39.72L/s，142.99m</w:t>
            </w:r>
            <w:r>
              <w:rPr>
                <w:rFonts w:hint="eastAsia"/>
                <w:b w:val="0"/>
                <w:bCs/>
                <w:color w:val="auto"/>
                <w:kern w:val="0"/>
                <w:vertAlign w:val="superscript"/>
                <w:lang w:val="en-US" w:eastAsia="zh-CN"/>
              </w:rPr>
              <w:t>3</w:t>
            </w:r>
            <w:r>
              <w:rPr>
                <w:rFonts w:hint="eastAsia"/>
                <w:b w:val="0"/>
                <w:bCs/>
                <w:color w:val="auto"/>
                <w:kern w:val="0"/>
                <w:lang w:val="en-US" w:eastAsia="zh-CN"/>
              </w:rPr>
              <w:t>/h，则暴雨情况下需收集前15min的初期雨水量约35.7m</w:t>
            </w:r>
            <w:r>
              <w:rPr>
                <w:rFonts w:hint="eastAsia"/>
                <w:b w:val="0"/>
                <w:bCs/>
                <w:color w:val="auto"/>
                <w:kern w:val="0"/>
                <w:vertAlign w:val="superscript"/>
                <w:lang w:val="en-US" w:eastAsia="zh-CN"/>
              </w:rPr>
              <w:t>3</w:t>
            </w:r>
            <w:r>
              <w:rPr>
                <w:rFonts w:hint="eastAsia"/>
                <w:b w:val="0"/>
                <w:bCs/>
                <w:color w:val="auto"/>
                <w:kern w:val="0"/>
                <w:lang w:val="en-US" w:eastAsia="zh-CN"/>
              </w:rPr>
              <w:t>。初期雨水中主要污染因子为冲刷产生的SS和石油类。</w:t>
            </w:r>
          </w:p>
          <w:p w14:paraId="75383977">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本次评价提出：在停车场周边设置截排水沟，排水沟末端设置三通阀门，并与初期雨水池连通，初期雨水收集池的容积按设计暴雨雨水径流前15min初期雨水量设计，则收集到的初期雨水约为35.7m</w:t>
            </w:r>
            <w:r>
              <w:rPr>
                <w:rFonts w:hint="eastAsia"/>
                <w:b w:val="0"/>
                <w:bCs/>
                <w:color w:val="auto"/>
                <w:kern w:val="0"/>
                <w:vertAlign w:val="superscript"/>
                <w:lang w:val="en-US" w:eastAsia="zh-CN"/>
              </w:rPr>
              <w:t>3</w:t>
            </w:r>
            <w:r>
              <w:rPr>
                <w:rFonts w:hint="eastAsia"/>
                <w:b w:val="0"/>
                <w:bCs/>
                <w:color w:val="auto"/>
                <w:kern w:val="0"/>
                <w:lang w:val="en-US" w:eastAsia="zh-CN"/>
              </w:rPr>
              <w:t>/次，4641m</w:t>
            </w:r>
            <w:r>
              <w:rPr>
                <w:rFonts w:hint="eastAsia"/>
                <w:b w:val="0"/>
                <w:bCs/>
                <w:color w:val="auto"/>
                <w:kern w:val="0"/>
                <w:vertAlign w:val="superscript"/>
                <w:lang w:val="en-US" w:eastAsia="zh-CN"/>
              </w:rPr>
              <w:t>3</w:t>
            </w:r>
            <w:r>
              <w:rPr>
                <w:rFonts w:hint="eastAsia"/>
                <w:b w:val="0"/>
                <w:bCs/>
                <w:color w:val="auto"/>
                <w:kern w:val="0"/>
                <w:lang w:val="en-US" w:eastAsia="zh-CN"/>
              </w:rPr>
              <w:t>/a（通过查阅资料，寻甸县雨天按130天计），考虑1.2的安全系数，根据项目平面布局和地形高差，在厂区西南侧设置1个容积不小于43m</w:t>
            </w:r>
            <w:r>
              <w:rPr>
                <w:rFonts w:hint="eastAsia"/>
                <w:b w:val="0"/>
                <w:bCs/>
                <w:color w:val="auto"/>
                <w:kern w:val="0"/>
                <w:vertAlign w:val="superscript"/>
                <w:lang w:val="en-US" w:eastAsia="zh-CN"/>
              </w:rPr>
              <w:t>3</w:t>
            </w:r>
            <w:r>
              <w:rPr>
                <w:rFonts w:hint="eastAsia"/>
                <w:b w:val="0"/>
                <w:bCs/>
                <w:color w:val="auto"/>
                <w:kern w:val="0"/>
                <w:lang w:val="en-US" w:eastAsia="zh-CN"/>
              </w:rPr>
              <w:t>的初期雨水收集池，初期雨水经收集池沉淀后回用场地洒水降尘，不外排。</w:t>
            </w:r>
          </w:p>
          <w:p w14:paraId="4FAAE231">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w:t>
            </w:r>
            <w:r>
              <w:rPr>
                <w:rFonts w:hint="eastAsia"/>
                <w:b/>
                <w:color w:val="auto"/>
                <w:kern w:val="0"/>
                <w:lang w:val="en-US" w:eastAsia="zh-CN"/>
              </w:rPr>
              <w:t>5</w:t>
            </w:r>
            <w:r>
              <w:rPr>
                <w:rFonts w:hint="eastAsia"/>
                <w:b/>
                <w:color w:val="auto"/>
                <w:kern w:val="0"/>
              </w:rPr>
              <w:t>）项目废水产生、排放情况</w:t>
            </w:r>
          </w:p>
          <w:p w14:paraId="3AFDC3AE">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b/>
                <w:color w:val="auto"/>
                <w:kern w:val="0"/>
                <w:sz w:val="21"/>
                <w:szCs w:val="21"/>
              </w:rPr>
              <w:t>表2-5  项目用水情况一览表</w:t>
            </w:r>
          </w:p>
          <w:tbl>
            <w:tblPr>
              <w:tblStyle w:val="29"/>
              <w:tblW w:w="7843" w:type="dxa"/>
              <w:jc w:val="center"/>
              <w:tblLayout w:type="autofit"/>
              <w:tblCellMar>
                <w:top w:w="0" w:type="dxa"/>
                <w:left w:w="108" w:type="dxa"/>
                <w:bottom w:w="0" w:type="dxa"/>
                <w:right w:w="108" w:type="dxa"/>
              </w:tblCellMar>
            </w:tblPr>
            <w:tblGrid>
              <w:gridCol w:w="451"/>
              <w:gridCol w:w="708"/>
              <w:gridCol w:w="1004"/>
              <w:gridCol w:w="910"/>
              <w:gridCol w:w="758"/>
              <w:gridCol w:w="698"/>
              <w:gridCol w:w="712"/>
              <w:gridCol w:w="2602"/>
            </w:tblGrid>
            <w:tr w14:paraId="108186B0">
              <w:tblPrEx>
                <w:tblCellMar>
                  <w:top w:w="0" w:type="dxa"/>
                  <w:left w:w="108" w:type="dxa"/>
                  <w:bottom w:w="0" w:type="dxa"/>
                  <w:right w:w="108" w:type="dxa"/>
                </w:tblCellMar>
              </w:tblPrEx>
              <w:trPr>
                <w:trHeight w:val="23" w:hRule="atLeast"/>
                <w:jc w:val="center"/>
              </w:trPr>
              <w:tc>
                <w:tcPr>
                  <w:tcW w:w="293" w:type="pct"/>
                  <w:vMerge w:val="restart"/>
                  <w:tcBorders>
                    <w:top w:val="single" w:color="auto" w:sz="4" w:space="0"/>
                    <w:left w:val="single" w:color="auto" w:sz="4" w:space="0"/>
                    <w:bottom w:val="single" w:color="auto" w:sz="4" w:space="0"/>
                    <w:right w:val="single" w:color="auto" w:sz="4" w:space="0"/>
                  </w:tcBorders>
                  <w:vAlign w:val="center"/>
                </w:tcPr>
                <w:p w14:paraId="13D50E62">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序号</w:t>
                  </w:r>
                </w:p>
              </w:tc>
              <w:tc>
                <w:tcPr>
                  <w:tcW w:w="457" w:type="pct"/>
                  <w:vMerge w:val="restart"/>
                  <w:tcBorders>
                    <w:top w:val="single" w:color="auto" w:sz="4" w:space="0"/>
                    <w:left w:val="single" w:color="auto" w:sz="4" w:space="0"/>
                    <w:bottom w:val="single" w:color="auto" w:sz="4" w:space="0"/>
                    <w:right w:val="single" w:color="auto" w:sz="4" w:space="0"/>
                  </w:tcBorders>
                  <w:vAlign w:val="center"/>
                </w:tcPr>
                <w:p w14:paraId="46E9EA33">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用水项目</w:t>
                  </w:r>
                </w:p>
              </w:tc>
              <w:tc>
                <w:tcPr>
                  <w:tcW w:w="1188" w:type="pct"/>
                  <w:gridSpan w:val="2"/>
                  <w:tcBorders>
                    <w:top w:val="single" w:color="auto" w:sz="4" w:space="0"/>
                    <w:left w:val="single" w:color="auto" w:sz="4" w:space="0"/>
                    <w:bottom w:val="single" w:color="auto" w:sz="4" w:space="0"/>
                    <w:right w:val="single" w:color="auto" w:sz="4" w:space="0"/>
                  </w:tcBorders>
                  <w:vAlign w:val="center"/>
                </w:tcPr>
                <w:p w14:paraId="09003412">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lang w:val="en-US" w:eastAsia="zh-CN"/>
                    </w:rPr>
                    <w:t>用水量</w:t>
                  </w:r>
                </w:p>
              </w:tc>
              <w:tc>
                <w:tcPr>
                  <w:tcW w:w="488" w:type="pct"/>
                  <w:vMerge w:val="restart"/>
                  <w:tcBorders>
                    <w:top w:val="single" w:color="auto" w:sz="4" w:space="0"/>
                    <w:left w:val="single" w:color="auto" w:sz="4" w:space="0"/>
                    <w:right w:val="single" w:color="auto" w:sz="4" w:space="0"/>
                  </w:tcBorders>
                  <w:vAlign w:val="center"/>
                </w:tcPr>
                <w:p w14:paraId="3458E995">
                  <w:pPr>
                    <w:keepNext w:val="0"/>
                    <w:keepLines w:val="0"/>
                    <w:suppressLineNumbers w:val="0"/>
                    <w:spacing w:before="0" w:beforeAutospacing="0" w:after="0" w:afterAutospacing="0" w:line="240" w:lineRule="auto"/>
                    <w:ind w:left="0" w:right="0"/>
                    <w:contextualSpacing/>
                    <w:jc w:val="center"/>
                    <w:rPr>
                      <w:rFonts w:hint="default" w:ascii="宋体" w:hAnsi="宋体"/>
                      <w:b/>
                      <w:color w:val="auto"/>
                      <w:kern w:val="0"/>
                      <w:sz w:val="21"/>
                      <w:szCs w:val="21"/>
                      <w:lang w:val="en-US" w:eastAsia="zh-CN"/>
                    </w:rPr>
                  </w:pPr>
                  <w:r>
                    <w:rPr>
                      <w:rFonts w:hint="eastAsia" w:ascii="宋体" w:hAnsi="宋体"/>
                      <w:b/>
                      <w:color w:val="auto"/>
                      <w:kern w:val="0"/>
                      <w:sz w:val="21"/>
                      <w:szCs w:val="21"/>
                      <w:lang w:val="en-US" w:eastAsia="zh-CN"/>
                    </w:rPr>
                    <w:t>产污系数</w:t>
                  </w:r>
                </w:p>
              </w:tc>
              <w:tc>
                <w:tcPr>
                  <w:tcW w:w="909" w:type="pct"/>
                  <w:gridSpan w:val="2"/>
                  <w:tcBorders>
                    <w:top w:val="single" w:color="auto" w:sz="4" w:space="0"/>
                    <w:left w:val="single" w:color="auto" w:sz="4" w:space="0"/>
                    <w:bottom w:val="single" w:color="auto" w:sz="4" w:space="0"/>
                    <w:right w:val="single" w:color="auto" w:sz="4" w:space="0"/>
                  </w:tcBorders>
                  <w:vAlign w:val="center"/>
                </w:tcPr>
                <w:p w14:paraId="51B9417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lang w:val="en-US" w:eastAsia="zh-CN"/>
                    </w:rPr>
                    <w:t>废水</w:t>
                  </w:r>
                  <w:r>
                    <w:rPr>
                      <w:rFonts w:hint="default" w:ascii="宋体" w:hAnsi="宋体"/>
                      <w:b/>
                      <w:color w:val="auto"/>
                      <w:kern w:val="0"/>
                      <w:sz w:val="21"/>
                      <w:szCs w:val="21"/>
                    </w:rPr>
                    <w:t>量</w:t>
                  </w:r>
                </w:p>
              </w:tc>
              <w:tc>
                <w:tcPr>
                  <w:tcW w:w="1663" w:type="pct"/>
                  <w:vMerge w:val="restart"/>
                  <w:tcBorders>
                    <w:top w:val="single" w:color="auto" w:sz="4" w:space="0"/>
                    <w:left w:val="single" w:color="auto" w:sz="4" w:space="0"/>
                    <w:bottom w:val="single" w:color="auto" w:sz="4" w:space="0"/>
                    <w:right w:val="single" w:color="auto" w:sz="4" w:space="0"/>
                  </w:tcBorders>
                  <w:vAlign w:val="center"/>
                </w:tcPr>
                <w:p w14:paraId="4654916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去向</w:t>
                  </w:r>
                  <w:r>
                    <w:rPr>
                      <w:rFonts w:hint="default"/>
                      <w:b/>
                      <w:color w:val="auto"/>
                      <w:kern w:val="0"/>
                      <w:sz w:val="21"/>
                      <w:szCs w:val="21"/>
                    </w:rPr>
                    <w:t>/</w:t>
                  </w:r>
                  <w:r>
                    <w:rPr>
                      <w:rFonts w:hint="default" w:ascii="宋体" w:hAnsi="宋体"/>
                      <w:b/>
                      <w:color w:val="auto"/>
                      <w:kern w:val="0"/>
                      <w:sz w:val="21"/>
                      <w:szCs w:val="21"/>
                    </w:rPr>
                    <w:t>拟采取的处置措施</w:t>
                  </w:r>
                </w:p>
              </w:tc>
            </w:tr>
            <w:tr w14:paraId="1A940569">
              <w:tblPrEx>
                <w:tblCellMar>
                  <w:top w:w="0" w:type="dxa"/>
                  <w:left w:w="108" w:type="dxa"/>
                  <w:bottom w:w="0" w:type="dxa"/>
                  <w:right w:w="108" w:type="dxa"/>
                </w:tblCellMar>
              </w:tblPrEx>
              <w:trPr>
                <w:trHeight w:val="23"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14:paraId="3399319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14:paraId="750DBEA2">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603" w:type="pct"/>
                  <w:tcBorders>
                    <w:top w:val="single" w:color="auto" w:sz="4" w:space="0"/>
                    <w:left w:val="single" w:color="auto" w:sz="4" w:space="0"/>
                    <w:bottom w:val="single" w:color="auto" w:sz="4" w:space="0"/>
                    <w:right w:val="single" w:color="auto" w:sz="4" w:space="0"/>
                  </w:tcBorders>
                  <w:vAlign w:val="center"/>
                </w:tcPr>
                <w:p w14:paraId="041ECC4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/d</w:t>
                  </w:r>
                </w:p>
              </w:tc>
              <w:tc>
                <w:tcPr>
                  <w:tcW w:w="585" w:type="pct"/>
                  <w:tcBorders>
                    <w:top w:val="single" w:color="auto" w:sz="4" w:space="0"/>
                    <w:left w:val="single" w:color="auto" w:sz="4" w:space="0"/>
                    <w:bottom w:val="single" w:color="auto" w:sz="4" w:space="0"/>
                    <w:right w:val="single" w:color="auto" w:sz="4" w:space="0"/>
                  </w:tcBorders>
                  <w:vAlign w:val="center"/>
                </w:tcPr>
                <w:p w14:paraId="20AC576A">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/a</w:t>
                  </w:r>
                </w:p>
              </w:tc>
              <w:tc>
                <w:tcPr>
                  <w:tcW w:w="488" w:type="pct"/>
                  <w:vMerge w:val="continue"/>
                  <w:tcBorders>
                    <w:left w:val="single" w:color="auto" w:sz="4" w:space="0"/>
                    <w:bottom w:val="single" w:color="auto" w:sz="4" w:space="0"/>
                    <w:right w:val="single" w:color="auto" w:sz="4" w:space="0"/>
                  </w:tcBorders>
                  <w:vAlign w:val="center"/>
                </w:tcPr>
                <w:p w14:paraId="62009630">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450" w:type="pct"/>
                  <w:tcBorders>
                    <w:top w:val="single" w:color="auto" w:sz="4" w:space="0"/>
                    <w:left w:val="single" w:color="auto" w:sz="4" w:space="0"/>
                    <w:bottom w:val="single" w:color="auto" w:sz="4" w:space="0"/>
                    <w:right w:val="single" w:color="auto" w:sz="4" w:space="0"/>
                  </w:tcBorders>
                  <w:vAlign w:val="center"/>
                </w:tcPr>
                <w:p w14:paraId="6DD7613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/d</w:t>
                  </w:r>
                </w:p>
              </w:tc>
              <w:tc>
                <w:tcPr>
                  <w:tcW w:w="459" w:type="pct"/>
                  <w:tcBorders>
                    <w:top w:val="single" w:color="auto" w:sz="4" w:space="0"/>
                    <w:left w:val="single" w:color="auto" w:sz="4" w:space="0"/>
                    <w:bottom w:val="single" w:color="auto" w:sz="4" w:space="0"/>
                    <w:right w:val="single" w:color="auto" w:sz="4" w:space="0"/>
                  </w:tcBorders>
                  <w:vAlign w:val="center"/>
                </w:tcPr>
                <w:p w14:paraId="0B4F0231">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/a</w:t>
                  </w:r>
                </w:p>
              </w:tc>
              <w:tc>
                <w:tcPr>
                  <w:tcW w:w="1663" w:type="pct"/>
                  <w:vMerge w:val="continue"/>
                  <w:tcBorders>
                    <w:top w:val="single" w:color="auto" w:sz="4" w:space="0"/>
                    <w:left w:val="single" w:color="auto" w:sz="4" w:space="0"/>
                    <w:bottom w:val="single" w:color="auto" w:sz="4" w:space="0"/>
                    <w:right w:val="single" w:color="auto" w:sz="4" w:space="0"/>
                  </w:tcBorders>
                  <w:vAlign w:val="center"/>
                </w:tcPr>
                <w:p w14:paraId="7F61CCA2">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r>
            <w:tr w14:paraId="1A87683D">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602E4E28">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1</w:t>
                  </w:r>
                </w:p>
              </w:tc>
              <w:tc>
                <w:tcPr>
                  <w:tcW w:w="457" w:type="pct"/>
                  <w:tcBorders>
                    <w:top w:val="single" w:color="auto" w:sz="4" w:space="0"/>
                    <w:left w:val="single" w:color="auto" w:sz="4" w:space="0"/>
                    <w:bottom w:val="single" w:color="auto" w:sz="4" w:space="0"/>
                    <w:right w:val="single" w:color="auto" w:sz="4" w:space="0"/>
                  </w:tcBorders>
                  <w:vAlign w:val="center"/>
                </w:tcPr>
                <w:p w14:paraId="73FA9E2F">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ascii="宋体" w:hAnsi="宋体"/>
                      <w:color w:val="auto"/>
                      <w:kern w:val="0"/>
                      <w:sz w:val="21"/>
                      <w:szCs w:val="21"/>
                    </w:rPr>
                    <w:t>生活</w:t>
                  </w:r>
                  <w:r>
                    <w:rPr>
                      <w:rFonts w:hint="eastAsia" w:ascii="宋体" w:hAnsi="宋体"/>
                      <w:color w:val="auto"/>
                      <w:kern w:val="0"/>
                      <w:sz w:val="21"/>
                      <w:szCs w:val="21"/>
                      <w:lang w:val="en-US" w:eastAsia="zh-CN"/>
                    </w:rPr>
                    <w:t>用</w:t>
                  </w:r>
                  <w:r>
                    <w:rPr>
                      <w:rFonts w:hint="default" w:ascii="宋体" w:hAnsi="宋体"/>
                      <w:color w:val="auto"/>
                      <w:kern w:val="0"/>
                      <w:sz w:val="21"/>
                      <w:szCs w:val="21"/>
                    </w:rPr>
                    <w:t>水</w:t>
                  </w:r>
                </w:p>
              </w:tc>
              <w:tc>
                <w:tcPr>
                  <w:tcW w:w="603" w:type="pct"/>
                  <w:tcBorders>
                    <w:top w:val="single" w:color="auto" w:sz="4" w:space="0"/>
                    <w:left w:val="single" w:color="auto" w:sz="4" w:space="0"/>
                    <w:bottom w:val="single" w:color="auto" w:sz="4" w:space="0"/>
                    <w:right w:val="single" w:color="auto" w:sz="4" w:space="0"/>
                  </w:tcBorders>
                  <w:vAlign w:val="center"/>
                </w:tcPr>
                <w:p w14:paraId="5D841F16">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0.2</w:t>
                  </w:r>
                </w:p>
              </w:tc>
              <w:tc>
                <w:tcPr>
                  <w:tcW w:w="585" w:type="pct"/>
                  <w:tcBorders>
                    <w:top w:val="single" w:color="auto" w:sz="4" w:space="0"/>
                    <w:left w:val="single" w:color="auto" w:sz="4" w:space="0"/>
                    <w:bottom w:val="single" w:color="auto" w:sz="4" w:space="0"/>
                    <w:right w:val="single" w:color="auto" w:sz="4" w:space="0"/>
                  </w:tcBorders>
                  <w:vAlign w:val="center"/>
                </w:tcPr>
                <w:p w14:paraId="3DD62ACA">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60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BFF4F81">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0.8</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C58CA4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0.16</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4775F72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48</w:t>
                  </w:r>
                </w:p>
              </w:tc>
              <w:tc>
                <w:tcPr>
                  <w:tcW w:w="1663" w:type="pct"/>
                  <w:tcBorders>
                    <w:top w:val="single" w:color="auto" w:sz="4" w:space="0"/>
                    <w:left w:val="single" w:color="auto" w:sz="4" w:space="0"/>
                    <w:bottom w:val="single" w:color="auto" w:sz="4" w:space="0"/>
                    <w:right w:val="single" w:color="auto" w:sz="4" w:space="0"/>
                  </w:tcBorders>
                  <w:vAlign w:val="center"/>
                </w:tcPr>
                <w:p w14:paraId="6478650B">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default" w:ascii="宋体" w:hAnsi="宋体"/>
                      <w:color w:val="auto"/>
                      <w:kern w:val="0"/>
                      <w:sz w:val="21"/>
                      <w:szCs w:val="21"/>
                    </w:rPr>
                    <w:t>生活废水进入化粪池处理后，由于项目区未接通园区管网，定期委托环卫部门清掏，不外排。若今后项目区接通园区管网，项目生活废水经化粪池处理后排入园区市政污水管网，进入园区污水处理厂。</w:t>
                  </w:r>
                </w:p>
              </w:tc>
            </w:tr>
            <w:tr w14:paraId="76CC2BFB">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485BC11E">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2</w:t>
                  </w:r>
                </w:p>
              </w:tc>
              <w:tc>
                <w:tcPr>
                  <w:tcW w:w="457" w:type="pct"/>
                  <w:tcBorders>
                    <w:top w:val="single" w:color="auto" w:sz="4" w:space="0"/>
                    <w:left w:val="single" w:color="auto" w:sz="4" w:space="0"/>
                    <w:bottom w:val="single" w:color="auto" w:sz="4" w:space="0"/>
                    <w:right w:val="single" w:color="auto" w:sz="4" w:space="0"/>
                  </w:tcBorders>
                  <w:vAlign w:val="center"/>
                </w:tcPr>
                <w:p w14:paraId="19C327AE">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ascii="宋体" w:hAnsi="宋体"/>
                      <w:color w:val="auto"/>
                      <w:kern w:val="0"/>
                      <w:sz w:val="21"/>
                      <w:szCs w:val="21"/>
                      <w:lang w:val="en-US" w:eastAsia="zh-CN"/>
                    </w:rPr>
                    <w:t>生产用水</w:t>
                  </w:r>
                </w:p>
              </w:tc>
              <w:tc>
                <w:tcPr>
                  <w:tcW w:w="603" w:type="pct"/>
                  <w:tcBorders>
                    <w:top w:val="single" w:color="auto" w:sz="4" w:space="0"/>
                    <w:left w:val="single" w:color="auto" w:sz="4" w:space="0"/>
                    <w:bottom w:val="single" w:color="auto" w:sz="4" w:space="0"/>
                    <w:right w:val="single" w:color="auto" w:sz="4" w:space="0"/>
                  </w:tcBorders>
                  <w:vAlign w:val="center"/>
                </w:tcPr>
                <w:p w14:paraId="0180150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1.053（新鲜水0.0834）</w:t>
                  </w:r>
                </w:p>
              </w:tc>
              <w:tc>
                <w:tcPr>
                  <w:tcW w:w="585" w:type="pct"/>
                  <w:tcBorders>
                    <w:top w:val="single" w:color="auto" w:sz="4" w:space="0"/>
                    <w:left w:val="single" w:color="auto" w:sz="4" w:space="0"/>
                    <w:bottom w:val="single" w:color="auto" w:sz="4" w:space="0"/>
                    <w:right w:val="single" w:color="auto" w:sz="4" w:space="0"/>
                  </w:tcBorders>
                  <w:vAlign w:val="center"/>
                </w:tcPr>
                <w:p w14:paraId="0CFF294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315.9（新鲜水25.02）</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CCA2337">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10%损耗</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9FB3B4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1.023</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DA655F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306.9</w:t>
                  </w:r>
                </w:p>
              </w:tc>
              <w:tc>
                <w:tcPr>
                  <w:tcW w:w="1663" w:type="pct"/>
                  <w:tcBorders>
                    <w:top w:val="single" w:color="auto" w:sz="4" w:space="0"/>
                    <w:left w:val="single" w:color="auto" w:sz="4" w:space="0"/>
                    <w:bottom w:val="single" w:color="auto" w:sz="4" w:space="0"/>
                    <w:right w:val="single" w:color="auto" w:sz="4" w:space="0"/>
                  </w:tcBorders>
                  <w:vAlign w:val="center"/>
                </w:tcPr>
                <w:p w14:paraId="1D76224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ascii="宋体" w:hAnsi="宋体"/>
                      <w:color w:val="auto"/>
                      <w:kern w:val="0"/>
                      <w:sz w:val="21"/>
                      <w:szCs w:val="21"/>
                      <w:lang w:val="en-US" w:eastAsia="zh-CN"/>
                    </w:rPr>
                    <w:t>经一体化污水处理设施处理后回用，不外排。</w:t>
                  </w:r>
                </w:p>
              </w:tc>
            </w:tr>
            <w:tr w14:paraId="264F7049">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100CA451">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3</w:t>
                  </w:r>
                </w:p>
              </w:tc>
              <w:tc>
                <w:tcPr>
                  <w:tcW w:w="457" w:type="pct"/>
                  <w:tcBorders>
                    <w:top w:val="single" w:color="auto" w:sz="4" w:space="0"/>
                    <w:left w:val="single" w:color="auto" w:sz="4" w:space="0"/>
                    <w:bottom w:val="single" w:color="auto" w:sz="4" w:space="0"/>
                    <w:right w:val="single" w:color="auto" w:sz="4" w:space="0"/>
                  </w:tcBorders>
                  <w:vAlign w:val="center"/>
                </w:tcPr>
                <w:p w14:paraId="66FD9CCE">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洒水降尘用水</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0E78DAC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cyan"/>
                      <w:lang w:val="en-US" w:eastAsia="zh-CN" w:bidi="ar-SA"/>
                    </w:rPr>
                  </w:pPr>
                  <w:r>
                    <w:rPr>
                      <w:rFonts w:hint="eastAsia"/>
                      <w:color w:val="auto"/>
                      <w:kern w:val="0"/>
                      <w:sz w:val="21"/>
                      <w:szCs w:val="21"/>
                      <w:highlight w:val="none"/>
                      <w:lang w:val="en-US" w:eastAsia="zh-CN"/>
                    </w:rPr>
                    <w:t>16.2</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14:paraId="07AD773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3807</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9E46C91">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5D1EDC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5EFC1E81">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63" w:type="pct"/>
                  <w:tcBorders>
                    <w:top w:val="single" w:color="auto" w:sz="4" w:space="0"/>
                    <w:left w:val="single" w:color="auto" w:sz="4" w:space="0"/>
                    <w:bottom w:val="single" w:color="auto" w:sz="4" w:space="0"/>
                    <w:right w:val="single" w:color="auto" w:sz="4" w:space="0"/>
                  </w:tcBorders>
                  <w:vAlign w:val="center"/>
                </w:tcPr>
                <w:p w14:paraId="236AF937">
                  <w:pPr>
                    <w:keepNext w:val="0"/>
                    <w:keepLines w:val="0"/>
                    <w:suppressLineNumbers w:val="0"/>
                    <w:spacing w:before="0" w:beforeAutospacing="0" w:after="0" w:afterAutospacing="0" w:line="240" w:lineRule="auto"/>
                    <w:ind w:left="0" w:right="0"/>
                    <w:contextualSpacing/>
                    <w:jc w:val="center"/>
                    <w:rPr>
                      <w:rFonts w:hint="eastAsia" w:ascii="宋体" w:hAnsi="宋体"/>
                      <w:color w:val="auto"/>
                      <w:kern w:val="0"/>
                      <w:sz w:val="21"/>
                      <w:szCs w:val="21"/>
                      <w:lang w:val="en-US" w:eastAsia="zh-CN"/>
                    </w:rPr>
                  </w:pPr>
                  <w:r>
                    <w:rPr>
                      <w:rFonts w:hint="eastAsia" w:ascii="宋体" w:hAnsi="宋体"/>
                      <w:color w:val="auto"/>
                      <w:kern w:val="0"/>
                      <w:sz w:val="21"/>
                      <w:szCs w:val="21"/>
                      <w:lang w:val="en-US" w:eastAsia="zh-CN"/>
                    </w:rPr>
                    <w:t>洒水后水分自然蒸发，不产生废水。</w:t>
                  </w:r>
                </w:p>
              </w:tc>
            </w:tr>
            <w:tr w14:paraId="4A697E46">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7BBAF5E4">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4</w:t>
                  </w:r>
                </w:p>
              </w:tc>
              <w:tc>
                <w:tcPr>
                  <w:tcW w:w="457" w:type="pct"/>
                  <w:tcBorders>
                    <w:top w:val="single" w:color="auto" w:sz="4" w:space="0"/>
                    <w:left w:val="single" w:color="auto" w:sz="4" w:space="0"/>
                    <w:bottom w:val="single" w:color="auto" w:sz="4" w:space="0"/>
                    <w:right w:val="single" w:color="auto" w:sz="4" w:space="0"/>
                  </w:tcBorders>
                  <w:vAlign w:val="center"/>
                </w:tcPr>
                <w:p w14:paraId="7A1771B8">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初期雨水</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18155BA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cyan"/>
                      <w:lang w:val="en-US" w:eastAsia="zh-CN" w:bidi="ar-SA"/>
                    </w:rPr>
                  </w:pPr>
                  <w:r>
                    <w:rPr>
                      <w:rFonts w:hint="eastAsia"/>
                      <w:color w:val="auto"/>
                      <w:kern w:val="0"/>
                      <w:sz w:val="21"/>
                      <w:szCs w:val="21"/>
                      <w:highlight w:val="none"/>
                      <w:lang w:val="en-US" w:eastAsia="zh-CN"/>
                    </w:rPr>
                    <w:t>15.47</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14:paraId="72251A6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4641</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AC9D6FF">
                  <w:pPr>
                    <w:keepNext w:val="0"/>
                    <w:keepLines w:val="0"/>
                    <w:suppressLineNumbers w:val="0"/>
                    <w:spacing w:before="0" w:beforeAutospacing="0" w:after="0" w:afterAutospacing="0" w:line="240" w:lineRule="auto"/>
                    <w:ind w:left="0" w:leftChars="0" w:right="0" w:rightChars="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3D0B4E5">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5CE6DCC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63" w:type="pct"/>
                  <w:tcBorders>
                    <w:top w:val="single" w:color="auto" w:sz="4" w:space="0"/>
                    <w:left w:val="single" w:color="auto" w:sz="4" w:space="0"/>
                    <w:bottom w:val="single" w:color="auto" w:sz="4" w:space="0"/>
                    <w:right w:val="single" w:color="auto" w:sz="4" w:space="0"/>
                  </w:tcBorders>
                  <w:vAlign w:val="center"/>
                </w:tcPr>
                <w:p w14:paraId="6ACF8F0F">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初期雨水收集池沉淀后回用场地洒水降尘，不外排。</w:t>
                  </w:r>
                </w:p>
              </w:tc>
            </w:tr>
            <w:tr w14:paraId="49674DFD">
              <w:tblPrEx>
                <w:tblCellMar>
                  <w:top w:w="0" w:type="dxa"/>
                  <w:left w:w="108" w:type="dxa"/>
                  <w:bottom w:w="0" w:type="dxa"/>
                  <w:right w:w="108" w:type="dxa"/>
                </w:tblCellMar>
              </w:tblPrEx>
              <w:trPr>
                <w:trHeight w:val="23" w:hRule="atLeast"/>
                <w:jc w:val="center"/>
              </w:trPr>
              <w:tc>
                <w:tcPr>
                  <w:tcW w:w="750" w:type="pct"/>
                  <w:gridSpan w:val="2"/>
                  <w:tcBorders>
                    <w:top w:val="single" w:color="auto" w:sz="4" w:space="0"/>
                    <w:left w:val="single" w:color="auto" w:sz="4" w:space="0"/>
                    <w:bottom w:val="single" w:color="auto" w:sz="4" w:space="0"/>
                    <w:right w:val="single" w:color="auto" w:sz="4" w:space="0"/>
                  </w:tcBorders>
                  <w:vAlign w:val="center"/>
                </w:tcPr>
                <w:p w14:paraId="51E42734">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ascii="宋体" w:hAnsi="宋体"/>
                      <w:color w:val="auto"/>
                      <w:kern w:val="0"/>
                      <w:sz w:val="21"/>
                      <w:szCs w:val="21"/>
                    </w:rPr>
                    <w:t>合计</w:t>
                  </w:r>
                </w:p>
              </w:tc>
              <w:tc>
                <w:tcPr>
                  <w:tcW w:w="603" w:type="pct"/>
                  <w:tcBorders>
                    <w:top w:val="single" w:color="auto" w:sz="4" w:space="0"/>
                    <w:left w:val="single" w:color="auto" w:sz="4" w:space="0"/>
                    <w:bottom w:val="single" w:color="auto" w:sz="4" w:space="0"/>
                    <w:right w:val="single" w:color="auto" w:sz="4" w:space="0"/>
                  </w:tcBorders>
                  <w:vAlign w:val="center"/>
                </w:tcPr>
                <w:p w14:paraId="5E489DE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32.923</w:t>
                  </w:r>
                </w:p>
              </w:tc>
              <w:tc>
                <w:tcPr>
                  <w:tcW w:w="585" w:type="pct"/>
                  <w:tcBorders>
                    <w:top w:val="single" w:color="auto" w:sz="4" w:space="0"/>
                    <w:left w:val="single" w:color="auto" w:sz="4" w:space="0"/>
                    <w:bottom w:val="single" w:color="auto" w:sz="4" w:space="0"/>
                    <w:right w:val="single" w:color="auto" w:sz="4" w:space="0"/>
                  </w:tcBorders>
                  <w:vAlign w:val="center"/>
                </w:tcPr>
                <w:p w14:paraId="45F28ED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8823.9</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58578B2">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501E4A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1.183</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690372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354.9</w:t>
                  </w:r>
                </w:p>
              </w:tc>
              <w:tc>
                <w:tcPr>
                  <w:tcW w:w="1663" w:type="pct"/>
                  <w:tcBorders>
                    <w:top w:val="single" w:color="auto" w:sz="4" w:space="0"/>
                    <w:left w:val="single" w:color="auto" w:sz="4" w:space="0"/>
                    <w:bottom w:val="single" w:color="auto" w:sz="4" w:space="0"/>
                    <w:right w:val="single" w:color="auto" w:sz="4" w:space="0"/>
                  </w:tcBorders>
                  <w:shd w:val="clear" w:color="auto" w:fill="auto"/>
                  <w:vAlign w:val="center"/>
                </w:tcPr>
                <w:p w14:paraId="194E954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bl>
          <w:p w14:paraId="76161D64">
            <w:pPr>
              <w:jc w:val="center"/>
              <w:rPr>
                <w:rFonts w:hint="eastAsia"/>
                <w:b/>
                <w:bCs/>
                <w:color w:val="auto"/>
                <w:sz w:val="21"/>
                <w:szCs w:val="21"/>
                <w:vertAlign w:val="baseline"/>
                <w:lang w:val="en-US" w:eastAsia="zh-CN"/>
              </w:rPr>
            </w:pPr>
            <w:r>
              <w:rPr>
                <w:color w:val="auto"/>
              </w:rPr>
              <w:drawing>
                <wp:inline distT="0" distB="0" distL="114300" distR="114300">
                  <wp:extent cx="5039995" cy="2496185"/>
                  <wp:effectExtent l="0" t="0" r="8255" b="1841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039995" cy="2496185"/>
                          </a:xfrm>
                          <a:prstGeom prst="rect">
                            <a:avLst/>
                          </a:prstGeom>
                          <a:noFill/>
                          <a:ln>
                            <a:noFill/>
                          </a:ln>
                        </pic:spPr>
                      </pic:pic>
                    </a:graphicData>
                  </a:graphic>
                </wp:inline>
              </w:drawing>
            </w:r>
          </w:p>
          <w:p w14:paraId="792082CE">
            <w:pPr>
              <w:jc w:val="center"/>
              <w:rPr>
                <w:rFonts w:hint="eastAsia"/>
                <w:b/>
                <w:bCs/>
                <w:color w:val="auto"/>
                <w:sz w:val="21"/>
                <w:szCs w:val="21"/>
                <w:vertAlign w:val="baseline"/>
                <w:lang w:val="en-US" w:eastAsia="zh-CN"/>
              </w:rPr>
            </w:pPr>
            <w:r>
              <w:rPr>
                <w:rFonts w:hint="eastAsia"/>
                <w:b/>
                <w:bCs/>
                <w:color w:val="auto"/>
                <w:sz w:val="21"/>
                <w:szCs w:val="21"/>
                <w:vertAlign w:val="baseline"/>
                <w:lang w:val="en-US" w:eastAsia="zh-CN"/>
              </w:rPr>
              <w:t>图2-1 项目水平衡图（晴天）（m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p w14:paraId="516C6BC2">
            <w:pPr>
              <w:bidi w:val="0"/>
              <w:rPr>
                <w:rFonts w:hint="eastAsia"/>
                <w:color w:val="auto"/>
                <w:lang w:val="en-US" w:eastAsia="zh-CN"/>
              </w:rPr>
            </w:pPr>
            <w:r>
              <w:rPr>
                <w:color w:val="auto"/>
              </w:rPr>
              <w:drawing>
                <wp:inline distT="0" distB="0" distL="114300" distR="114300">
                  <wp:extent cx="5040630" cy="1640205"/>
                  <wp:effectExtent l="0" t="0" r="7620" b="1714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5040630" cy="1640205"/>
                          </a:xfrm>
                          <a:prstGeom prst="rect">
                            <a:avLst/>
                          </a:prstGeom>
                          <a:noFill/>
                          <a:ln>
                            <a:noFill/>
                          </a:ln>
                        </pic:spPr>
                      </pic:pic>
                    </a:graphicData>
                  </a:graphic>
                </wp:inline>
              </w:drawing>
            </w:r>
          </w:p>
          <w:p w14:paraId="740F3D2F">
            <w:pPr>
              <w:pStyle w:val="2"/>
              <w:ind w:left="0" w:leftChars="0" w:firstLine="0" w:firstLineChars="0"/>
              <w:jc w:val="center"/>
              <w:rPr>
                <w:rFonts w:hint="default" w:eastAsia="宋体"/>
                <w:color w:val="auto"/>
                <w:lang w:val="en-US" w:eastAsia="zh-CN"/>
              </w:rPr>
            </w:pPr>
            <w:r>
              <w:rPr>
                <w:rFonts w:hint="eastAsia"/>
                <w:color w:val="auto"/>
                <w:lang w:val="en-US" w:eastAsia="zh-CN"/>
              </w:rPr>
              <w:t>图2-2 项目水平衡图（雨天）m</w:t>
            </w:r>
            <w:r>
              <w:rPr>
                <w:rFonts w:hint="eastAsia"/>
                <w:color w:val="auto"/>
                <w:vertAlign w:val="superscript"/>
                <w:lang w:val="en-US" w:eastAsia="zh-CN"/>
              </w:rPr>
              <w:t>3</w:t>
            </w:r>
            <w:r>
              <w:rPr>
                <w:rFonts w:hint="eastAsia"/>
                <w:color w:val="auto"/>
                <w:lang w:val="en-US" w:eastAsia="zh-CN"/>
              </w:rPr>
              <w:t>/d</w:t>
            </w:r>
          </w:p>
          <w:p w14:paraId="0F3532A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八、劳动定员及工作制度</w:t>
            </w:r>
          </w:p>
          <w:p w14:paraId="68E75CE2">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劳动定员：</w:t>
            </w:r>
            <w:r>
              <w:rPr>
                <w:rFonts w:hint="eastAsia"/>
                <w:color w:val="auto"/>
                <w:kern w:val="0"/>
              </w:rPr>
              <w:t>2</w:t>
            </w:r>
            <w:r>
              <w:rPr>
                <w:rFonts w:hint="eastAsia" w:ascii="宋体" w:hAnsi="宋体"/>
                <w:color w:val="auto"/>
                <w:kern w:val="0"/>
              </w:rPr>
              <w:t>人，均在项目内食宿。</w:t>
            </w:r>
          </w:p>
          <w:p w14:paraId="3BB58C86">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工作制度：</w:t>
            </w:r>
            <w:r>
              <w:rPr>
                <w:rFonts w:hint="eastAsia" w:ascii="宋体" w:hAnsi="宋体"/>
                <w:color w:val="auto"/>
                <w:kern w:val="0"/>
                <w:highlight w:val="none"/>
              </w:rPr>
              <w:t>每天工作</w:t>
            </w:r>
            <w:r>
              <w:rPr>
                <w:rFonts w:hint="eastAsia"/>
                <w:color w:val="auto"/>
                <w:kern w:val="0"/>
                <w:highlight w:val="none"/>
                <w:lang w:val="en-US" w:eastAsia="zh-CN"/>
              </w:rPr>
              <w:t>8</w:t>
            </w:r>
            <w:r>
              <w:rPr>
                <w:rFonts w:hint="eastAsia"/>
                <w:color w:val="auto"/>
                <w:kern w:val="0"/>
                <w:highlight w:val="none"/>
              </w:rPr>
              <w:t>h</w:t>
            </w:r>
            <w:r>
              <w:rPr>
                <w:rFonts w:hint="eastAsia" w:ascii="宋体" w:hAnsi="宋体"/>
                <w:color w:val="auto"/>
                <w:kern w:val="0"/>
              </w:rPr>
              <w:t>，</w:t>
            </w:r>
            <w:r>
              <w:rPr>
                <w:rFonts w:hint="eastAsia"/>
                <w:color w:val="auto"/>
                <w:kern w:val="0"/>
              </w:rPr>
              <w:t>1</w:t>
            </w:r>
            <w:r>
              <w:rPr>
                <w:rFonts w:hint="eastAsia" w:ascii="宋体" w:hAnsi="宋体"/>
                <w:color w:val="auto"/>
                <w:kern w:val="0"/>
              </w:rPr>
              <w:t>班制，年工作</w:t>
            </w:r>
            <w:r>
              <w:rPr>
                <w:rFonts w:hint="eastAsia"/>
                <w:color w:val="auto"/>
                <w:kern w:val="0"/>
                <w:lang w:val="en-US" w:eastAsia="zh-CN"/>
              </w:rPr>
              <w:t>30</w:t>
            </w:r>
            <w:r>
              <w:rPr>
                <w:rFonts w:hint="eastAsia"/>
                <w:color w:val="auto"/>
                <w:kern w:val="0"/>
              </w:rPr>
              <w:t>0d</w:t>
            </w:r>
            <w:r>
              <w:rPr>
                <w:rFonts w:hint="eastAsia" w:ascii="宋体" w:hAnsi="宋体"/>
                <w:color w:val="auto"/>
                <w:kern w:val="0"/>
              </w:rPr>
              <w:t>。</w:t>
            </w:r>
          </w:p>
          <w:p w14:paraId="5D40BF78">
            <w:pPr>
              <w:keepNext w:val="0"/>
              <w:keepLines w:val="0"/>
              <w:suppressLineNumbers w:val="0"/>
              <w:spacing w:before="0" w:beforeAutospacing="0" w:after="0" w:afterAutospacing="0"/>
              <w:ind w:left="0" w:right="0" w:firstLine="480" w:firstLineChars="200"/>
              <w:rPr>
                <w:rFonts w:hint="default" w:ascii="宋体" w:hAnsi="宋体"/>
                <w:color w:val="auto"/>
                <w:kern w:val="0"/>
              </w:rPr>
            </w:pPr>
            <w:r>
              <w:rPr>
                <w:rFonts w:hint="eastAsia" w:ascii="宋体" w:hAnsi="宋体"/>
                <w:color w:val="auto"/>
                <w:kern w:val="0"/>
              </w:rPr>
              <w:t>项目施工周期及进度：</w:t>
            </w:r>
            <w:r>
              <w:rPr>
                <w:rFonts w:hint="default"/>
                <w:color w:val="auto"/>
                <w:kern w:val="0"/>
              </w:rPr>
              <w:t>项目预计于202</w:t>
            </w:r>
            <w:r>
              <w:rPr>
                <w:rFonts w:hint="eastAsia"/>
                <w:color w:val="auto"/>
                <w:kern w:val="0"/>
                <w:lang w:val="en-US" w:eastAsia="zh-CN"/>
              </w:rPr>
              <w:t>6</w:t>
            </w:r>
            <w:r>
              <w:rPr>
                <w:rFonts w:hint="default"/>
                <w:color w:val="auto"/>
                <w:kern w:val="0"/>
              </w:rPr>
              <w:t>年</w:t>
            </w:r>
            <w:r>
              <w:rPr>
                <w:rFonts w:hint="eastAsia"/>
                <w:color w:val="auto"/>
                <w:kern w:val="0"/>
                <w:lang w:val="en-US" w:eastAsia="zh-CN"/>
              </w:rPr>
              <w:t>6</w:t>
            </w:r>
            <w:r>
              <w:rPr>
                <w:rFonts w:hint="default"/>
                <w:color w:val="auto"/>
                <w:kern w:val="0"/>
              </w:rPr>
              <w:t>月开始建设，202</w:t>
            </w:r>
            <w:r>
              <w:rPr>
                <w:rFonts w:hint="eastAsia"/>
                <w:color w:val="auto"/>
                <w:kern w:val="0"/>
                <w:lang w:val="en-US" w:eastAsia="zh-CN"/>
              </w:rPr>
              <w:t>6</w:t>
            </w:r>
            <w:r>
              <w:rPr>
                <w:rFonts w:hint="default"/>
                <w:color w:val="auto"/>
                <w:kern w:val="0"/>
              </w:rPr>
              <w:t>年</w:t>
            </w:r>
            <w:r>
              <w:rPr>
                <w:rFonts w:hint="eastAsia"/>
                <w:color w:val="auto"/>
                <w:kern w:val="0"/>
                <w:lang w:val="en-US" w:eastAsia="zh-CN"/>
              </w:rPr>
              <w:t>7</w:t>
            </w:r>
            <w:r>
              <w:rPr>
                <w:rFonts w:hint="default"/>
                <w:color w:val="auto"/>
                <w:kern w:val="0"/>
              </w:rPr>
              <w:t>月底完工，施工期约</w:t>
            </w:r>
            <w:r>
              <w:rPr>
                <w:rFonts w:hint="eastAsia"/>
                <w:color w:val="auto"/>
                <w:kern w:val="0"/>
                <w:lang w:val="en-US" w:eastAsia="zh-CN"/>
              </w:rPr>
              <w:t>2</w:t>
            </w:r>
            <w:r>
              <w:rPr>
                <w:rFonts w:hint="default"/>
                <w:color w:val="auto"/>
                <w:kern w:val="0"/>
              </w:rPr>
              <w:t>个月</w:t>
            </w:r>
            <w:r>
              <w:rPr>
                <w:rFonts w:hint="eastAsia"/>
                <w:color w:val="auto"/>
                <w:kern w:val="0"/>
              </w:rPr>
              <w:t>。</w:t>
            </w:r>
          </w:p>
          <w:p w14:paraId="3FA14F74">
            <w:pPr>
              <w:keepNext w:val="0"/>
              <w:keepLines w:val="0"/>
              <w:suppressLineNumbers w:val="0"/>
              <w:spacing w:before="0" w:beforeAutospacing="0" w:after="0" w:afterAutospacing="0"/>
              <w:ind w:left="0" w:right="0" w:firstLine="482" w:firstLineChars="200"/>
              <w:rPr>
                <w:rFonts w:hint="default"/>
                <w:b/>
                <w:color w:val="auto"/>
                <w:kern w:val="0"/>
                <w:highlight w:val="none"/>
              </w:rPr>
            </w:pPr>
            <w:r>
              <w:rPr>
                <w:rFonts w:hint="eastAsia"/>
                <w:b/>
                <w:color w:val="auto"/>
                <w:kern w:val="0"/>
                <w:highlight w:val="none"/>
                <w:lang w:val="en-US" w:eastAsia="zh-CN"/>
              </w:rPr>
              <w:t>九</w:t>
            </w:r>
            <w:r>
              <w:rPr>
                <w:rFonts w:hint="eastAsia"/>
                <w:b/>
                <w:color w:val="auto"/>
                <w:kern w:val="0"/>
                <w:highlight w:val="none"/>
              </w:rPr>
              <w:t>、环保投资</w:t>
            </w:r>
          </w:p>
          <w:p w14:paraId="4A910591">
            <w:pPr>
              <w:keepNext w:val="0"/>
              <w:keepLines w:val="0"/>
              <w:suppressLineNumbers w:val="0"/>
              <w:spacing w:before="0" w:beforeAutospacing="0" w:after="0" w:afterAutospacing="0"/>
              <w:ind w:left="0" w:right="0" w:firstLine="480" w:firstLineChars="200"/>
              <w:rPr>
                <w:rFonts w:hint="eastAsia" w:ascii="宋体" w:hAnsi="宋体"/>
                <w:color w:val="auto"/>
                <w:kern w:val="0"/>
              </w:rPr>
            </w:pPr>
            <w:r>
              <w:rPr>
                <w:rFonts w:hint="eastAsia" w:ascii="宋体" w:hAnsi="宋体"/>
                <w:color w:val="auto"/>
                <w:kern w:val="0"/>
              </w:rPr>
              <w:t>本项目总投资为</w:t>
            </w:r>
            <w:r>
              <w:rPr>
                <w:rFonts w:hint="eastAsia"/>
                <w:color w:val="auto"/>
                <w:kern w:val="0"/>
                <w:lang w:val="en-US" w:eastAsia="zh-CN"/>
              </w:rPr>
              <w:t>50</w:t>
            </w:r>
            <w:r>
              <w:rPr>
                <w:rFonts w:hint="eastAsia" w:ascii="宋体" w:hAnsi="宋体"/>
                <w:color w:val="auto"/>
                <w:kern w:val="0"/>
              </w:rPr>
              <w:t>万元，其中环保投资约为</w:t>
            </w:r>
            <w:r>
              <w:rPr>
                <w:rFonts w:hint="eastAsia"/>
                <w:color w:val="auto"/>
                <w:kern w:val="0"/>
                <w:lang w:val="en-US" w:eastAsia="zh-CN"/>
              </w:rPr>
              <w:t>8.7</w:t>
            </w:r>
            <w:r>
              <w:rPr>
                <w:rFonts w:hint="eastAsia" w:ascii="宋体" w:hAnsi="宋体"/>
                <w:color w:val="auto"/>
                <w:kern w:val="0"/>
              </w:rPr>
              <w:t>万元，占总投资的</w:t>
            </w:r>
            <w:r>
              <w:rPr>
                <w:rFonts w:hint="eastAsia"/>
                <w:color w:val="auto"/>
                <w:kern w:val="0"/>
                <w:lang w:val="en-US" w:eastAsia="zh-CN"/>
              </w:rPr>
              <w:t>17.4</w:t>
            </w:r>
            <w:r>
              <w:rPr>
                <w:rFonts w:hint="eastAsia"/>
                <w:color w:val="auto"/>
                <w:kern w:val="0"/>
              </w:rPr>
              <w:t>%</w:t>
            </w:r>
            <w:r>
              <w:rPr>
                <w:rFonts w:hint="eastAsia" w:ascii="宋体" w:hAnsi="宋体"/>
                <w:color w:val="auto"/>
                <w:kern w:val="0"/>
              </w:rPr>
              <w:t>。环保投资见下表。</w:t>
            </w:r>
          </w:p>
          <w:p w14:paraId="75587E7A">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 xml:space="preserve">2-6 </w:t>
            </w:r>
            <w:r>
              <w:rPr>
                <w:rFonts w:hint="eastAsia" w:ascii="宋体" w:hAnsi="宋体"/>
                <w:b/>
                <w:color w:val="auto"/>
                <w:kern w:val="0"/>
                <w:sz w:val="21"/>
                <w:szCs w:val="21"/>
              </w:rPr>
              <w:t>项目环保投资一览表</w:t>
            </w:r>
          </w:p>
          <w:tbl>
            <w:tblPr>
              <w:tblStyle w:val="29"/>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251"/>
              <w:gridCol w:w="3645"/>
              <w:gridCol w:w="1395"/>
              <w:gridCol w:w="673"/>
            </w:tblGrid>
            <w:tr w14:paraId="16E8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gridSpan w:val="2"/>
                  <w:tcBorders>
                    <w:tl2br w:val="nil"/>
                    <w:tr2bl w:val="nil"/>
                  </w:tcBorders>
                  <w:vAlign w:val="center"/>
                </w:tcPr>
                <w:p w14:paraId="3A1D3AFD">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类别</w:t>
                  </w:r>
                </w:p>
              </w:tc>
              <w:tc>
                <w:tcPr>
                  <w:tcW w:w="3645" w:type="dxa"/>
                  <w:tcBorders>
                    <w:tl2br w:val="nil"/>
                    <w:tr2bl w:val="nil"/>
                  </w:tcBorders>
                  <w:vAlign w:val="center"/>
                </w:tcPr>
                <w:p w14:paraId="5AA8DC8D">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环保设施</w:t>
                  </w:r>
                </w:p>
              </w:tc>
              <w:tc>
                <w:tcPr>
                  <w:tcW w:w="1395" w:type="dxa"/>
                  <w:tcBorders>
                    <w:tl2br w:val="nil"/>
                    <w:tr2bl w:val="nil"/>
                  </w:tcBorders>
                  <w:vAlign w:val="center"/>
                </w:tcPr>
                <w:p w14:paraId="4DF013B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金额（万元）</w:t>
                  </w:r>
                </w:p>
              </w:tc>
              <w:tc>
                <w:tcPr>
                  <w:tcW w:w="673" w:type="dxa"/>
                  <w:tcBorders>
                    <w:tl2br w:val="nil"/>
                    <w:tr2bl w:val="nil"/>
                  </w:tcBorders>
                  <w:vAlign w:val="center"/>
                </w:tcPr>
                <w:p w14:paraId="33DA298C">
                  <w:pPr>
                    <w:keepNext w:val="0"/>
                    <w:keepLines w:val="0"/>
                    <w:suppressLineNumbers w:val="0"/>
                    <w:spacing w:before="0" w:beforeAutospacing="0" w:after="0" w:afterAutospacing="0" w:line="240" w:lineRule="auto"/>
                    <w:ind w:left="0" w:right="0"/>
                    <w:contextualSpacing/>
                    <w:jc w:val="center"/>
                    <w:rPr>
                      <w:rFonts w:hint="eastAsia" w:eastAsia="宋体"/>
                      <w:b/>
                      <w:color w:val="auto"/>
                      <w:kern w:val="0"/>
                      <w:sz w:val="21"/>
                      <w:szCs w:val="21"/>
                      <w:lang w:val="en-US" w:eastAsia="zh-CN"/>
                    </w:rPr>
                  </w:pPr>
                  <w:r>
                    <w:rPr>
                      <w:rFonts w:hint="eastAsia"/>
                      <w:b/>
                      <w:color w:val="auto"/>
                      <w:kern w:val="0"/>
                      <w:sz w:val="21"/>
                      <w:szCs w:val="21"/>
                      <w:lang w:val="en-US" w:eastAsia="zh-CN"/>
                    </w:rPr>
                    <w:t>备注</w:t>
                  </w:r>
                </w:p>
              </w:tc>
            </w:tr>
            <w:tr w14:paraId="09D5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tcBorders>
                    <w:tl2br w:val="nil"/>
                    <w:tr2bl w:val="nil"/>
                  </w:tcBorders>
                  <w:vAlign w:val="center"/>
                </w:tcPr>
                <w:p w14:paraId="3A709413">
                  <w:pPr>
                    <w:keepNext w:val="0"/>
                    <w:keepLines w:val="0"/>
                    <w:widowControl/>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r>
                    <w:rPr>
                      <w:rFonts w:hint="eastAsia"/>
                      <w:color w:val="auto"/>
                      <w:kern w:val="0"/>
                      <w:sz w:val="21"/>
                      <w:szCs w:val="21"/>
                      <w:lang w:val="en-US" w:eastAsia="zh-CN"/>
                    </w:rPr>
                    <w:t>施工期</w:t>
                  </w:r>
                </w:p>
              </w:tc>
              <w:tc>
                <w:tcPr>
                  <w:tcW w:w="1251" w:type="dxa"/>
                  <w:tcBorders>
                    <w:tl2br w:val="nil"/>
                    <w:tr2bl w:val="nil"/>
                  </w:tcBorders>
                  <w:shd w:val="clear" w:color="auto" w:fill="auto"/>
                  <w:vAlign w:val="center"/>
                </w:tcPr>
                <w:p w14:paraId="234EE3ED">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废气</w:t>
                  </w:r>
                </w:p>
              </w:tc>
              <w:tc>
                <w:tcPr>
                  <w:tcW w:w="3645" w:type="dxa"/>
                  <w:tcBorders>
                    <w:tl2br w:val="nil"/>
                    <w:tr2bl w:val="nil"/>
                  </w:tcBorders>
                  <w:shd w:val="clear" w:color="auto" w:fill="auto"/>
                  <w:vAlign w:val="center"/>
                </w:tcPr>
                <w:p w14:paraId="2645FB43">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ascii="Times New Roman" w:hAnsi="Times New Roman"/>
                      <w:color w:val="auto"/>
                      <w:sz w:val="21"/>
                      <w:szCs w:val="21"/>
                      <w:highlight w:val="none"/>
                    </w:rPr>
                    <w:t>洒水降尘</w:t>
                  </w:r>
                </w:p>
              </w:tc>
              <w:tc>
                <w:tcPr>
                  <w:tcW w:w="1395" w:type="dxa"/>
                  <w:tcBorders>
                    <w:tl2br w:val="nil"/>
                    <w:tr2bl w:val="nil"/>
                  </w:tcBorders>
                  <w:shd w:val="clear" w:color="auto" w:fill="auto"/>
                  <w:vAlign w:val="center"/>
                </w:tcPr>
                <w:p w14:paraId="5931D81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6788720C">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3B7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24775014">
                  <w:pPr>
                    <w:keepNext w:val="0"/>
                    <w:keepLines w:val="0"/>
                    <w:widowControl/>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c>
                <w:tcPr>
                  <w:tcW w:w="1251" w:type="dxa"/>
                  <w:tcBorders>
                    <w:tl2br w:val="nil"/>
                    <w:tr2bl w:val="nil"/>
                  </w:tcBorders>
                  <w:shd w:val="clear" w:color="auto" w:fill="auto"/>
                  <w:vAlign w:val="center"/>
                </w:tcPr>
                <w:p w14:paraId="4FE479A8">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噪声</w:t>
                  </w:r>
                </w:p>
              </w:tc>
              <w:tc>
                <w:tcPr>
                  <w:tcW w:w="3645" w:type="dxa"/>
                  <w:tcBorders>
                    <w:tl2br w:val="nil"/>
                    <w:tr2bl w:val="nil"/>
                  </w:tcBorders>
                  <w:shd w:val="clear" w:color="auto" w:fill="auto"/>
                  <w:vAlign w:val="center"/>
                </w:tcPr>
                <w:p w14:paraId="6982FE6F">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ascii="Times New Roman" w:hAnsi="Times New Roman"/>
                      <w:color w:val="auto"/>
                      <w:sz w:val="21"/>
                      <w:szCs w:val="21"/>
                      <w:highlight w:val="none"/>
                    </w:rPr>
                    <w:t>选用低噪声设备、加装减震垫</w:t>
                  </w:r>
                </w:p>
              </w:tc>
              <w:tc>
                <w:tcPr>
                  <w:tcW w:w="1395" w:type="dxa"/>
                  <w:tcBorders>
                    <w:tl2br w:val="nil"/>
                    <w:tr2bl w:val="nil"/>
                  </w:tcBorders>
                  <w:shd w:val="clear" w:color="auto" w:fill="auto"/>
                  <w:vAlign w:val="center"/>
                </w:tcPr>
                <w:p w14:paraId="099964C2">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17F019DD">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2901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7DB7EAF">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p>
              </w:tc>
              <w:tc>
                <w:tcPr>
                  <w:tcW w:w="1251" w:type="dxa"/>
                  <w:tcBorders>
                    <w:tl2br w:val="nil"/>
                    <w:tr2bl w:val="nil"/>
                  </w:tcBorders>
                  <w:shd w:val="clear" w:color="auto" w:fill="auto"/>
                  <w:vAlign w:val="center"/>
                </w:tcPr>
                <w:p w14:paraId="4F1ABA26">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废水</w:t>
                  </w:r>
                </w:p>
              </w:tc>
              <w:tc>
                <w:tcPr>
                  <w:tcW w:w="3645" w:type="dxa"/>
                  <w:tcBorders>
                    <w:tl2br w:val="nil"/>
                    <w:tr2bl w:val="nil"/>
                  </w:tcBorders>
                  <w:shd w:val="clear" w:color="auto" w:fill="auto"/>
                  <w:vAlign w:val="center"/>
                </w:tcPr>
                <w:p w14:paraId="32CDB3C5">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color w:val="auto"/>
                      <w:sz w:val="21"/>
                      <w:szCs w:val="21"/>
                      <w:highlight w:val="none"/>
                    </w:rPr>
                    <w:t>员工废水进入原有化粪池</w:t>
                  </w:r>
                </w:p>
              </w:tc>
              <w:tc>
                <w:tcPr>
                  <w:tcW w:w="1395" w:type="dxa"/>
                  <w:tcBorders>
                    <w:tl2br w:val="nil"/>
                    <w:tr2bl w:val="nil"/>
                  </w:tcBorders>
                  <w:shd w:val="clear" w:color="auto" w:fill="auto"/>
                  <w:vAlign w:val="center"/>
                </w:tcPr>
                <w:p w14:paraId="7703E84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w:t>
                  </w:r>
                </w:p>
              </w:tc>
              <w:tc>
                <w:tcPr>
                  <w:tcW w:w="673" w:type="dxa"/>
                  <w:tcBorders>
                    <w:tl2br w:val="nil"/>
                    <w:tr2bl w:val="nil"/>
                  </w:tcBorders>
                  <w:shd w:val="clear" w:color="auto" w:fill="auto"/>
                  <w:vAlign w:val="center"/>
                </w:tcPr>
                <w:p w14:paraId="4F0D3312">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沿用</w:t>
                  </w:r>
                </w:p>
              </w:tc>
            </w:tr>
            <w:tr w14:paraId="512D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7F1395B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p>
              </w:tc>
              <w:tc>
                <w:tcPr>
                  <w:tcW w:w="1251" w:type="dxa"/>
                  <w:tcBorders>
                    <w:tl2br w:val="nil"/>
                    <w:tr2bl w:val="nil"/>
                  </w:tcBorders>
                  <w:shd w:val="clear" w:color="auto" w:fill="auto"/>
                  <w:vAlign w:val="center"/>
                </w:tcPr>
                <w:p w14:paraId="0AEE9A31">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固废</w:t>
                  </w:r>
                </w:p>
              </w:tc>
              <w:tc>
                <w:tcPr>
                  <w:tcW w:w="3645" w:type="dxa"/>
                  <w:tcBorders>
                    <w:tl2br w:val="nil"/>
                    <w:tr2bl w:val="nil"/>
                  </w:tcBorders>
                  <w:shd w:val="clear" w:color="auto" w:fill="auto"/>
                  <w:vAlign w:val="center"/>
                </w:tcPr>
                <w:p w14:paraId="78F199EA">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color w:val="auto"/>
                      <w:sz w:val="21"/>
                      <w:szCs w:val="21"/>
                      <w:highlight w:val="none"/>
                    </w:rPr>
                    <w:t>施工期建筑垃圾、生活垃圾清运处置</w:t>
                  </w:r>
                </w:p>
              </w:tc>
              <w:tc>
                <w:tcPr>
                  <w:tcW w:w="1395" w:type="dxa"/>
                  <w:tcBorders>
                    <w:tl2br w:val="nil"/>
                    <w:tr2bl w:val="nil"/>
                  </w:tcBorders>
                  <w:shd w:val="clear" w:color="auto" w:fill="auto"/>
                  <w:vAlign w:val="center"/>
                </w:tcPr>
                <w:p w14:paraId="0017153C">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39673C53">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5F89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tcBorders>
                    <w:tl2br w:val="nil"/>
                    <w:tr2bl w:val="nil"/>
                  </w:tcBorders>
                  <w:vAlign w:val="center"/>
                </w:tcPr>
                <w:p w14:paraId="16CED4C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运营期</w:t>
                  </w:r>
                </w:p>
              </w:tc>
              <w:tc>
                <w:tcPr>
                  <w:tcW w:w="1251" w:type="dxa"/>
                  <w:vMerge w:val="restart"/>
                  <w:tcBorders>
                    <w:tl2br w:val="nil"/>
                    <w:tr2bl w:val="nil"/>
                  </w:tcBorders>
                  <w:vAlign w:val="center"/>
                </w:tcPr>
                <w:p w14:paraId="4A87224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废水</w:t>
                  </w:r>
                </w:p>
              </w:tc>
              <w:tc>
                <w:tcPr>
                  <w:tcW w:w="3645" w:type="dxa"/>
                  <w:tcBorders>
                    <w:tl2br w:val="nil"/>
                    <w:tr2bl w:val="nil"/>
                  </w:tcBorders>
                  <w:vAlign w:val="center"/>
                </w:tcPr>
                <w:p w14:paraId="4E9DAEBF">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spacing w:val="1"/>
                      <w:kern w:val="0"/>
                      <w:sz w:val="21"/>
                      <w:szCs w:val="21"/>
                      <w:lang w:val="en-US" w:eastAsia="zh-CN"/>
                    </w:rPr>
                    <w:t>在生活区设置一个2m</w:t>
                  </w:r>
                  <w:r>
                    <w:rPr>
                      <w:rFonts w:hint="eastAsia"/>
                      <w:color w:val="auto"/>
                      <w:spacing w:val="1"/>
                      <w:kern w:val="0"/>
                      <w:sz w:val="21"/>
                      <w:szCs w:val="21"/>
                      <w:vertAlign w:val="superscript"/>
                      <w:lang w:val="en-US" w:eastAsia="zh-CN"/>
                    </w:rPr>
                    <w:t>3</w:t>
                  </w:r>
                  <w:r>
                    <w:rPr>
                      <w:rFonts w:hint="eastAsia"/>
                      <w:color w:val="auto"/>
                      <w:spacing w:val="1"/>
                      <w:kern w:val="0"/>
                      <w:sz w:val="21"/>
                      <w:szCs w:val="21"/>
                      <w:lang w:val="en-US" w:eastAsia="zh-CN"/>
                    </w:rPr>
                    <w:t>的化粪池</w:t>
                  </w:r>
                </w:p>
              </w:tc>
              <w:tc>
                <w:tcPr>
                  <w:tcW w:w="1395" w:type="dxa"/>
                  <w:tcBorders>
                    <w:tl2br w:val="nil"/>
                    <w:tr2bl w:val="nil"/>
                  </w:tcBorders>
                  <w:vAlign w:val="center"/>
                </w:tcPr>
                <w:p w14:paraId="69C3E443">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73" w:type="dxa"/>
                  <w:tcBorders>
                    <w:tl2br w:val="nil"/>
                    <w:tr2bl w:val="nil"/>
                  </w:tcBorders>
                  <w:vAlign w:val="center"/>
                </w:tcPr>
                <w:p w14:paraId="7E015ADC">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沿用</w:t>
                  </w:r>
                </w:p>
              </w:tc>
            </w:tr>
            <w:tr w14:paraId="0690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dxa"/>
                  <w:vMerge w:val="continue"/>
                  <w:tcBorders>
                    <w:tl2br w:val="nil"/>
                    <w:tr2bl w:val="nil"/>
                  </w:tcBorders>
                  <w:vAlign w:val="center"/>
                </w:tcPr>
                <w:p w14:paraId="728F6969">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6C952F31">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20ED8B8B">
                  <w:pPr>
                    <w:keepNext w:val="0"/>
                    <w:keepLines w:val="0"/>
                    <w:suppressLineNumbers w:val="0"/>
                    <w:spacing w:before="0" w:beforeAutospacing="0" w:after="0" w:afterAutospacing="0" w:line="240" w:lineRule="auto"/>
                    <w:ind w:left="0" w:right="0"/>
                    <w:contextualSpacing/>
                    <w:jc w:val="center"/>
                    <w:rPr>
                      <w:rFonts w:hint="eastAsia"/>
                      <w:color w:val="auto"/>
                      <w:spacing w:val="1"/>
                      <w:kern w:val="0"/>
                      <w:sz w:val="21"/>
                      <w:szCs w:val="21"/>
                      <w:lang w:val="en-US" w:eastAsia="zh-CN"/>
                    </w:rPr>
                  </w:pPr>
                  <w:r>
                    <w:rPr>
                      <w:rFonts w:hint="default"/>
                      <w:color w:val="auto"/>
                      <w:kern w:val="0"/>
                      <w:sz w:val="21"/>
                      <w:szCs w:val="21"/>
                    </w:rPr>
                    <w:t>在</w:t>
                  </w:r>
                  <w:r>
                    <w:rPr>
                      <w:rFonts w:hint="eastAsia"/>
                      <w:color w:val="auto"/>
                      <w:kern w:val="0"/>
                      <w:sz w:val="21"/>
                      <w:szCs w:val="21"/>
                      <w:lang w:val="en-US" w:eastAsia="zh-CN"/>
                    </w:rPr>
                    <w:t>厂区</w:t>
                  </w:r>
                  <w:r>
                    <w:rPr>
                      <w:rFonts w:hint="default"/>
                      <w:color w:val="auto"/>
                      <w:kern w:val="0"/>
                      <w:sz w:val="21"/>
                      <w:szCs w:val="21"/>
                    </w:rPr>
                    <w:t>设置一个</w:t>
                  </w:r>
                  <w:r>
                    <w:rPr>
                      <w:rFonts w:hint="eastAsia"/>
                      <w:color w:val="auto"/>
                      <w:kern w:val="0"/>
                      <w:sz w:val="21"/>
                      <w:szCs w:val="21"/>
                      <w:lang w:val="en-US" w:eastAsia="zh-CN"/>
                    </w:rPr>
                    <w:t>5</w:t>
                  </w:r>
                  <w:r>
                    <w:rPr>
                      <w:rFonts w:hint="default"/>
                      <w:color w:val="auto"/>
                      <w:kern w:val="0"/>
                      <w:sz w:val="21"/>
                      <w:szCs w:val="21"/>
                    </w:rPr>
                    <w:t>m</w:t>
                  </w:r>
                  <w:r>
                    <w:rPr>
                      <w:rFonts w:hint="default"/>
                      <w:color w:val="auto"/>
                      <w:kern w:val="0"/>
                      <w:sz w:val="21"/>
                      <w:szCs w:val="21"/>
                      <w:vertAlign w:val="superscript"/>
                    </w:rPr>
                    <w:t>3</w:t>
                  </w:r>
                  <w:r>
                    <w:rPr>
                      <w:rFonts w:hint="default"/>
                      <w:color w:val="auto"/>
                      <w:kern w:val="0"/>
                      <w:sz w:val="21"/>
                      <w:szCs w:val="21"/>
                    </w:rPr>
                    <w:t>的</w:t>
                  </w:r>
                  <w:r>
                    <w:rPr>
                      <w:rFonts w:hint="eastAsia"/>
                      <w:color w:val="auto"/>
                      <w:kern w:val="0"/>
                      <w:sz w:val="21"/>
                      <w:szCs w:val="21"/>
                      <w:lang w:val="en-US" w:eastAsia="zh-CN"/>
                    </w:rPr>
                    <w:t>隔油沉淀池</w:t>
                  </w:r>
                </w:p>
              </w:tc>
              <w:tc>
                <w:tcPr>
                  <w:tcW w:w="1395" w:type="dxa"/>
                  <w:tcBorders>
                    <w:tl2br w:val="nil"/>
                    <w:tr2bl w:val="nil"/>
                  </w:tcBorders>
                  <w:vAlign w:val="center"/>
                </w:tcPr>
                <w:p w14:paraId="04A3A3EC">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673" w:type="dxa"/>
                  <w:tcBorders>
                    <w:tl2br w:val="nil"/>
                    <w:tr2bl w:val="nil"/>
                  </w:tcBorders>
                  <w:vAlign w:val="center"/>
                </w:tcPr>
                <w:p w14:paraId="6377FC7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沿用</w:t>
                  </w:r>
                </w:p>
              </w:tc>
            </w:tr>
            <w:tr w14:paraId="75E7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8EE9754">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10FFB11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18EDAA2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default"/>
                      <w:color w:val="auto"/>
                      <w:kern w:val="0"/>
                      <w:sz w:val="21"/>
                      <w:szCs w:val="21"/>
                    </w:rPr>
                    <w:t>在</w:t>
                  </w:r>
                  <w:r>
                    <w:rPr>
                      <w:rFonts w:hint="eastAsia"/>
                      <w:color w:val="auto"/>
                      <w:kern w:val="0"/>
                      <w:sz w:val="21"/>
                      <w:szCs w:val="21"/>
                      <w:lang w:val="en-US" w:eastAsia="zh-CN"/>
                    </w:rPr>
                    <w:t>厂区</w:t>
                  </w:r>
                  <w:r>
                    <w:rPr>
                      <w:rFonts w:hint="default"/>
                      <w:color w:val="auto"/>
                      <w:kern w:val="0"/>
                      <w:sz w:val="21"/>
                      <w:szCs w:val="21"/>
                    </w:rPr>
                    <w:t>设置一个</w:t>
                  </w:r>
                  <w:r>
                    <w:rPr>
                      <w:rFonts w:hint="eastAsia"/>
                      <w:color w:val="auto"/>
                      <w:kern w:val="0"/>
                      <w:sz w:val="21"/>
                      <w:szCs w:val="21"/>
                      <w:lang w:val="en-US" w:eastAsia="zh-CN"/>
                    </w:rPr>
                    <w:t>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eastAsia"/>
                      <w:color w:val="auto"/>
                      <w:kern w:val="0"/>
                      <w:sz w:val="21"/>
                      <w:szCs w:val="21"/>
                      <w:lang w:val="en-US" w:eastAsia="zh-CN"/>
                    </w:rPr>
                    <w:t>/h</w:t>
                  </w:r>
                  <w:r>
                    <w:rPr>
                      <w:rFonts w:hint="default"/>
                      <w:color w:val="auto"/>
                      <w:kern w:val="0"/>
                      <w:sz w:val="21"/>
                      <w:szCs w:val="21"/>
                    </w:rPr>
                    <w:t>的</w:t>
                  </w:r>
                  <w:r>
                    <w:rPr>
                      <w:rFonts w:hint="eastAsia"/>
                      <w:color w:val="auto"/>
                      <w:kern w:val="0"/>
                      <w:sz w:val="21"/>
                      <w:szCs w:val="21"/>
                      <w:lang w:val="en-US" w:eastAsia="zh-CN"/>
                    </w:rPr>
                    <w:t>一体化污水处理设施，</w:t>
                  </w:r>
                  <w:r>
                    <w:rPr>
                      <w:rFonts w:hint="eastAsia"/>
                      <w:color w:val="auto"/>
                      <w:sz w:val="21"/>
                      <w:szCs w:val="21"/>
                      <w:lang w:eastAsia="zh-CN"/>
                    </w:rPr>
                    <w:t>采用“</w:t>
                  </w:r>
                  <w:r>
                    <w:rPr>
                      <w:rFonts w:hint="eastAsia"/>
                      <w:color w:val="auto"/>
                      <w:sz w:val="21"/>
                      <w:szCs w:val="21"/>
                      <w:lang w:val="en-US" w:eastAsia="zh-CN"/>
                    </w:rPr>
                    <w:t>pH调节+絮凝混凝气浮+过滤</w:t>
                  </w:r>
                  <w:r>
                    <w:rPr>
                      <w:rFonts w:hint="eastAsia"/>
                      <w:color w:val="auto"/>
                      <w:sz w:val="21"/>
                      <w:szCs w:val="21"/>
                      <w:lang w:eastAsia="zh-CN"/>
                    </w:rPr>
                    <w:t>”工艺</w:t>
                  </w:r>
                </w:p>
              </w:tc>
              <w:tc>
                <w:tcPr>
                  <w:tcW w:w="1395" w:type="dxa"/>
                  <w:tcBorders>
                    <w:tl2br w:val="nil"/>
                    <w:tr2bl w:val="nil"/>
                  </w:tcBorders>
                  <w:vAlign w:val="center"/>
                </w:tcPr>
                <w:p w14:paraId="3A7D1AD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5.0</w:t>
                  </w:r>
                </w:p>
              </w:tc>
              <w:tc>
                <w:tcPr>
                  <w:tcW w:w="673" w:type="dxa"/>
                  <w:tcBorders>
                    <w:tl2br w:val="nil"/>
                    <w:tr2bl w:val="nil"/>
                  </w:tcBorders>
                  <w:vAlign w:val="center"/>
                </w:tcPr>
                <w:p w14:paraId="5D379B80">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4A1A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5A5FE548">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496E2905">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噪声</w:t>
                  </w:r>
                </w:p>
              </w:tc>
              <w:tc>
                <w:tcPr>
                  <w:tcW w:w="3645" w:type="dxa"/>
                  <w:tcBorders>
                    <w:tl2br w:val="nil"/>
                    <w:tr2bl w:val="nil"/>
                  </w:tcBorders>
                  <w:vAlign w:val="center"/>
                </w:tcPr>
                <w:p w14:paraId="712951B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通过设备基础减震等措施进行降噪</w:t>
                  </w:r>
                </w:p>
              </w:tc>
              <w:tc>
                <w:tcPr>
                  <w:tcW w:w="1395" w:type="dxa"/>
                  <w:tcBorders>
                    <w:tl2br w:val="nil"/>
                    <w:tr2bl w:val="nil"/>
                  </w:tcBorders>
                  <w:vAlign w:val="center"/>
                </w:tcPr>
                <w:p w14:paraId="49C5EF2A">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0.1</w:t>
                  </w:r>
                </w:p>
              </w:tc>
              <w:tc>
                <w:tcPr>
                  <w:tcW w:w="673" w:type="dxa"/>
                  <w:tcBorders>
                    <w:tl2br w:val="nil"/>
                    <w:tr2bl w:val="nil"/>
                  </w:tcBorders>
                  <w:vAlign w:val="center"/>
                </w:tcPr>
                <w:p w14:paraId="50E09097">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02F5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6FE3398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restart"/>
                  <w:tcBorders>
                    <w:tl2br w:val="nil"/>
                    <w:tr2bl w:val="nil"/>
                  </w:tcBorders>
                  <w:vAlign w:val="center"/>
                </w:tcPr>
                <w:p w14:paraId="3BC7D31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固废</w:t>
                  </w:r>
                </w:p>
              </w:tc>
              <w:tc>
                <w:tcPr>
                  <w:tcW w:w="3645" w:type="dxa"/>
                  <w:tcBorders>
                    <w:tl2br w:val="nil"/>
                    <w:tr2bl w:val="nil"/>
                  </w:tcBorders>
                  <w:vAlign w:val="center"/>
                </w:tcPr>
                <w:p w14:paraId="70AD6972">
                  <w:pPr>
                    <w:keepNext w:val="0"/>
                    <w:keepLines w:val="0"/>
                    <w:suppressLineNumbers w:val="0"/>
                    <w:spacing w:before="0" w:beforeAutospacing="0" w:after="0" w:afterAutospacing="0" w:line="240" w:lineRule="auto"/>
                    <w:ind w:left="0" w:right="0"/>
                    <w:contextualSpacing/>
                    <w:jc w:val="center"/>
                    <w:rPr>
                      <w:rFonts w:hint="default"/>
                      <w:color w:val="auto"/>
                      <w:spacing w:val="-1"/>
                      <w:kern w:val="0"/>
                      <w:sz w:val="21"/>
                      <w:szCs w:val="21"/>
                    </w:rPr>
                  </w:pPr>
                  <w:r>
                    <w:rPr>
                      <w:rFonts w:hint="default"/>
                      <w:color w:val="auto"/>
                      <w:spacing w:val="-1"/>
                      <w:kern w:val="0"/>
                      <w:sz w:val="21"/>
                      <w:szCs w:val="21"/>
                    </w:rPr>
                    <w:t>生活垃圾设置可移动式垃圾收集桶</w:t>
                  </w:r>
                </w:p>
              </w:tc>
              <w:tc>
                <w:tcPr>
                  <w:tcW w:w="1395" w:type="dxa"/>
                  <w:tcBorders>
                    <w:tl2br w:val="nil"/>
                    <w:tr2bl w:val="nil"/>
                  </w:tcBorders>
                  <w:vAlign w:val="center"/>
                </w:tcPr>
                <w:p w14:paraId="5C07BA92">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73" w:type="dxa"/>
                  <w:tcBorders>
                    <w:tl2br w:val="nil"/>
                    <w:tr2bl w:val="nil"/>
                  </w:tcBorders>
                  <w:vAlign w:val="center"/>
                </w:tcPr>
                <w:p w14:paraId="5D80367E">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沿用</w:t>
                  </w:r>
                </w:p>
              </w:tc>
            </w:tr>
            <w:tr w14:paraId="2773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20883A9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47B800DF">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0DF0D9B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spacing w:val="-1"/>
                      <w:kern w:val="0"/>
                      <w:sz w:val="21"/>
                      <w:szCs w:val="21"/>
                    </w:rPr>
                    <w:t>设置一间危废暂存间，面积10m</w:t>
                  </w:r>
                  <w:r>
                    <w:rPr>
                      <w:rFonts w:hint="default"/>
                      <w:color w:val="auto"/>
                      <w:spacing w:val="-1"/>
                      <w:kern w:val="0"/>
                      <w:sz w:val="21"/>
                      <w:szCs w:val="21"/>
                      <w:vertAlign w:val="superscript"/>
                    </w:rPr>
                    <w:t>2</w:t>
                  </w:r>
                </w:p>
              </w:tc>
              <w:tc>
                <w:tcPr>
                  <w:tcW w:w="1395" w:type="dxa"/>
                  <w:tcBorders>
                    <w:tl2br w:val="nil"/>
                    <w:tr2bl w:val="nil"/>
                  </w:tcBorders>
                  <w:vAlign w:val="center"/>
                </w:tcPr>
                <w:p w14:paraId="2AB8BEF8">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1</w:t>
                  </w:r>
                  <w:r>
                    <w:rPr>
                      <w:rFonts w:hint="default"/>
                      <w:color w:val="auto"/>
                      <w:kern w:val="0"/>
                      <w:sz w:val="21"/>
                      <w:szCs w:val="21"/>
                    </w:rPr>
                    <w:t>.0</w:t>
                  </w:r>
                </w:p>
              </w:tc>
              <w:tc>
                <w:tcPr>
                  <w:tcW w:w="673" w:type="dxa"/>
                  <w:tcBorders>
                    <w:tl2br w:val="nil"/>
                    <w:tr2bl w:val="nil"/>
                  </w:tcBorders>
                  <w:vAlign w:val="center"/>
                </w:tcPr>
                <w:p w14:paraId="64270513">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23A3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D53CB6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6C82E74E">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环境风险</w:t>
                  </w:r>
                </w:p>
              </w:tc>
              <w:tc>
                <w:tcPr>
                  <w:tcW w:w="3645" w:type="dxa"/>
                  <w:tcBorders>
                    <w:tl2br w:val="nil"/>
                    <w:tr2bl w:val="nil"/>
                  </w:tcBorders>
                  <w:vAlign w:val="center"/>
                </w:tcPr>
                <w:p w14:paraId="35E94C60">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default" w:ascii="Times New Roman" w:hAnsi="Times New Roman" w:cs="Times New Roman"/>
                      <w:bCs/>
                      <w:color w:val="auto"/>
                      <w:sz w:val="21"/>
                      <w:szCs w:val="21"/>
                      <w:highlight w:val="none"/>
                    </w:rPr>
                    <w:t>危废间设置0.3m高的围堰，围堰内容积约3m</w:t>
                  </w:r>
                  <w:r>
                    <w:rPr>
                      <w:rFonts w:hint="default" w:ascii="Times New Roman" w:hAnsi="Times New Roman" w:cs="Times New Roman"/>
                      <w:bCs/>
                      <w:color w:val="auto"/>
                      <w:sz w:val="21"/>
                      <w:szCs w:val="21"/>
                      <w:highlight w:val="none"/>
                      <w:vertAlign w:val="superscript"/>
                    </w:rPr>
                    <w:t>3</w:t>
                  </w:r>
                </w:p>
              </w:tc>
              <w:tc>
                <w:tcPr>
                  <w:tcW w:w="1395" w:type="dxa"/>
                  <w:tcBorders>
                    <w:tl2br w:val="nil"/>
                    <w:tr2bl w:val="nil"/>
                  </w:tcBorders>
                  <w:vAlign w:val="center"/>
                </w:tcPr>
                <w:p w14:paraId="7074596C">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0.3</w:t>
                  </w:r>
                </w:p>
              </w:tc>
              <w:tc>
                <w:tcPr>
                  <w:tcW w:w="673" w:type="dxa"/>
                  <w:tcBorders>
                    <w:tl2br w:val="nil"/>
                    <w:tr2bl w:val="nil"/>
                  </w:tcBorders>
                  <w:vAlign w:val="center"/>
                </w:tcPr>
                <w:p w14:paraId="719926F0">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2404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3E831D0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5F3971FC">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地下水</w:t>
                  </w:r>
                </w:p>
              </w:tc>
              <w:tc>
                <w:tcPr>
                  <w:tcW w:w="3645" w:type="dxa"/>
                  <w:tcBorders>
                    <w:tl2br w:val="nil"/>
                    <w:tr2bl w:val="nil"/>
                  </w:tcBorders>
                  <w:vAlign w:val="center"/>
                </w:tcPr>
                <w:p w14:paraId="03312A5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vertAlign w:val="baseline"/>
                      <w:lang w:val="en-US" w:eastAsia="zh-CN"/>
                    </w:rPr>
                  </w:pPr>
                  <w:r>
                    <w:rPr>
                      <w:rFonts w:hint="default"/>
                      <w:color w:val="auto"/>
                      <w:kern w:val="0"/>
                      <w:sz w:val="21"/>
                      <w:szCs w:val="21"/>
                    </w:rPr>
                    <w:t>危废暂存间、</w:t>
                  </w:r>
                  <w:r>
                    <w:rPr>
                      <w:rFonts w:hint="eastAsia"/>
                      <w:color w:val="auto"/>
                      <w:kern w:val="0"/>
                      <w:sz w:val="21"/>
                      <w:szCs w:val="21"/>
                      <w:lang w:val="en-US" w:eastAsia="zh-CN"/>
                    </w:rPr>
                    <w:t>隔油</w:t>
                  </w:r>
                  <w:r>
                    <w:rPr>
                      <w:rFonts w:hint="default"/>
                      <w:color w:val="auto"/>
                      <w:kern w:val="0"/>
                      <w:sz w:val="21"/>
                      <w:szCs w:val="21"/>
                    </w:rPr>
                    <w:t>沉淀池、</w:t>
                  </w:r>
                  <w:r>
                    <w:rPr>
                      <w:rFonts w:hint="default" w:ascii="Times New Roman" w:hAnsi="Times New Roman" w:eastAsia="宋体" w:cs="Times New Roman"/>
                      <w:color w:val="auto"/>
                      <w:kern w:val="0"/>
                      <w:sz w:val="21"/>
                      <w:szCs w:val="21"/>
                    </w:rPr>
                    <w:t>一体化污水处理设施进行重点防渗处理，</w:t>
                  </w:r>
                  <w:r>
                    <w:rPr>
                      <w:rFonts w:hint="default" w:ascii="Times New Roman" w:hAnsi="Times New Roman" w:eastAsia="宋体" w:cs="Times New Roman"/>
                      <w:color w:val="auto"/>
                      <w:kern w:val="0"/>
                      <w:sz w:val="21"/>
                      <w:szCs w:val="21"/>
                      <w:lang w:val="en-US" w:eastAsia="zh-CN"/>
                    </w:rPr>
                    <w:t>等效黏土防渗层Mb≥6.0m，K≤1.0×10</w:t>
                  </w:r>
                  <w:r>
                    <w:rPr>
                      <w:rFonts w:hint="default" w:ascii="Times New Roman" w:hAnsi="Times New Roman" w:eastAsia="宋体" w:cs="Times New Roman"/>
                      <w:color w:val="auto"/>
                      <w:kern w:val="0"/>
                      <w:sz w:val="21"/>
                      <w:szCs w:val="21"/>
                      <w:vertAlign w:val="superscript"/>
                      <w:lang w:val="en-US" w:eastAsia="zh-CN"/>
                    </w:rPr>
                    <w:t>-7</w:t>
                  </w:r>
                  <w:r>
                    <w:rPr>
                      <w:rFonts w:hint="default" w:ascii="Times New Roman" w:hAnsi="Times New Roman" w:eastAsia="宋体" w:cs="Times New Roman"/>
                      <w:color w:val="auto"/>
                      <w:kern w:val="0"/>
                      <w:sz w:val="21"/>
                      <w:szCs w:val="21"/>
                      <w:lang w:val="en-US" w:eastAsia="zh-CN"/>
                    </w:rPr>
                    <w:t>cm/s；</w:t>
                  </w:r>
                </w:p>
                <w:p w14:paraId="4A45C8B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清洗车间进行一般防渗处理，等效黏土防渗层Mb≥1.5m，K≤1.0×10</w:t>
                  </w:r>
                  <w:r>
                    <w:rPr>
                      <w:rFonts w:hint="default"/>
                      <w:color w:val="auto"/>
                      <w:kern w:val="0"/>
                      <w:sz w:val="21"/>
                      <w:szCs w:val="21"/>
                      <w:vertAlign w:val="superscript"/>
                    </w:rPr>
                    <w:t>-7</w:t>
                  </w:r>
                  <w:r>
                    <w:rPr>
                      <w:rFonts w:hint="default"/>
                      <w:color w:val="auto"/>
                      <w:kern w:val="0"/>
                      <w:sz w:val="21"/>
                      <w:szCs w:val="21"/>
                    </w:rPr>
                    <w:t>cm/s；</w:t>
                  </w:r>
                </w:p>
                <w:p w14:paraId="46B0A05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办公生活区、停车场等进行硬化处理。</w:t>
                  </w:r>
                </w:p>
              </w:tc>
              <w:tc>
                <w:tcPr>
                  <w:tcW w:w="1395" w:type="dxa"/>
                  <w:tcBorders>
                    <w:tl2br w:val="nil"/>
                    <w:tr2bl w:val="nil"/>
                  </w:tcBorders>
                  <w:vAlign w:val="center"/>
                </w:tcPr>
                <w:p w14:paraId="783FC25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2.0</w:t>
                  </w:r>
                </w:p>
              </w:tc>
              <w:tc>
                <w:tcPr>
                  <w:tcW w:w="673" w:type="dxa"/>
                  <w:tcBorders>
                    <w:tl2br w:val="nil"/>
                    <w:tr2bl w:val="nil"/>
                  </w:tcBorders>
                  <w:vAlign w:val="center"/>
                </w:tcPr>
                <w:p w14:paraId="587FDCC4">
                  <w:pPr>
                    <w:keepNext w:val="0"/>
                    <w:keepLines w:val="0"/>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r>
            <w:tr w14:paraId="5987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2" w:type="dxa"/>
                  <w:gridSpan w:val="3"/>
                  <w:tcBorders>
                    <w:tl2br w:val="nil"/>
                    <w:tr2bl w:val="nil"/>
                  </w:tcBorders>
                  <w:vAlign w:val="center"/>
                </w:tcPr>
                <w:p w14:paraId="0881A00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合计</w:t>
                  </w:r>
                </w:p>
              </w:tc>
              <w:tc>
                <w:tcPr>
                  <w:tcW w:w="1395" w:type="dxa"/>
                  <w:tcBorders>
                    <w:tl2br w:val="nil"/>
                    <w:tr2bl w:val="nil"/>
                  </w:tcBorders>
                  <w:vAlign w:val="center"/>
                </w:tcPr>
                <w:p w14:paraId="19DCF593">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8.7</w:t>
                  </w:r>
                </w:p>
              </w:tc>
              <w:tc>
                <w:tcPr>
                  <w:tcW w:w="673" w:type="dxa"/>
                  <w:tcBorders>
                    <w:tl2br w:val="nil"/>
                    <w:tr2bl w:val="nil"/>
                  </w:tcBorders>
                  <w:vAlign w:val="center"/>
                </w:tcPr>
                <w:p w14:paraId="1443C7E8">
                  <w:pPr>
                    <w:keepNext w:val="0"/>
                    <w:keepLines w:val="0"/>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r>
          </w:tbl>
          <w:p w14:paraId="1EBEC4A5">
            <w:pPr>
              <w:rPr>
                <w:color w:val="auto"/>
                <w:vertAlign w:val="baseline"/>
              </w:rPr>
            </w:pPr>
          </w:p>
        </w:tc>
      </w:tr>
      <w:tr w14:paraId="02C0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6574A678">
            <w:pPr>
              <w:jc w:val="center"/>
              <w:rPr>
                <w:color w:val="auto"/>
                <w:vertAlign w:val="baseline"/>
              </w:rPr>
            </w:pPr>
            <w:r>
              <w:rPr>
                <w:rFonts w:hint="eastAsia"/>
                <w:color w:val="auto"/>
                <w:kern w:val="0"/>
              </w:rPr>
              <w:t>工艺流程和产排污环节</w:t>
            </w:r>
          </w:p>
        </w:tc>
        <w:tc>
          <w:tcPr>
            <w:tcW w:w="8069" w:type="dxa"/>
          </w:tcPr>
          <w:p w14:paraId="5769423B">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一、施工期工艺流程</w:t>
            </w:r>
          </w:p>
          <w:p w14:paraId="4799C42E">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本项目施工期</w:t>
            </w:r>
            <w:r>
              <w:rPr>
                <w:rFonts w:hint="eastAsia"/>
                <w:color w:val="auto"/>
                <w:kern w:val="0"/>
              </w:rPr>
              <w:t>主要建设</w:t>
            </w:r>
            <w:r>
              <w:rPr>
                <w:rFonts w:hint="eastAsia"/>
                <w:color w:val="auto"/>
                <w:kern w:val="0"/>
                <w:lang w:val="en-US" w:eastAsia="zh-CN"/>
              </w:rPr>
              <w:t>清洗车间及相关环保措施，因此施工期大体分三步进行：土石方开挖，基础打桩，主体建筑及配套设施建设。建设单位拟于2026年6月开工，于2026年7月完工，施工期施工流程及各阶段产污环节见下图。</w:t>
            </w:r>
          </w:p>
          <w:p w14:paraId="1CB8A7E8">
            <w:pPr>
              <w:keepNext w:val="0"/>
              <w:keepLines w:val="0"/>
              <w:suppressLineNumbers w:val="0"/>
              <w:spacing w:before="0" w:beforeAutospacing="0" w:after="0" w:afterAutospacing="0"/>
              <w:ind w:left="0" w:right="0"/>
              <w:jc w:val="center"/>
              <w:rPr>
                <w:rFonts w:hint="default"/>
                <w:color w:val="auto"/>
                <w:kern w:val="0"/>
              </w:rPr>
            </w:pPr>
            <w:r>
              <w:rPr>
                <w:color w:val="auto"/>
              </w:rPr>
              <w:drawing>
                <wp:inline distT="0" distB="0" distL="114300" distR="114300">
                  <wp:extent cx="4429125" cy="1600200"/>
                  <wp:effectExtent l="0" t="0" r="952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6"/>
                          <a:stretch>
                            <a:fillRect/>
                          </a:stretch>
                        </pic:blipFill>
                        <pic:spPr>
                          <a:xfrm>
                            <a:off x="0" y="0"/>
                            <a:ext cx="4429125" cy="1600200"/>
                          </a:xfrm>
                          <a:prstGeom prst="rect">
                            <a:avLst/>
                          </a:prstGeom>
                          <a:noFill/>
                          <a:ln>
                            <a:noFill/>
                          </a:ln>
                        </pic:spPr>
                      </pic:pic>
                    </a:graphicData>
                  </a:graphic>
                </wp:inline>
              </w:drawing>
            </w:r>
          </w:p>
          <w:p w14:paraId="6CCE1C90">
            <w:pPr>
              <w:jc w:val="center"/>
              <w:rPr>
                <w:rFonts w:hint="default"/>
                <w:b/>
                <w:color w:val="auto"/>
                <w:kern w:val="0"/>
                <w:sz w:val="21"/>
                <w:szCs w:val="21"/>
                <w:highlight w:val="none"/>
              </w:rPr>
            </w:pPr>
            <w:r>
              <w:rPr>
                <w:rFonts w:hint="default"/>
                <w:b/>
                <w:color w:val="auto"/>
                <w:kern w:val="0"/>
                <w:sz w:val="21"/>
                <w:szCs w:val="21"/>
                <w:highlight w:val="none"/>
              </w:rPr>
              <w:t>图2-3 施工期工艺流程及产污环节</w:t>
            </w:r>
          </w:p>
          <w:p w14:paraId="538B1F0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color w:val="auto"/>
                <w:kern w:val="0"/>
                <w:sz w:val="24"/>
                <w:szCs w:val="24"/>
                <w:lang w:val="en-US" w:eastAsia="zh-CN"/>
              </w:rPr>
            </w:pPr>
            <w:r>
              <w:rPr>
                <w:rFonts w:hint="eastAsia"/>
                <w:b/>
                <w:color w:val="auto"/>
                <w:kern w:val="0"/>
                <w:sz w:val="24"/>
                <w:szCs w:val="24"/>
                <w:lang w:val="en-US" w:eastAsia="zh-CN"/>
              </w:rPr>
              <w:t xml:space="preserve">二、运营期工艺流程 </w:t>
            </w:r>
          </w:p>
          <w:p w14:paraId="085A2178">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eastAsia="宋体"/>
                <w:b w:val="0"/>
                <w:bCs/>
                <w:color w:val="auto"/>
                <w:kern w:val="0"/>
                <w:sz w:val="24"/>
                <w:szCs w:val="24"/>
                <w:lang w:eastAsia="zh-CN"/>
              </w:rPr>
              <w:t>本项目</w:t>
            </w:r>
            <w:r>
              <w:rPr>
                <w:rFonts w:hint="eastAsia"/>
                <w:b w:val="0"/>
                <w:bCs/>
                <w:color w:val="auto"/>
                <w:kern w:val="0"/>
                <w:sz w:val="24"/>
                <w:szCs w:val="24"/>
                <w:lang w:val="en-US" w:eastAsia="zh-CN"/>
              </w:rPr>
              <w:t>仅对罐体内部进行清洗，不添加任何清洗剂，仅对柴油罐车进行清洗，不接收其他类别危化品车辆的清洗服务。</w:t>
            </w:r>
            <w:r>
              <w:rPr>
                <w:rFonts w:hint="eastAsia"/>
                <w:color w:val="auto"/>
                <w:lang w:val="en-US" w:eastAsia="zh-CN"/>
              </w:rPr>
              <w:t>本项目年清洗900辆柴油罐车，其中只对长期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装柴油未彻底清洗，罐内形成氧化油泥、胶质，死角/焊缝积垢严重的罐车进行蒸汽清洗，需蒸汽清洗的车辆占30%，其余70%的车辆采用高压水洗。</w:t>
            </w:r>
          </w:p>
          <w:p w14:paraId="75F75C2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val="0"/>
                <w:bCs/>
                <w:color w:val="auto"/>
                <w:kern w:val="0"/>
                <w:sz w:val="24"/>
                <w:szCs w:val="24"/>
                <w:lang w:val="en-US" w:eastAsia="zh-CN"/>
              </w:rPr>
            </w:pPr>
            <w:r>
              <w:rPr>
                <w:rFonts w:hint="eastAsia"/>
                <w:b/>
                <w:bCs w:val="0"/>
                <w:color w:val="auto"/>
                <w:kern w:val="0"/>
                <w:sz w:val="24"/>
                <w:szCs w:val="24"/>
                <w:lang w:val="en-US" w:eastAsia="zh-CN"/>
              </w:rPr>
              <w:t>高压水洗：</w:t>
            </w:r>
            <w:r>
              <w:rPr>
                <w:rFonts w:hint="eastAsia"/>
                <w:b w:val="0"/>
                <w:bCs/>
                <w:color w:val="auto"/>
                <w:kern w:val="0"/>
                <w:sz w:val="24"/>
                <w:szCs w:val="24"/>
                <w:lang w:val="en-US" w:eastAsia="zh-CN"/>
              </w:rPr>
              <w:t>对于运输单一轻质柴油，无混装，罐壁仅有薄油膜，无结块，无死角积垢的柴油罐车，采用高压水枪冲洗即可，该方式</w:t>
            </w:r>
            <w:r>
              <w:rPr>
                <w:rFonts w:hint="eastAsia"/>
                <w:b w:val="0"/>
                <w:bCs/>
                <w:color w:val="auto"/>
                <w:kern w:val="0"/>
                <w:sz w:val="24"/>
                <w:szCs w:val="24"/>
                <w:lang w:eastAsia="zh-CN"/>
              </w:rPr>
              <w:t>清洗效率高、时间短，</w:t>
            </w:r>
            <w:r>
              <w:rPr>
                <w:rFonts w:hint="eastAsia"/>
                <w:b w:val="0"/>
                <w:bCs/>
                <w:color w:val="auto"/>
                <w:kern w:val="0"/>
                <w:sz w:val="24"/>
                <w:szCs w:val="24"/>
                <w:lang w:val="en-US" w:eastAsia="zh-CN"/>
              </w:rPr>
              <w:t>不添加任何清洗剂，仅用清水进行冲洗</w:t>
            </w:r>
            <w:r>
              <w:rPr>
                <w:rFonts w:hint="eastAsia" w:eastAsia="宋体"/>
                <w:b w:val="0"/>
                <w:bCs/>
                <w:color w:val="auto"/>
                <w:kern w:val="0"/>
                <w:sz w:val="24"/>
                <w:szCs w:val="24"/>
                <w:lang w:eastAsia="zh-CN"/>
              </w:rPr>
              <w:t>。</w:t>
            </w:r>
            <w:r>
              <w:rPr>
                <w:rFonts w:hint="eastAsia"/>
                <w:b w:val="0"/>
                <w:bCs/>
                <w:color w:val="auto"/>
                <w:kern w:val="0"/>
                <w:sz w:val="24"/>
                <w:szCs w:val="24"/>
                <w:lang w:val="en-US" w:eastAsia="zh-CN"/>
              </w:rPr>
              <w:t>高压水洗</w:t>
            </w:r>
            <w:r>
              <w:rPr>
                <w:rFonts w:hint="eastAsia" w:eastAsia="宋体"/>
                <w:b w:val="0"/>
                <w:bCs/>
                <w:color w:val="auto"/>
                <w:kern w:val="0"/>
                <w:sz w:val="24"/>
                <w:szCs w:val="24"/>
                <w:lang w:eastAsia="zh-CN"/>
              </w:rPr>
              <w:t>主要是利用了</w:t>
            </w:r>
            <w:r>
              <w:rPr>
                <w:rFonts w:hint="default"/>
                <w:b w:val="0"/>
                <w:bCs/>
                <w:color w:val="auto"/>
                <w:kern w:val="0"/>
                <w:sz w:val="24"/>
                <w:szCs w:val="24"/>
              </w:rPr>
              <w:t>高压水射流实现对罐体内壁的打击、</w:t>
            </w:r>
            <w:r>
              <w:rPr>
                <w:rFonts w:hint="eastAsia"/>
                <w:b w:val="0"/>
                <w:bCs/>
                <w:color w:val="auto"/>
                <w:kern w:val="0"/>
                <w:sz w:val="24"/>
                <w:szCs w:val="24"/>
                <w:lang w:val="en-US" w:eastAsia="zh-CN"/>
              </w:rPr>
              <w:t>冲刷</w:t>
            </w:r>
            <w:r>
              <w:rPr>
                <w:rFonts w:hint="default"/>
                <w:b w:val="0"/>
                <w:bCs/>
                <w:color w:val="auto"/>
                <w:kern w:val="0"/>
                <w:sz w:val="24"/>
                <w:szCs w:val="24"/>
              </w:rPr>
              <w:t>及铲除，危险系数</w:t>
            </w:r>
            <w:r>
              <w:rPr>
                <w:rFonts w:hint="eastAsia"/>
                <w:b w:val="0"/>
                <w:bCs/>
                <w:color w:val="auto"/>
                <w:kern w:val="0"/>
                <w:sz w:val="24"/>
                <w:szCs w:val="24"/>
                <w:lang w:val="en-US" w:eastAsia="zh-CN"/>
              </w:rPr>
              <w:t>较低，以达到清洗目的。</w:t>
            </w:r>
          </w:p>
          <w:p w14:paraId="2F5D995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val="0"/>
                <w:bCs/>
                <w:color w:val="auto"/>
                <w:kern w:val="0"/>
                <w:sz w:val="24"/>
                <w:szCs w:val="24"/>
                <w:lang w:val="en-US" w:eastAsia="zh-CN"/>
              </w:rPr>
            </w:pPr>
            <w:r>
              <w:rPr>
                <w:rFonts w:hint="eastAsia"/>
                <w:b/>
                <w:bCs w:val="0"/>
                <w:color w:val="auto"/>
                <w:kern w:val="0"/>
                <w:sz w:val="24"/>
                <w:szCs w:val="24"/>
                <w:lang w:val="en-US" w:eastAsia="zh-CN"/>
              </w:rPr>
              <w:t>蒸汽清洗：</w:t>
            </w:r>
            <w:r>
              <w:rPr>
                <w:rFonts w:hint="eastAsia"/>
                <w:color w:val="auto"/>
                <w:lang w:val="en-US" w:eastAsia="zh-CN"/>
              </w:rPr>
              <w:t>对于长期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w:t>
            </w:r>
            <w:r>
              <w:rPr>
                <w:rFonts w:hint="eastAsia"/>
                <w:b w:val="0"/>
                <w:bCs/>
                <w:color w:val="auto"/>
                <w:kern w:val="0"/>
                <w:sz w:val="24"/>
                <w:szCs w:val="24"/>
                <w:lang w:val="en-US" w:eastAsia="zh-CN"/>
              </w:rPr>
              <w:t>蒸汽清洗可对罐内焊缝、边角、管道、阀门等隐蔽位置等进行清洗。蒸汽清洗是利用高温蒸汽进入罐内，通过高温溶解对罐体内壁、焊缝、边角及管路内残留的油泥等污垢进行彻底清除。</w:t>
            </w:r>
          </w:p>
          <w:p w14:paraId="4A1664F0">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drawing>
                <wp:inline distT="0" distB="0" distL="114300" distR="114300">
                  <wp:extent cx="4982845" cy="4295140"/>
                  <wp:effectExtent l="0" t="0" r="8255" b="1016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7"/>
                          <a:stretch>
                            <a:fillRect/>
                          </a:stretch>
                        </pic:blipFill>
                        <pic:spPr>
                          <a:xfrm>
                            <a:off x="0" y="0"/>
                            <a:ext cx="4982845" cy="4295140"/>
                          </a:xfrm>
                          <a:prstGeom prst="rect">
                            <a:avLst/>
                          </a:prstGeom>
                          <a:noFill/>
                          <a:ln>
                            <a:noFill/>
                          </a:ln>
                        </pic:spPr>
                      </pic:pic>
                    </a:graphicData>
                  </a:graphic>
                </wp:inline>
              </w:drawing>
            </w:r>
          </w:p>
          <w:p w14:paraId="1EE07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图2.4 罐车清洗工艺流程图</w:t>
            </w:r>
          </w:p>
          <w:p w14:paraId="072AB0C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val="0"/>
                <w:color w:val="auto"/>
                <w:kern w:val="0"/>
                <w:sz w:val="24"/>
                <w:szCs w:val="24"/>
              </w:rPr>
            </w:pPr>
            <w:r>
              <w:rPr>
                <w:rFonts w:hint="default"/>
                <w:b/>
                <w:bCs w:val="0"/>
                <w:color w:val="auto"/>
                <w:kern w:val="0"/>
                <w:sz w:val="24"/>
                <w:szCs w:val="24"/>
              </w:rPr>
              <w:t>主要工艺流程简述：</w:t>
            </w:r>
          </w:p>
          <w:p w14:paraId="36AE7BA3">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val="0"/>
                <w:color w:val="auto"/>
                <w:kern w:val="0"/>
                <w:sz w:val="24"/>
                <w:szCs w:val="24"/>
                <w:lang w:val="en-US" w:eastAsia="zh-CN"/>
              </w:rPr>
            </w:pPr>
            <w:r>
              <w:rPr>
                <w:rFonts w:hint="eastAsia"/>
                <w:b/>
                <w:bCs w:val="0"/>
                <w:color w:val="auto"/>
                <w:kern w:val="0"/>
                <w:sz w:val="24"/>
                <w:szCs w:val="24"/>
                <w:lang w:val="en-US" w:eastAsia="zh-CN"/>
              </w:rPr>
              <w:t>（1）罐车进场</w:t>
            </w:r>
          </w:p>
          <w:p w14:paraId="4E032C4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color w:val="auto"/>
                <w:kern w:val="0"/>
                <w:sz w:val="24"/>
                <w:szCs w:val="24"/>
                <w:lang w:eastAsia="zh-CN"/>
              </w:rPr>
            </w:pPr>
            <w:r>
              <w:rPr>
                <w:rFonts w:hint="default"/>
                <w:b w:val="0"/>
                <w:bCs/>
                <w:color w:val="auto"/>
                <w:kern w:val="0"/>
                <w:sz w:val="24"/>
                <w:szCs w:val="24"/>
              </w:rPr>
              <w:t>项目接纳清洗的罐车进入厂区洗车场时</w:t>
            </w:r>
            <w:r>
              <w:rPr>
                <w:rFonts w:hint="eastAsia"/>
                <w:b w:val="0"/>
                <w:bCs/>
                <w:color w:val="auto"/>
                <w:kern w:val="0"/>
                <w:sz w:val="24"/>
                <w:szCs w:val="24"/>
                <w:lang w:val="en-US" w:eastAsia="zh-CN"/>
              </w:rPr>
              <w:t>均</w:t>
            </w:r>
            <w:r>
              <w:rPr>
                <w:rFonts w:hint="default"/>
                <w:b w:val="0"/>
                <w:bCs/>
                <w:color w:val="auto"/>
                <w:kern w:val="0"/>
                <w:sz w:val="24"/>
                <w:szCs w:val="24"/>
              </w:rPr>
              <w:t>为空</w:t>
            </w:r>
            <w:r>
              <w:rPr>
                <w:rFonts w:hint="eastAsia"/>
                <w:b w:val="0"/>
                <w:bCs/>
                <w:color w:val="auto"/>
                <w:kern w:val="0"/>
                <w:sz w:val="24"/>
                <w:szCs w:val="24"/>
                <w:lang w:val="en-US" w:eastAsia="zh-CN"/>
              </w:rPr>
              <w:t>载</w:t>
            </w:r>
            <w:r>
              <w:rPr>
                <w:rFonts w:hint="eastAsia"/>
                <w:b w:val="0"/>
                <w:bCs/>
                <w:color w:val="auto"/>
                <w:kern w:val="0"/>
                <w:sz w:val="24"/>
                <w:szCs w:val="24"/>
                <w:lang w:eastAsia="zh-CN"/>
              </w:rPr>
              <w:t>。</w:t>
            </w:r>
          </w:p>
          <w:p w14:paraId="5CE8A58B">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2</w:t>
            </w:r>
            <w:r>
              <w:rPr>
                <w:rFonts w:hint="eastAsia"/>
                <w:b/>
                <w:bCs w:val="0"/>
                <w:color w:val="auto"/>
                <w:kern w:val="0"/>
                <w:sz w:val="24"/>
                <w:szCs w:val="24"/>
                <w:lang w:eastAsia="zh-CN"/>
              </w:rPr>
              <w:t>）</w:t>
            </w:r>
            <w:r>
              <w:rPr>
                <w:rFonts w:hint="eastAsia"/>
                <w:b/>
                <w:bCs w:val="0"/>
                <w:color w:val="auto"/>
                <w:kern w:val="0"/>
                <w:sz w:val="24"/>
                <w:szCs w:val="24"/>
                <w:lang w:val="en-US" w:eastAsia="zh-CN"/>
              </w:rPr>
              <w:t>登记检查</w:t>
            </w:r>
          </w:p>
          <w:p w14:paraId="51B4FF6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lang w:val="en-US" w:eastAsia="zh-CN"/>
              </w:rPr>
            </w:pPr>
            <w:r>
              <w:rPr>
                <w:rFonts w:hint="eastAsia"/>
                <w:b w:val="0"/>
                <w:bCs/>
                <w:color w:val="auto"/>
                <w:kern w:val="0"/>
                <w:sz w:val="24"/>
                <w:szCs w:val="24"/>
                <w:lang w:val="en-US" w:eastAsia="zh-CN"/>
              </w:rPr>
              <w:t>罐车进场后检查车辆危化品装载类型是否为柴油，并进行登记，不接收其他类别危化品车辆。</w:t>
            </w:r>
          </w:p>
          <w:p w14:paraId="25F7BDD7">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3</w:t>
            </w:r>
            <w:r>
              <w:rPr>
                <w:rFonts w:hint="eastAsia"/>
                <w:b/>
                <w:bCs w:val="0"/>
                <w:color w:val="auto"/>
                <w:kern w:val="0"/>
                <w:sz w:val="24"/>
                <w:szCs w:val="24"/>
                <w:lang w:eastAsia="zh-CN"/>
              </w:rPr>
              <w:t>）</w:t>
            </w:r>
            <w:r>
              <w:rPr>
                <w:rFonts w:hint="eastAsia"/>
                <w:b/>
                <w:bCs w:val="0"/>
                <w:color w:val="auto"/>
                <w:kern w:val="0"/>
                <w:sz w:val="24"/>
                <w:szCs w:val="24"/>
                <w:lang w:val="en-US" w:eastAsia="zh-CN"/>
              </w:rPr>
              <w:t>预处理</w:t>
            </w:r>
          </w:p>
          <w:p w14:paraId="12E88C5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rPr>
            </w:pPr>
            <w:r>
              <w:rPr>
                <w:rFonts w:hint="eastAsia"/>
                <w:b w:val="0"/>
                <w:bCs/>
                <w:color w:val="auto"/>
                <w:kern w:val="0"/>
                <w:sz w:val="24"/>
                <w:szCs w:val="24"/>
                <w:lang w:val="en-US" w:eastAsia="zh-CN"/>
              </w:rPr>
              <w:t>罐车</w:t>
            </w:r>
            <w:r>
              <w:rPr>
                <w:rFonts w:hint="default"/>
                <w:b w:val="0"/>
                <w:bCs/>
                <w:color w:val="auto"/>
                <w:kern w:val="0"/>
                <w:sz w:val="24"/>
                <w:szCs w:val="24"/>
              </w:rPr>
              <w:t>通过检查登记</w:t>
            </w:r>
            <w:r>
              <w:rPr>
                <w:rFonts w:hint="eastAsia"/>
                <w:b w:val="0"/>
                <w:bCs/>
                <w:color w:val="auto"/>
                <w:kern w:val="0"/>
                <w:sz w:val="24"/>
                <w:szCs w:val="24"/>
                <w:lang w:eastAsia="zh-CN"/>
              </w:rPr>
              <w:t>，</w:t>
            </w:r>
            <w:r>
              <w:rPr>
                <w:rFonts w:hint="eastAsia"/>
                <w:b w:val="0"/>
                <w:bCs/>
                <w:color w:val="auto"/>
                <w:kern w:val="0"/>
                <w:sz w:val="24"/>
                <w:szCs w:val="24"/>
                <w:lang w:val="en-US" w:eastAsia="zh-CN"/>
              </w:rPr>
              <w:t>确认危化品类型</w:t>
            </w:r>
            <w:r>
              <w:rPr>
                <w:rFonts w:hint="default"/>
                <w:b w:val="0"/>
                <w:bCs/>
                <w:color w:val="auto"/>
                <w:kern w:val="0"/>
                <w:sz w:val="24"/>
                <w:szCs w:val="24"/>
              </w:rPr>
              <w:t>后</w:t>
            </w:r>
            <w:r>
              <w:rPr>
                <w:rFonts w:hint="eastAsia"/>
                <w:b w:val="0"/>
                <w:bCs/>
                <w:color w:val="auto"/>
                <w:kern w:val="0"/>
                <w:sz w:val="24"/>
                <w:szCs w:val="24"/>
                <w:lang w:eastAsia="zh-CN"/>
              </w:rPr>
              <w:t>，打开罐底卸料口阀门，采用</w:t>
            </w:r>
            <w:r>
              <w:rPr>
                <w:rFonts w:hint="eastAsia"/>
                <w:b w:val="0"/>
                <w:bCs/>
                <w:color w:val="auto"/>
                <w:kern w:val="0"/>
                <w:sz w:val="24"/>
                <w:szCs w:val="24"/>
                <w:lang w:val="en-US" w:eastAsia="zh-CN"/>
              </w:rPr>
              <w:t>专用软</w:t>
            </w:r>
            <w:r>
              <w:rPr>
                <w:rFonts w:hint="eastAsia"/>
                <w:b w:val="0"/>
                <w:bCs/>
                <w:color w:val="auto"/>
                <w:kern w:val="0"/>
                <w:sz w:val="24"/>
                <w:szCs w:val="24"/>
                <w:lang w:eastAsia="zh-CN"/>
              </w:rPr>
              <w:t>管连接罐体卸料口，</w:t>
            </w:r>
            <w:r>
              <w:rPr>
                <w:rFonts w:hint="eastAsia"/>
                <w:b w:val="0"/>
                <w:bCs/>
                <w:color w:val="auto"/>
                <w:kern w:val="0"/>
                <w:sz w:val="24"/>
                <w:szCs w:val="24"/>
                <w:lang w:val="en-US" w:eastAsia="zh-CN"/>
              </w:rPr>
              <w:t>残余物料</w:t>
            </w:r>
            <w:r>
              <w:rPr>
                <w:rFonts w:hint="eastAsia"/>
                <w:b w:val="0"/>
                <w:bCs/>
                <w:color w:val="auto"/>
                <w:kern w:val="0"/>
                <w:sz w:val="24"/>
                <w:szCs w:val="24"/>
                <w:lang w:eastAsia="zh-CN"/>
              </w:rPr>
              <w:t>直接通过</w:t>
            </w:r>
            <w:r>
              <w:rPr>
                <w:rFonts w:hint="eastAsia"/>
                <w:b w:val="0"/>
                <w:bCs/>
                <w:color w:val="auto"/>
                <w:kern w:val="0"/>
                <w:sz w:val="24"/>
                <w:szCs w:val="24"/>
                <w:lang w:val="en-US" w:eastAsia="zh-CN"/>
              </w:rPr>
              <w:t>软</w:t>
            </w:r>
            <w:r>
              <w:rPr>
                <w:rFonts w:hint="eastAsia"/>
                <w:b w:val="0"/>
                <w:bCs/>
                <w:color w:val="auto"/>
                <w:kern w:val="0"/>
                <w:sz w:val="24"/>
                <w:szCs w:val="24"/>
                <w:lang w:eastAsia="zh-CN"/>
              </w:rPr>
              <w:t>管接入</w:t>
            </w:r>
            <w:r>
              <w:rPr>
                <w:rFonts w:hint="eastAsia"/>
                <w:b w:val="0"/>
                <w:bCs/>
                <w:color w:val="auto"/>
                <w:kern w:val="0"/>
                <w:sz w:val="24"/>
                <w:szCs w:val="24"/>
                <w:lang w:val="en-US" w:eastAsia="zh-CN"/>
              </w:rPr>
              <w:t>收集桶（加盖密封），</w:t>
            </w:r>
            <w:r>
              <w:rPr>
                <w:rFonts w:hint="eastAsia"/>
                <w:b w:val="0"/>
                <w:bCs/>
                <w:color w:val="auto"/>
                <w:kern w:val="0"/>
                <w:sz w:val="24"/>
                <w:szCs w:val="24"/>
                <w:lang w:eastAsia="zh-CN"/>
              </w:rPr>
              <w:t>无线状流出时，视为排放干净。收集的残液</w:t>
            </w:r>
            <w:r>
              <w:rPr>
                <w:rFonts w:hint="eastAsia"/>
                <w:b w:val="0"/>
                <w:bCs/>
                <w:color w:val="auto"/>
                <w:kern w:val="0"/>
                <w:sz w:val="24"/>
                <w:szCs w:val="24"/>
                <w:lang w:val="en-US" w:eastAsia="zh-CN"/>
              </w:rPr>
              <w:t>当天</w:t>
            </w:r>
            <w:r>
              <w:rPr>
                <w:rFonts w:hint="eastAsia"/>
                <w:b w:val="0"/>
                <w:bCs/>
                <w:color w:val="auto"/>
                <w:kern w:val="0"/>
                <w:sz w:val="24"/>
                <w:szCs w:val="24"/>
                <w:lang w:eastAsia="zh-CN"/>
              </w:rPr>
              <w:t>进入危废库房进行贮存，</w:t>
            </w:r>
            <w:r>
              <w:rPr>
                <w:rFonts w:hint="eastAsia"/>
                <w:b w:val="0"/>
                <w:bCs/>
                <w:color w:val="auto"/>
                <w:kern w:val="0"/>
                <w:sz w:val="24"/>
                <w:szCs w:val="24"/>
                <w:lang w:val="en-US" w:eastAsia="zh-CN"/>
              </w:rPr>
              <w:t>排空罐内残留液体后，</w:t>
            </w:r>
            <w:r>
              <w:rPr>
                <w:rFonts w:hint="default"/>
                <w:b w:val="0"/>
                <w:bCs/>
                <w:color w:val="auto"/>
                <w:kern w:val="0"/>
                <w:sz w:val="24"/>
                <w:szCs w:val="24"/>
              </w:rPr>
              <w:t>罐车进入指定清洗车位。该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为收集的残液、有机废气和</w:t>
            </w:r>
            <w:r>
              <w:rPr>
                <w:rFonts w:hint="default"/>
                <w:b w:val="0"/>
                <w:bCs/>
                <w:color w:val="auto"/>
                <w:kern w:val="0"/>
                <w:sz w:val="24"/>
                <w:szCs w:val="24"/>
              </w:rPr>
              <w:t>噪声。</w:t>
            </w:r>
          </w:p>
          <w:p w14:paraId="5FCEF51B">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4</w:t>
            </w:r>
            <w:r>
              <w:rPr>
                <w:rFonts w:hint="eastAsia"/>
                <w:b/>
                <w:bCs w:val="0"/>
                <w:color w:val="auto"/>
                <w:kern w:val="0"/>
                <w:sz w:val="24"/>
                <w:szCs w:val="24"/>
                <w:lang w:eastAsia="zh-CN"/>
              </w:rPr>
              <w:t>）</w:t>
            </w:r>
            <w:r>
              <w:rPr>
                <w:rFonts w:hint="eastAsia"/>
                <w:b/>
                <w:bCs w:val="0"/>
                <w:color w:val="auto"/>
                <w:kern w:val="0"/>
                <w:sz w:val="24"/>
                <w:szCs w:val="24"/>
                <w:lang w:val="en-US" w:eastAsia="zh-CN"/>
              </w:rPr>
              <w:t>通风降温</w:t>
            </w:r>
          </w:p>
          <w:p w14:paraId="18679D1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rPr>
            </w:pPr>
            <w:r>
              <w:rPr>
                <w:rFonts w:hint="eastAsia"/>
                <w:b w:val="0"/>
                <w:bCs/>
                <w:color w:val="auto"/>
                <w:kern w:val="0"/>
                <w:sz w:val="24"/>
                <w:szCs w:val="24"/>
                <w:lang w:val="en-US" w:eastAsia="zh-CN"/>
              </w:rPr>
              <w:t>打开人孔</w:t>
            </w:r>
            <w:r>
              <w:rPr>
                <w:rFonts w:hint="default"/>
                <w:b w:val="0"/>
                <w:bCs/>
                <w:color w:val="auto"/>
                <w:kern w:val="0"/>
                <w:sz w:val="24"/>
                <w:szCs w:val="24"/>
              </w:rPr>
              <w:t>，启动风机对罐体内进行通风</w:t>
            </w:r>
            <w:r>
              <w:rPr>
                <w:rFonts w:hint="eastAsia"/>
                <w:b w:val="0"/>
                <w:bCs/>
                <w:color w:val="auto"/>
                <w:kern w:val="0"/>
                <w:sz w:val="24"/>
                <w:szCs w:val="24"/>
                <w:lang w:eastAsia="zh-CN"/>
              </w:rPr>
              <w:t>，</w:t>
            </w:r>
            <w:r>
              <w:rPr>
                <w:rFonts w:hint="default"/>
                <w:b w:val="0"/>
                <w:bCs/>
                <w:color w:val="auto"/>
                <w:kern w:val="0"/>
                <w:sz w:val="24"/>
                <w:szCs w:val="24"/>
              </w:rPr>
              <w:t>通风时间不应少于0.5h。当罐体内部温度下降至常温，关闭风机开关。该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为挥发的有机废气和</w:t>
            </w:r>
            <w:r>
              <w:rPr>
                <w:rFonts w:hint="default"/>
                <w:b w:val="0"/>
                <w:bCs/>
                <w:color w:val="auto"/>
                <w:kern w:val="0"/>
                <w:sz w:val="24"/>
                <w:szCs w:val="24"/>
              </w:rPr>
              <w:t>噪声。</w:t>
            </w:r>
          </w:p>
          <w:p w14:paraId="00BC7532">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5</w:t>
            </w:r>
            <w:r>
              <w:rPr>
                <w:rFonts w:hint="eastAsia"/>
                <w:b/>
                <w:bCs w:val="0"/>
                <w:color w:val="auto"/>
                <w:kern w:val="0"/>
                <w:sz w:val="24"/>
                <w:szCs w:val="24"/>
                <w:lang w:eastAsia="zh-CN"/>
              </w:rPr>
              <w:t>）</w:t>
            </w:r>
            <w:r>
              <w:rPr>
                <w:rFonts w:hint="eastAsia"/>
                <w:b/>
                <w:bCs w:val="0"/>
                <w:color w:val="auto"/>
                <w:kern w:val="0"/>
                <w:sz w:val="24"/>
                <w:szCs w:val="24"/>
                <w:lang w:val="en-US" w:eastAsia="zh-CN"/>
              </w:rPr>
              <w:t>清洗</w:t>
            </w:r>
          </w:p>
          <w:p w14:paraId="2E22808E">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val="0"/>
                <w:bCs/>
                <w:color w:val="auto"/>
                <w:kern w:val="0"/>
                <w:sz w:val="24"/>
                <w:szCs w:val="24"/>
              </w:rPr>
            </w:pPr>
            <w:r>
              <w:rPr>
                <w:rFonts w:hint="eastAsia"/>
                <w:b/>
                <w:bCs w:val="0"/>
                <w:color w:val="auto"/>
                <w:kern w:val="0"/>
                <w:sz w:val="24"/>
                <w:szCs w:val="24"/>
                <w:lang w:val="en-US" w:eastAsia="zh-CN"/>
              </w:rPr>
              <w:t>高压水洗：</w:t>
            </w:r>
            <w:r>
              <w:rPr>
                <w:rFonts w:hint="eastAsia"/>
                <w:b w:val="0"/>
                <w:bCs/>
                <w:color w:val="auto"/>
                <w:kern w:val="0"/>
                <w:sz w:val="24"/>
                <w:szCs w:val="24"/>
                <w:lang w:val="en-US" w:eastAsia="zh-CN"/>
              </w:rPr>
              <w:t>对于运输单一轻质柴油，无混装，罐壁仅有薄油膜，无结块，无死角积垢的柴油罐车，采用高压水枪冲洗即可。</w:t>
            </w:r>
            <w:r>
              <w:rPr>
                <w:rFonts w:hint="default"/>
                <w:b w:val="0"/>
                <w:bCs/>
                <w:color w:val="auto"/>
                <w:kern w:val="0"/>
                <w:sz w:val="24"/>
                <w:szCs w:val="24"/>
              </w:rPr>
              <w:t>车辆进入</w:t>
            </w:r>
            <w:r>
              <w:rPr>
                <w:rFonts w:hint="eastAsia"/>
                <w:b w:val="0"/>
                <w:bCs/>
                <w:color w:val="auto"/>
                <w:kern w:val="0"/>
                <w:sz w:val="24"/>
                <w:szCs w:val="24"/>
                <w:lang w:val="en-US" w:eastAsia="zh-CN"/>
              </w:rPr>
              <w:t>高压</w:t>
            </w:r>
            <w:r>
              <w:rPr>
                <w:rFonts w:hint="default"/>
                <w:b w:val="0"/>
                <w:bCs/>
                <w:color w:val="auto"/>
                <w:kern w:val="0"/>
                <w:sz w:val="24"/>
                <w:szCs w:val="24"/>
              </w:rPr>
              <w:t>清洗车位后，</w:t>
            </w:r>
            <w:r>
              <w:rPr>
                <w:rFonts w:hint="eastAsia"/>
                <w:b w:val="0"/>
                <w:bCs/>
                <w:color w:val="auto"/>
                <w:kern w:val="0"/>
                <w:sz w:val="24"/>
                <w:szCs w:val="24"/>
                <w:lang w:val="en-US" w:eastAsia="zh-CN"/>
              </w:rPr>
              <w:t>准备好高压清洗设备，工作人员进入罐体内，</w:t>
            </w:r>
            <w:r>
              <w:rPr>
                <w:rFonts w:hint="default"/>
                <w:b w:val="0"/>
                <w:bCs/>
                <w:color w:val="auto"/>
                <w:kern w:val="0"/>
                <w:sz w:val="24"/>
                <w:szCs w:val="24"/>
              </w:rPr>
              <w:t>由人工利用高压水枪进行冲洗，通过</w:t>
            </w:r>
            <w:r>
              <w:rPr>
                <w:rFonts w:hint="eastAsia"/>
                <w:b w:val="0"/>
                <w:bCs/>
                <w:color w:val="auto"/>
                <w:kern w:val="0"/>
                <w:sz w:val="24"/>
                <w:szCs w:val="24"/>
                <w:lang w:val="en-US" w:eastAsia="zh-CN"/>
              </w:rPr>
              <w:t>高压</w:t>
            </w:r>
            <w:r>
              <w:rPr>
                <w:rFonts w:hint="default"/>
                <w:b w:val="0"/>
                <w:bCs/>
                <w:color w:val="auto"/>
                <w:kern w:val="0"/>
                <w:sz w:val="24"/>
                <w:szCs w:val="24"/>
              </w:rPr>
              <w:t>冲洗实现对罐体内壁进行冲击、冲蚀和去除</w:t>
            </w:r>
            <w:r>
              <w:rPr>
                <w:rFonts w:hint="eastAsia"/>
                <w:b w:val="0"/>
                <w:bCs/>
                <w:color w:val="auto"/>
                <w:kern w:val="0"/>
                <w:sz w:val="24"/>
                <w:szCs w:val="24"/>
                <w:lang w:eastAsia="zh-CN"/>
              </w:rPr>
              <w:t>，</w:t>
            </w:r>
            <w:r>
              <w:rPr>
                <w:rFonts w:hint="default"/>
                <w:b w:val="0"/>
                <w:bCs/>
                <w:color w:val="auto"/>
                <w:kern w:val="0"/>
                <w:sz w:val="24"/>
                <w:szCs w:val="24"/>
              </w:rPr>
              <w:t>使用高压水枪对罐</w:t>
            </w:r>
            <w:r>
              <w:rPr>
                <w:rFonts w:hint="eastAsia"/>
                <w:b w:val="0"/>
                <w:bCs/>
                <w:color w:val="auto"/>
                <w:kern w:val="0"/>
                <w:sz w:val="24"/>
                <w:szCs w:val="24"/>
                <w:lang w:val="en-US" w:eastAsia="zh-CN"/>
              </w:rPr>
              <w:t>体</w:t>
            </w:r>
            <w:r>
              <w:rPr>
                <w:rFonts w:hint="default"/>
                <w:b w:val="0"/>
                <w:bCs/>
                <w:color w:val="auto"/>
                <w:kern w:val="0"/>
                <w:sz w:val="24"/>
                <w:szCs w:val="24"/>
              </w:rPr>
              <w:t>内壁上的表层附着物进行清洗，清洗时间约</w:t>
            </w:r>
            <w:r>
              <w:rPr>
                <w:rFonts w:hint="eastAsia"/>
                <w:b w:val="0"/>
                <w:bCs/>
                <w:color w:val="auto"/>
                <w:kern w:val="0"/>
                <w:sz w:val="24"/>
                <w:szCs w:val="24"/>
                <w:lang w:val="en-US" w:eastAsia="zh-CN"/>
              </w:rPr>
              <w:t>3</w:t>
            </w:r>
            <w:r>
              <w:rPr>
                <w:rFonts w:hint="default"/>
                <w:b w:val="0"/>
                <w:bCs/>
                <w:color w:val="auto"/>
                <w:kern w:val="0"/>
                <w:sz w:val="24"/>
                <w:szCs w:val="24"/>
              </w:rPr>
              <w:t>0min。</w:t>
            </w:r>
            <w:r>
              <w:rPr>
                <w:rFonts w:hint="eastAsia"/>
                <w:b w:val="0"/>
                <w:bCs/>
                <w:color w:val="auto"/>
                <w:kern w:val="0"/>
                <w:sz w:val="24"/>
                <w:szCs w:val="24"/>
                <w:lang w:val="en-US" w:eastAsia="zh-CN"/>
              </w:rPr>
              <w:t>罐体底部的卸料阀门直接与排污管相连，打开罐体底部的卸料阀门，清洗废水通过排污管排至隔油沉淀池后进入一体化污水处理设施。本项目在常温下</w:t>
            </w:r>
            <w:r>
              <w:rPr>
                <w:rFonts w:hint="eastAsia" w:eastAsia="宋体"/>
                <w:b w:val="0"/>
                <w:bCs/>
                <w:color w:val="auto"/>
                <w:kern w:val="0"/>
                <w:sz w:val="24"/>
                <w:szCs w:val="24"/>
                <w:lang w:eastAsia="zh-CN"/>
              </w:rPr>
              <w:t>采用</w:t>
            </w:r>
            <w:r>
              <w:rPr>
                <w:rFonts w:hint="eastAsia"/>
                <w:b w:val="0"/>
                <w:bCs/>
                <w:color w:val="auto"/>
                <w:kern w:val="0"/>
                <w:sz w:val="24"/>
                <w:szCs w:val="24"/>
                <w:lang w:val="en-US" w:eastAsia="zh-CN"/>
              </w:rPr>
              <w:t>高压水洗</w:t>
            </w:r>
            <w:r>
              <w:rPr>
                <w:rFonts w:hint="eastAsia" w:eastAsia="宋体"/>
                <w:b w:val="0"/>
                <w:bCs/>
                <w:color w:val="auto"/>
                <w:kern w:val="0"/>
                <w:sz w:val="24"/>
                <w:szCs w:val="24"/>
                <w:lang w:eastAsia="zh-CN"/>
              </w:rPr>
              <w:t>方式</w:t>
            </w:r>
            <w:r>
              <w:rPr>
                <w:rFonts w:hint="eastAsia"/>
                <w:b w:val="0"/>
                <w:bCs/>
                <w:color w:val="auto"/>
                <w:kern w:val="0"/>
                <w:sz w:val="24"/>
                <w:szCs w:val="24"/>
                <w:lang w:val="en-US" w:eastAsia="zh-CN"/>
              </w:rPr>
              <w:t>进行，无挥发性有机废气产生。</w:t>
            </w:r>
            <w:r>
              <w:rPr>
                <w:rFonts w:hint="default"/>
                <w:b w:val="0"/>
                <w:bCs/>
                <w:color w:val="auto"/>
                <w:kern w:val="0"/>
                <w:sz w:val="24"/>
                <w:szCs w:val="24"/>
              </w:rPr>
              <w:t>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为清洗废水、</w:t>
            </w:r>
            <w:r>
              <w:rPr>
                <w:rFonts w:hint="default"/>
                <w:b w:val="0"/>
                <w:bCs/>
                <w:color w:val="auto"/>
                <w:kern w:val="0"/>
                <w:sz w:val="24"/>
                <w:szCs w:val="24"/>
              </w:rPr>
              <w:t>噪声。</w:t>
            </w:r>
          </w:p>
          <w:p w14:paraId="0AF6647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val="0"/>
                <w:bCs/>
                <w:color w:val="auto"/>
                <w:kern w:val="0"/>
                <w:sz w:val="24"/>
                <w:szCs w:val="24"/>
              </w:rPr>
            </w:pPr>
            <w:r>
              <w:rPr>
                <w:rFonts w:hint="eastAsia"/>
                <w:b/>
                <w:bCs/>
                <w:color w:val="auto"/>
                <w:lang w:val="en-US" w:eastAsia="zh-CN"/>
              </w:rPr>
              <w:t>蒸汽清洗：</w:t>
            </w:r>
            <w:r>
              <w:rPr>
                <w:rFonts w:hint="eastAsia"/>
                <w:color w:val="auto"/>
                <w:lang w:val="en-US" w:eastAsia="zh-CN"/>
              </w:rPr>
              <w:t>对于长期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w:t>
            </w:r>
            <w:r>
              <w:rPr>
                <w:rFonts w:hint="default"/>
                <w:b w:val="0"/>
                <w:bCs/>
                <w:color w:val="auto"/>
                <w:kern w:val="0"/>
                <w:sz w:val="24"/>
                <w:szCs w:val="24"/>
              </w:rPr>
              <w:t>车辆进入</w:t>
            </w:r>
            <w:r>
              <w:rPr>
                <w:rFonts w:hint="eastAsia"/>
                <w:b w:val="0"/>
                <w:bCs/>
                <w:color w:val="auto"/>
                <w:kern w:val="0"/>
                <w:sz w:val="24"/>
                <w:szCs w:val="24"/>
                <w:lang w:val="en-US" w:eastAsia="zh-CN"/>
              </w:rPr>
              <w:t>蒸汽</w:t>
            </w:r>
            <w:r>
              <w:rPr>
                <w:rFonts w:hint="default"/>
                <w:b w:val="0"/>
                <w:bCs/>
                <w:color w:val="auto"/>
                <w:kern w:val="0"/>
                <w:sz w:val="24"/>
                <w:szCs w:val="24"/>
              </w:rPr>
              <w:t>清洗车位后</w:t>
            </w:r>
            <w:r>
              <w:rPr>
                <w:rFonts w:hint="eastAsia"/>
                <w:b w:val="0"/>
                <w:bCs/>
                <w:color w:val="auto"/>
                <w:kern w:val="0"/>
                <w:sz w:val="24"/>
                <w:szCs w:val="24"/>
                <w:lang w:eastAsia="zh-CN"/>
              </w:rPr>
              <w:t>，</w:t>
            </w:r>
            <w:r>
              <w:rPr>
                <w:rFonts w:hint="eastAsia" w:ascii="宋体" w:hAnsi="宋体" w:eastAsia="宋体" w:cs="宋体"/>
                <w:color w:val="auto"/>
                <w:kern w:val="0"/>
                <w:sz w:val="24"/>
                <w:szCs w:val="24"/>
                <w:lang w:val="en-US" w:eastAsia="zh-CN" w:bidi="ar"/>
              </w:rPr>
              <w:t>在进气口接入蒸汽软管和出水口接入污水排放专用管。接</w:t>
            </w:r>
            <w:r>
              <w:rPr>
                <w:rFonts w:hint="default" w:ascii="Times New Roman" w:hAnsi="Times New Roman" w:eastAsia="宋体" w:cs="Times New Roman"/>
                <w:color w:val="auto"/>
                <w:kern w:val="0"/>
                <w:sz w:val="24"/>
                <w:szCs w:val="24"/>
                <w:lang w:val="en-US" w:eastAsia="zh-CN" w:bidi="ar"/>
              </w:rPr>
              <w:t>管完毕后开启进气口阀门，利用电锅炉提供的</w:t>
            </w:r>
            <w:r>
              <w:rPr>
                <w:rFonts w:hint="eastAsia" w:cs="Times New Roman"/>
                <w:color w:val="auto"/>
                <w:kern w:val="0"/>
                <w:sz w:val="24"/>
                <w:szCs w:val="24"/>
                <w:lang w:val="en-US" w:eastAsia="zh-CN" w:bidi="ar"/>
              </w:rPr>
              <w:t>蒸</w:t>
            </w:r>
            <w:r>
              <w:rPr>
                <w:rFonts w:hint="default" w:ascii="Times New Roman" w:hAnsi="Times New Roman" w:eastAsia="宋体" w:cs="Times New Roman"/>
                <w:color w:val="auto"/>
                <w:kern w:val="0"/>
                <w:sz w:val="24"/>
                <w:szCs w:val="24"/>
                <w:lang w:val="en-US" w:eastAsia="zh-CN" w:bidi="ar"/>
              </w:rPr>
              <w:t>气对车辆罐体进行蒸汽清洗，每辆罐车清洗时间约为40min，温度为65℃~70℃，蒸汽压力控制在0.25MPa左右，保证罐内压力略高于罐外大气压。</w:t>
            </w:r>
            <w:r>
              <w:rPr>
                <w:rFonts w:hint="default" w:ascii="Times New Roman" w:hAnsi="Times New Roman" w:cs="Times New Roman"/>
                <w:color w:val="auto"/>
                <w:lang w:val="en-US" w:eastAsia="zh-CN"/>
              </w:rPr>
              <w:t>蒸气清洗冷凝废水通过排污管排至隔油沉淀池处理，未冷凝蒸汽呈无组织排放。</w:t>
            </w:r>
            <w:r>
              <w:rPr>
                <w:rFonts w:hint="default" w:ascii="Times New Roman" w:hAnsi="Times New Roman" w:cs="Times New Roman"/>
                <w:b w:val="0"/>
                <w:bCs/>
                <w:color w:val="auto"/>
                <w:kern w:val="0"/>
                <w:sz w:val="24"/>
                <w:szCs w:val="24"/>
              </w:rPr>
              <w:t>该</w:t>
            </w:r>
            <w:r>
              <w:rPr>
                <w:rFonts w:hint="default" w:ascii="Times New Roman" w:hAnsi="Times New Roman" w:cs="Times New Roman"/>
                <w:b w:val="0"/>
                <w:bCs/>
                <w:color w:val="auto"/>
                <w:kern w:val="0"/>
                <w:sz w:val="24"/>
                <w:szCs w:val="24"/>
                <w:lang w:val="en-US" w:eastAsia="zh-CN"/>
              </w:rPr>
              <w:t>过程产生的污染物</w:t>
            </w:r>
            <w:r>
              <w:rPr>
                <w:rFonts w:hint="default" w:ascii="Times New Roman" w:hAnsi="Times New Roman" w:cs="Times New Roman"/>
                <w:b w:val="0"/>
                <w:bCs/>
                <w:color w:val="auto"/>
                <w:kern w:val="0"/>
                <w:sz w:val="24"/>
                <w:szCs w:val="24"/>
              </w:rPr>
              <w:t>主要</w:t>
            </w:r>
            <w:r>
              <w:rPr>
                <w:rFonts w:hint="default" w:ascii="Times New Roman" w:hAnsi="Times New Roman" w:cs="Times New Roman"/>
                <w:b w:val="0"/>
                <w:bCs/>
                <w:color w:val="auto"/>
                <w:kern w:val="0"/>
                <w:sz w:val="24"/>
                <w:szCs w:val="24"/>
                <w:lang w:val="en-US" w:eastAsia="zh-CN"/>
              </w:rPr>
              <w:t>为清洗废水、</w:t>
            </w:r>
            <w:r>
              <w:rPr>
                <w:rFonts w:hint="eastAsia"/>
                <w:b w:val="0"/>
                <w:bCs/>
                <w:color w:val="auto"/>
                <w:kern w:val="0"/>
                <w:sz w:val="24"/>
                <w:szCs w:val="24"/>
                <w:lang w:val="en-US" w:eastAsia="zh-CN"/>
              </w:rPr>
              <w:t>无组织废气、</w:t>
            </w:r>
            <w:r>
              <w:rPr>
                <w:rFonts w:hint="default"/>
                <w:b w:val="0"/>
                <w:bCs/>
                <w:color w:val="auto"/>
                <w:kern w:val="0"/>
                <w:sz w:val="24"/>
                <w:szCs w:val="24"/>
              </w:rPr>
              <w:t>噪声。</w:t>
            </w:r>
          </w:p>
          <w:p w14:paraId="326E49C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6</w:t>
            </w:r>
            <w:r>
              <w:rPr>
                <w:rFonts w:hint="eastAsia"/>
                <w:b/>
                <w:bCs w:val="0"/>
                <w:color w:val="auto"/>
                <w:kern w:val="0"/>
                <w:sz w:val="24"/>
                <w:szCs w:val="24"/>
                <w:lang w:eastAsia="zh-CN"/>
              </w:rPr>
              <w:t>）</w:t>
            </w:r>
            <w:r>
              <w:rPr>
                <w:rFonts w:hint="eastAsia"/>
                <w:b/>
                <w:bCs w:val="0"/>
                <w:color w:val="auto"/>
                <w:kern w:val="0"/>
                <w:sz w:val="24"/>
                <w:szCs w:val="24"/>
                <w:lang w:val="en-US" w:eastAsia="zh-CN"/>
              </w:rPr>
              <w:t>干燥</w:t>
            </w:r>
          </w:p>
          <w:p w14:paraId="19F9E81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b w:val="0"/>
                <w:bCs/>
                <w:color w:val="auto"/>
                <w:kern w:val="0"/>
                <w:sz w:val="24"/>
                <w:szCs w:val="24"/>
                <w:lang w:eastAsia="zh-CN"/>
              </w:rPr>
            </w:pPr>
            <w:r>
              <w:rPr>
                <w:rFonts w:hint="default"/>
                <w:b w:val="0"/>
                <w:bCs/>
                <w:color w:val="auto"/>
                <w:kern w:val="0"/>
                <w:sz w:val="24"/>
                <w:szCs w:val="24"/>
              </w:rPr>
              <w:t>开启</w:t>
            </w:r>
            <w:r>
              <w:rPr>
                <w:rFonts w:hint="eastAsia"/>
                <w:b w:val="0"/>
                <w:bCs/>
                <w:color w:val="auto"/>
                <w:kern w:val="0"/>
                <w:sz w:val="24"/>
                <w:szCs w:val="24"/>
                <w:lang w:val="en-US" w:eastAsia="zh-CN"/>
              </w:rPr>
              <w:t>风机</w:t>
            </w:r>
            <w:r>
              <w:rPr>
                <w:rFonts w:hint="default"/>
                <w:b w:val="0"/>
                <w:bCs/>
                <w:color w:val="auto"/>
                <w:kern w:val="0"/>
                <w:sz w:val="24"/>
                <w:szCs w:val="24"/>
              </w:rPr>
              <w:t>从人孔向罐体内通风进行干燥，干燥时间不少于30min</w:t>
            </w:r>
            <w:r>
              <w:rPr>
                <w:rFonts w:hint="eastAsia"/>
                <w:b w:val="0"/>
                <w:bCs/>
                <w:color w:val="auto"/>
                <w:kern w:val="0"/>
                <w:sz w:val="24"/>
                <w:szCs w:val="24"/>
                <w:lang w:eastAsia="zh-CN"/>
              </w:rPr>
              <w:t>。</w:t>
            </w:r>
            <w:r>
              <w:rPr>
                <w:rFonts w:hint="eastAsia"/>
                <w:b w:val="0"/>
                <w:bCs/>
                <w:color w:val="auto"/>
                <w:kern w:val="0"/>
                <w:sz w:val="24"/>
                <w:szCs w:val="24"/>
                <w:lang w:val="en-US" w:eastAsia="zh-CN"/>
              </w:rPr>
              <w:t>干燥完成后</w:t>
            </w:r>
            <w:r>
              <w:rPr>
                <w:rFonts w:hint="default"/>
                <w:b w:val="0"/>
                <w:bCs/>
                <w:color w:val="auto"/>
                <w:kern w:val="0"/>
                <w:sz w:val="24"/>
                <w:szCs w:val="24"/>
              </w:rPr>
              <w:t>作业人员进入罐内，对罐内检查，要求罐体底部、缝隙等地方无积水，如有积水应使用干棉布擦拭干净。擦拭完成后，人员出罐，关闭风机开关，将人孔关闭</w:t>
            </w:r>
            <w:r>
              <w:rPr>
                <w:rFonts w:hint="eastAsia"/>
                <w:b w:val="0"/>
                <w:bCs/>
                <w:color w:val="auto"/>
                <w:kern w:val="0"/>
                <w:sz w:val="24"/>
                <w:szCs w:val="24"/>
                <w:lang w:eastAsia="zh-CN"/>
              </w:rPr>
              <w:t>，</w:t>
            </w:r>
            <w:r>
              <w:rPr>
                <w:rFonts w:hint="default"/>
                <w:b w:val="0"/>
                <w:bCs/>
                <w:color w:val="auto"/>
                <w:kern w:val="0"/>
                <w:sz w:val="24"/>
                <w:szCs w:val="24"/>
              </w:rPr>
              <w:t>罐底</w:t>
            </w:r>
            <w:r>
              <w:rPr>
                <w:rFonts w:hint="eastAsia"/>
                <w:b w:val="0"/>
                <w:bCs/>
                <w:color w:val="auto"/>
                <w:kern w:val="0"/>
                <w:sz w:val="24"/>
                <w:szCs w:val="24"/>
                <w:lang w:val="en-US" w:eastAsia="zh-CN"/>
              </w:rPr>
              <w:t>阀门</w:t>
            </w:r>
            <w:r>
              <w:rPr>
                <w:rFonts w:hint="default"/>
                <w:b w:val="0"/>
                <w:bCs/>
                <w:color w:val="auto"/>
                <w:kern w:val="0"/>
                <w:sz w:val="24"/>
                <w:szCs w:val="24"/>
              </w:rPr>
              <w:t>紧固完成</w:t>
            </w:r>
            <w:r>
              <w:rPr>
                <w:rFonts w:hint="eastAsia"/>
                <w:b w:val="0"/>
                <w:bCs/>
                <w:color w:val="auto"/>
                <w:kern w:val="0"/>
                <w:sz w:val="24"/>
                <w:szCs w:val="24"/>
                <w:lang w:eastAsia="zh-CN"/>
              </w:rPr>
              <w:t>。</w:t>
            </w:r>
          </w:p>
          <w:p w14:paraId="0A28AE8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highlight w:val="none"/>
                <w:lang w:val="en-US" w:eastAsia="zh-CN"/>
              </w:rPr>
            </w:pPr>
            <w:r>
              <w:rPr>
                <w:rFonts w:hint="eastAsia"/>
                <w:b/>
                <w:bCs w:val="0"/>
                <w:color w:val="auto"/>
                <w:kern w:val="0"/>
                <w:sz w:val="24"/>
                <w:szCs w:val="24"/>
                <w:highlight w:val="none"/>
                <w:lang w:eastAsia="zh-CN"/>
              </w:rPr>
              <w:t>（</w:t>
            </w:r>
            <w:r>
              <w:rPr>
                <w:rFonts w:hint="eastAsia"/>
                <w:b/>
                <w:bCs w:val="0"/>
                <w:color w:val="auto"/>
                <w:kern w:val="0"/>
                <w:sz w:val="24"/>
                <w:szCs w:val="24"/>
                <w:highlight w:val="none"/>
                <w:lang w:val="en-US" w:eastAsia="zh-CN"/>
              </w:rPr>
              <w:t>7</w:t>
            </w:r>
            <w:r>
              <w:rPr>
                <w:rFonts w:hint="eastAsia"/>
                <w:b/>
                <w:bCs w:val="0"/>
                <w:color w:val="auto"/>
                <w:kern w:val="0"/>
                <w:sz w:val="24"/>
                <w:szCs w:val="24"/>
                <w:highlight w:val="none"/>
                <w:lang w:eastAsia="zh-CN"/>
              </w:rPr>
              <w:t>）</w:t>
            </w:r>
            <w:r>
              <w:rPr>
                <w:rFonts w:hint="eastAsia"/>
                <w:b/>
                <w:bCs w:val="0"/>
                <w:color w:val="auto"/>
                <w:kern w:val="0"/>
                <w:sz w:val="24"/>
                <w:szCs w:val="24"/>
                <w:highlight w:val="none"/>
                <w:lang w:val="en-US" w:eastAsia="zh-CN"/>
              </w:rPr>
              <w:t>罐车离场</w:t>
            </w:r>
          </w:p>
          <w:p w14:paraId="7D5CA0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b w:val="0"/>
                <w:bCs/>
                <w:color w:val="auto"/>
                <w:kern w:val="0"/>
                <w:sz w:val="24"/>
                <w:szCs w:val="24"/>
                <w:highlight w:val="none"/>
                <w:lang w:val="en-US" w:eastAsia="zh-CN"/>
              </w:rPr>
            </w:pPr>
            <w:r>
              <w:rPr>
                <w:rFonts w:hint="eastAsia"/>
                <w:b w:val="0"/>
                <w:bCs/>
                <w:color w:val="auto"/>
                <w:kern w:val="0"/>
                <w:sz w:val="24"/>
                <w:szCs w:val="24"/>
                <w:highlight w:val="none"/>
                <w:lang w:val="en-US" w:eastAsia="zh-CN"/>
              </w:rPr>
              <w:t>罐车清洗完成后离场。</w:t>
            </w:r>
          </w:p>
          <w:p w14:paraId="50FCA424">
            <w:pPr>
              <w:ind w:firstLine="482" w:firstLineChars="200"/>
              <w:rPr>
                <w:b/>
                <w:color w:val="auto"/>
                <w:kern w:val="0"/>
              </w:rPr>
            </w:pPr>
            <w:r>
              <w:rPr>
                <w:rFonts w:hint="eastAsia"/>
                <w:b/>
                <w:color w:val="auto"/>
                <w:kern w:val="0"/>
              </w:rPr>
              <w:t>三、产污环节分析</w:t>
            </w:r>
          </w:p>
          <w:p w14:paraId="337E7978">
            <w:pPr>
              <w:ind w:firstLine="480" w:firstLineChars="200"/>
              <w:rPr>
                <w:color w:val="auto"/>
                <w:kern w:val="0"/>
              </w:rPr>
            </w:pPr>
            <w:r>
              <w:rPr>
                <w:rFonts w:hint="eastAsia" w:ascii="宋体" w:hAnsi="宋体"/>
                <w:color w:val="auto"/>
                <w:kern w:val="0"/>
              </w:rPr>
              <w:t>本项目产污环节见下表。</w:t>
            </w:r>
          </w:p>
          <w:p w14:paraId="078F8C81">
            <w:pPr>
              <w:jc w:val="center"/>
              <w:rPr>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 xml:space="preserve">2-7  </w:t>
            </w:r>
            <w:r>
              <w:rPr>
                <w:rFonts w:hint="eastAsia" w:ascii="宋体" w:hAnsi="宋体"/>
                <w:b/>
                <w:color w:val="auto"/>
                <w:kern w:val="0"/>
                <w:sz w:val="21"/>
                <w:szCs w:val="21"/>
              </w:rPr>
              <w:t>产污环节分析一览表</w:t>
            </w:r>
          </w:p>
          <w:tbl>
            <w:tblPr>
              <w:tblStyle w:val="30"/>
              <w:tblW w:w="7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808"/>
              <w:gridCol w:w="2663"/>
              <w:gridCol w:w="1954"/>
              <w:gridCol w:w="1725"/>
            </w:tblGrid>
            <w:tr w14:paraId="2118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A7BDCE0">
                  <w:pPr>
                    <w:spacing w:line="240" w:lineRule="auto"/>
                    <w:contextualSpacing/>
                    <w:jc w:val="center"/>
                    <w:rPr>
                      <w:b/>
                      <w:color w:val="auto"/>
                      <w:sz w:val="21"/>
                      <w:szCs w:val="21"/>
                    </w:rPr>
                  </w:pPr>
                  <w:r>
                    <w:rPr>
                      <w:rFonts w:ascii="宋体" w:hAnsi="宋体"/>
                      <w:b/>
                      <w:color w:val="auto"/>
                      <w:kern w:val="0"/>
                      <w:sz w:val="21"/>
                      <w:szCs w:val="21"/>
                    </w:rPr>
                    <w:t>序号</w:t>
                  </w:r>
                </w:p>
              </w:tc>
              <w:tc>
                <w:tcPr>
                  <w:tcW w:w="808" w:type="dxa"/>
                  <w:tcBorders>
                    <w:top w:val="single" w:color="auto" w:sz="4" w:space="0"/>
                    <w:left w:val="single" w:color="auto" w:sz="4" w:space="0"/>
                    <w:bottom w:val="single" w:color="auto" w:sz="4" w:space="0"/>
                    <w:right w:val="single" w:color="auto" w:sz="4" w:space="0"/>
                  </w:tcBorders>
                  <w:vAlign w:val="center"/>
                </w:tcPr>
                <w:p w14:paraId="72031753">
                  <w:pPr>
                    <w:spacing w:line="240" w:lineRule="auto"/>
                    <w:contextualSpacing/>
                    <w:jc w:val="center"/>
                    <w:rPr>
                      <w:b/>
                      <w:color w:val="auto"/>
                      <w:sz w:val="21"/>
                      <w:szCs w:val="21"/>
                    </w:rPr>
                  </w:pPr>
                  <w:r>
                    <w:rPr>
                      <w:rFonts w:ascii="宋体" w:hAnsi="宋体"/>
                      <w:b/>
                      <w:color w:val="auto"/>
                      <w:kern w:val="0"/>
                      <w:sz w:val="21"/>
                      <w:szCs w:val="21"/>
                    </w:rPr>
                    <w:t>类别</w:t>
                  </w:r>
                </w:p>
              </w:tc>
              <w:tc>
                <w:tcPr>
                  <w:tcW w:w="2663" w:type="dxa"/>
                  <w:tcBorders>
                    <w:top w:val="single" w:color="auto" w:sz="4" w:space="0"/>
                    <w:left w:val="single" w:color="auto" w:sz="4" w:space="0"/>
                    <w:bottom w:val="single" w:color="auto" w:sz="4" w:space="0"/>
                    <w:right w:val="single" w:color="auto" w:sz="4" w:space="0"/>
                  </w:tcBorders>
                  <w:vAlign w:val="center"/>
                </w:tcPr>
                <w:p w14:paraId="108BF78E">
                  <w:pPr>
                    <w:spacing w:line="240" w:lineRule="auto"/>
                    <w:contextualSpacing/>
                    <w:jc w:val="center"/>
                    <w:rPr>
                      <w:b/>
                      <w:color w:val="auto"/>
                      <w:sz w:val="21"/>
                      <w:szCs w:val="21"/>
                    </w:rPr>
                  </w:pPr>
                  <w:r>
                    <w:rPr>
                      <w:rFonts w:ascii="宋体" w:hAnsi="宋体"/>
                      <w:b/>
                      <w:color w:val="auto"/>
                      <w:kern w:val="0"/>
                      <w:sz w:val="21"/>
                      <w:szCs w:val="21"/>
                    </w:rPr>
                    <w:t>污染源</w:t>
                  </w:r>
                </w:p>
              </w:tc>
              <w:tc>
                <w:tcPr>
                  <w:tcW w:w="1954" w:type="dxa"/>
                  <w:tcBorders>
                    <w:top w:val="single" w:color="auto" w:sz="4" w:space="0"/>
                    <w:left w:val="single" w:color="auto" w:sz="4" w:space="0"/>
                    <w:bottom w:val="single" w:color="auto" w:sz="4" w:space="0"/>
                    <w:right w:val="single" w:color="auto" w:sz="4" w:space="0"/>
                  </w:tcBorders>
                  <w:vAlign w:val="center"/>
                </w:tcPr>
                <w:p w14:paraId="31E89BA4">
                  <w:pPr>
                    <w:spacing w:line="240" w:lineRule="auto"/>
                    <w:contextualSpacing/>
                    <w:jc w:val="center"/>
                    <w:rPr>
                      <w:b/>
                      <w:color w:val="auto"/>
                      <w:sz w:val="21"/>
                      <w:szCs w:val="21"/>
                    </w:rPr>
                  </w:pPr>
                  <w:r>
                    <w:rPr>
                      <w:rFonts w:ascii="宋体" w:hAnsi="宋体"/>
                      <w:b/>
                      <w:color w:val="auto"/>
                      <w:kern w:val="0"/>
                      <w:sz w:val="21"/>
                      <w:szCs w:val="21"/>
                    </w:rPr>
                    <w:t>污染物</w:t>
                  </w:r>
                </w:p>
              </w:tc>
              <w:tc>
                <w:tcPr>
                  <w:tcW w:w="1725" w:type="dxa"/>
                  <w:tcBorders>
                    <w:top w:val="single" w:color="auto" w:sz="4" w:space="0"/>
                    <w:left w:val="single" w:color="auto" w:sz="4" w:space="0"/>
                    <w:bottom w:val="single" w:color="auto" w:sz="4" w:space="0"/>
                    <w:right w:val="single" w:color="auto" w:sz="4" w:space="0"/>
                  </w:tcBorders>
                  <w:vAlign w:val="center"/>
                </w:tcPr>
                <w:p w14:paraId="08C4962C">
                  <w:pPr>
                    <w:spacing w:line="240" w:lineRule="auto"/>
                    <w:contextualSpacing/>
                    <w:jc w:val="center"/>
                    <w:rPr>
                      <w:b/>
                      <w:color w:val="auto"/>
                      <w:sz w:val="21"/>
                      <w:szCs w:val="21"/>
                    </w:rPr>
                  </w:pPr>
                  <w:r>
                    <w:rPr>
                      <w:rFonts w:ascii="宋体" w:hAnsi="宋体"/>
                      <w:b/>
                      <w:color w:val="auto"/>
                      <w:kern w:val="0"/>
                      <w:sz w:val="21"/>
                      <w:szCs w:val="21"/>
                    </w:rPr>
                    <w:t>污染因子</w:t>
                  </w:r>
                </w:p>
              </w:tc>
            </w:tr>
            <w:tr w14:paraId="2A1E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0C99BCA">
                  <w:pPr>
                    <w:spacing w:line="240" w:lineRule="auto"/>
                    <w:contextualSpacing/>
                    <w:jc w:val="center"/>
                    <w:rPr>
                      <w:color w:val="auto"/>
                      <w:sz w:val="21"/>
                      <w:szCs w:val="21"/>
                    </w:rPr>
                  </w:pPr>
                  <w:r>
                    <w:rPr>
                      <w:rFonts w:hint="eastAsia"/>
                      <w:color w:val="auto"/>
                      <w:kern w:val="0"/>
                      <w:sz w:val="21"/>
                      <w:szCs w:val="21"/>
                    </w:rPr>
                    <w:t>1</w:t>
                  </w:r>
                </w:p>
              </w:tc>
              <w:tc>
                <w:tcPr>
                  <w:tcW w:w="808" w:type="dxa"/>
                  <w:tcBorders>
                    <w:top w:val="single" w:color="auto" w:sz="4" w:space="0"/>
                    <w:left w:val="single" w:color="auto" w:sz="4" w:space="0"/>
                    <w:bottom w:val="single" w:color="auto" w:sz="4" w:space="0"/>
                    <w:right w:val="single" w:color="auto" w:sz="4" w:space="0"/>
                  </w:tcBorders>
                  <w:vAlign w:val="center"/>
                </w:tcPr>
                <w:p w14:paraId="662D616D">
                  <w:pPr>
                    <w:spacing w:line="240" w:lineRule="auto"/>
                    <w:contextualSpacing/>
                    <w:jc w:val="center"/>
                    <w:rPr>
                      <w:color w:val="auto"/>
                      <w:sz w:val="21"/>
                      <w:szCs w:val="21"/>
                    </w:rPr>
                  </w:pPr>
                  <w:r>
                    <w:rPr>
                      <w:rFonts w:ascii="宋体" w:hAnsi="宋体"/>
                      <w:color w:val="auto"/>
                      <w:kern w:val="0"/>
                      <w:sz w:val="21"/>
                      <w:szCs w:val="21"/>
                    </w:rPr>
                    <w:t>废气</w:t>
                  </w:r>
                </w:p>
              </w:tc>
              <w:tc>
                <w:tcPr>
                  <w:tcW w:w="2663" w:type="dxa"/>
                  <w:tcBorders>
                    <w:top w:val="single" w:color="auto" w:sz="4" w:space="0"/>
                    <w:left w:val="single" w:color="auto" w:sz="4" w:space="0"/>
                    <w:bottom w:val="single" w:color="auto" w:sz="4" w:space="0"/>
                    <w:right w:val="single" w:color="auto" w:sz="4" w:space="0"/>
                  </w:tcBorders>
                  <w:vAlign w:val="center"/>
                </w:tcPr>
                <w:p w14:paraId="732067F3">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抽排残液、通风、蒸汽清洗</w:t>
                  </w:r>
                </w:p>
              </w:tc>
              <w:tc>
                <w:tcPr>
                  <w:tcW w:w="1954" w:type="dxa"/>
                  <w:tcBorders>
                    <w:top w:val="single" w:color="auto" w:sz="4" w:space="0"/>
                    <w:left w:val="single" w:color="auto" w:sz="4" w:space="0"/>
                    <w:bottom w:val="single" w:color="auto" w:sz="4" w:space="0"/>
                    <w:right w:val="single" w:color="auto" w:sz="4" w:space="0"/>
                  </w:tcBorders>
                  <w:vAlign w:val="center"/>
                </w:tcPr>
                <w:p w14:paraId="6473B454">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挥发性气体</w:t>
                  </w:r>
                </w:p>
              </w:tc>
              <w:tc>
                <w:tcPr>
                  <w:tcW w:w="1725" w:type="dxa"/>
                  <w:tcBorders>
                    <w:top w:val="single" w:color="auto" w:sz="4" w:space="0"/>
                    <w:left w:val="single" w:color="auto" w:sz="4" w:space="0"/>
                    <w:bottom w:val="single" w:color="auto" w:sz="4" w:space="0"/>
                    <w:right w:val="single" w:color="auto" w:sz="4" w:space="0"/>
                  </w:tcBorders>
                  <w:vAlign w:val="center"/>
                </w:tcPr>
                <w:p w14:paraId="48B35B58">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非甲烷总烃</w:t>
                  </w:r>
                </w:p>
              </w:tc>
            </w:tr>
            <w:tr w14:paraId="1E02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03A25BEB">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808" w:type="dxa"/>
                  <w:tcBorders>
                    <w:top w:val="single" w:color="auto" w:sz="4" w:space="0"/>
                    <w:left w:val="single" w:color="auto" w:sz="4" w:space="0"/>
                    <w:bottom w:val="single" w:color="auto" w:sz="4" w:space="0"/>
                    <w:right w:val="single" w:color="auto" w:sz="4" w:space="0"/>
                  </w:tcBorders>
                  <w:vAlign w:val="center"/>
                </w:tcPr>
                <w:p w14:paraId="2FC7A35E">
                  <w:pPr>
                    <w:spacing w:line="240" w:lineRule="auto"/>
                    <w:contextualSpacing/>
                    <w:jc w:val="center"/>
                    <w:rPr>
                      <w:rFonts w:hint="eastAsia" w:ascii="宋体" w:hAnsi="宋体" w:eastAsia="宋体"/>
                      <w:color w:val="auto"/>
                      <w:kern w:val="0"/>
                      <w:sz w:val="21"/>
                      <w:szCs w:val="21"/>
                      <w:lang w:val="en-US" w:eastAsia="zh-CN"/>
                    </w:rPr>
                  </w:pPr>
                  <w:r>
                    <w:rPr>
                      <w:rFonts w:hint="eastAsia" w:ascii="宋体" w:hAnsi="宋体"/>
                      <w:color w:val="auto"/>
                      <w:kern w:val="0"/>
                      <w:sz w:val="21"/>
                      <w:szCs w:val="21"/>
                      <w:lang w:val="en-US" w:eastAsia="zh-CN"/>
                    </w:rPr>
                    <w:t>废水</w:t>
                  </w:r>
                </w:p>
              </w:tc>
              <w:tc>
                <w:tcPr>
                  <w:tcW w:w="2663" w:type="dxa"/>
                  <w:tcBorders>
                    <w:top w:val="single" w:color="auto" w:sz="4" w:space="0"/>
                    <w:left w:val="single" w:color="auto" w:sz="4" w:space="0"/>
                    <w:bottom w:val="single" w:color="auto" w:sz="4" w:space="0"/>
                    <w:right w:val="single" w:color="auto" w:sz="4" w:space="0"/>
                  </w:tcBorders>
                  <w:vAlign w:val="center"/>
                </w:tcPr>
                <w:p w14:paraId="72976B51">
                  <w:pPr>
                    <w:spacing w:line="240" w:lineRule="auto"/>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清洗废水</w:t>
                  </w:r>
                </w:p>
              </w:tc>
              <w:tc>
                <w:tcPr>
                  <w:tcW w:w="1954" w:type="dxa"/>
                  <w:tcBorders>
                    <w:top w:val="single" w:color="auto" w:sz="4" w:space="0"/>
                    <w:left w:val="single" w:color="auto" w:sz="4" w:space="0"/>
                    <w:bottom w:val="single" w:color="auto" w:sz="4" w:space="0"/>
                    <w:right w:val="single" w:color="auto" w:sz="4" w:space="0"/>
                  </w:tcBorders>
                  <w:vAlign w:val="center"/>
                </w:tcPr>
                <w:p w14:paraId="470EBF44">
                  <w:pPr>
                    <w:spacing w:line="240" w:lineRule="auto"/>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含油废水</w:t>
                  </w:r>
                </w:p>
              </w:tc>
              <w:tc>
                <w:tcPr>
                  <w:tcW w:w="1725" w:type="dxa"/>
                  <w:tcBorders>
                    <w:top w:val="single" w:color="auto" w:sz="4" w:space="0"/>
                    <w:left w:val="single" w:color="auto" w:sz="4" w:space="0"/>
                    <w:bottom w:val="single" w:color="auto" w:sz="4" w:space="0"/>
                    <w:right w:val="single" w:color="auto" w:sz="4" w:space="0"/>
                  </w:tcBorders>
                  <w:vAlign w:val="center"/>
                </w:tcPr>
                <w:p w14:paraId="279AE74B">
                  <w:pPr>
                    <w:spacing w:line="240" w:lineRule="auto"/>
                    <w:contextualSpacing/>
                    <w:jc w:val="center"/>
                    <w:rPr>
                      <w:rFonts w:hint="eastAsia" w:ascii="宋体" w:hAnsi="宋体"/>
                      <w:color w:val="auto"/>
                      <w:kern w:val="0"/>
                      <w:sz w:val="21"/>
                      <w:szCs w:val="21"/>
                      <w:lang w:val="en-US" w:eastAsia="zh-CN"/>
                    </w:rPr>
                  </w:pPr>
                  <w:r>
                    <w:rPr>
                      <w:rFonts w:hint="eastAsia" w:cs="Times New Roman"/>
                      <w:color w:val="auto"/>
                      <w:kern w:val="0"/>
                      <w:sz w:val="21"/>
                      <w:szCs w:val="21"/>
                      <w:lang w:val="en-US" w:eastAsia="zh-CN"/>
                    </w:rPr>
                    <w:t>SS</w:t>
                  </w:r>
                  <w:r>
                    <w:rPr>
                      <w:rFonts w:hint="default" w:ascii="Times New Roman" w:hAnsi="Times New Roman" w:cs="Times New Roman"/>
                      <w:color w:val="auto"/>
                      <w:kern w:val="0"/>
                      <w:sz w:val="21"/>
                      <w:szCs w:val="21"/>
                      <w:lang w:val="en-US" w:eastAsia="zh-CN"/>
                    </w:rPr>
                    <w:t>、石油类</w:t>
                  </w:r>
                </w:p>
              </w:tc>
            </w:tr>
            <w:tr w14:paraId="71F2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7FE37EE">
                  <w:pPr>
                    <w:spacing w:line="240" w:lineRule="auto"/>
                    <w:contextualSpacing/>
                    <w:jc w:val="center"/>
                    <w:rPr>
                      <w:rFonts w:hint="eastAsia" w:eastAsia="宋体"/>
                      <w:color w:val="auto"/>
                      <w:sz w:val="21"/>
                      <w:szCs w:val="21"/>
                      <w:lang w:eastAsia="zh-CN"/>
                    </w:rPr>
                  </w:pPr>
                  <w:r>
                    <w:rPr>
                      <w:rFonts w:hint="eastAsia"/>
                      <w:color w:val="auto"/>
                      <w:kern w:val="0"/>
                      <w:sz w:val="21"/>
                      <w:szCs w:val="21"/>
                      <w:lang w:val="en-US" w:eastAsia="zh-CN"/>
                    </w:rPr>
                    <w:t>3</w:t>
                  </w:r>
                </w:p>
              </w:tc>
              <w:tc>
                <w:tcPr>
                  <w:tcW w:w="808" w:type="dxa"/>
                  <w:tcBorders>
                    <w:top w:val="single" w:color="auto" w:sz="4" w:space="0"/>
                    <w:left w:val="single" w:color="auto" w:sz="4" w:space="0"/>
                    <w:bottom w:val="single" w:color="auto" w:sz="4" w:space="0"/>
                    <w:right w:val="single" w:color="auto" w:sz="4" w:space="0"/>
                  </w:tcBorders>
                  <w:vAlign w:val="center"/>
                </w:tcPr>
                <w:p w14:paraId="567464F4">
                  <w:pPr>
                    <w:spacing w:line="240" w:lineRule="auto"/>
                    <w:contextualSpacing/>
                    <w:jc w:val="center"/>
                    <w:rPr>
                      <w:color w:val="auto"/>
                      <w:sz w:val="21"/>
                      <w:szCs w:val="21"/>
                    </w:rPr>
                  </w:pPr>
                  <w:r>
                    <w:rPr>
                      <w:rFonts w:ascii="宋体" w:hAnsi="宋体"/>
                      <w:color w:val="auto"/>
                      <w:kern w:val="0"/>
                      <w:sz w:val="21"/>
                      <w:szCs w:val="21"/>
                    </w:rPr>
                    <w:t>噪声</w:t>
                  </w:r>
                </w:p>
              </w:tc>
              <w:tc>
                <w:tcPr>
                  <w:tcW w:w="2663" w:type="dxa"/>
                  <w:tcBorders>
                    <w:top w:val="single" w:color="auto" w:sz="4" w:space="0"/>
                    <w:left w:val="single" w:color="auto" w:sz="4" w:space="0"/>
                    <w:bottom w:val="single" w:color="auto" w:sz="4" w:space="0"/>
                    <w:right w:val="single" w:color="auto" w:sz="4" w:space="0"/>
                  </w:tcBorders>
                  <w:vAlign w:val="center"/>
                </w:tcPr>
                <w:p w14:paraId="455F9A9F">
                  <w:pPr>
                    <w:spacing w:line="240" w:lineRule="auto"/>
                    <w:contextualSpacing/>
                    <w:jc w:val="center"/>
                    <w:rPr>
                      <w:rFonts w:hint="eastAsia" w:eastAsia="宋体"/>
                      <w:color w:val="auto"/>
                      <w:sz w:val="21"/>
                      <w:szCs w:val="21"/>
                      <w:lang w:eastAsia="zh-CN"/>
                    </w:rPr>
                  </w:pPr>
                  <w:r>
                    <w:rPr>
                      <w:rFonts w:hint="eastAsia" w:ascii="宋体" w:hAnsi="宋体"/>
                      <w:color w:val="auto"/>
                      <w:kern w:val="0"/>
                      <w:sz w:val="21"/>
                      <w:szCs w:val="21"/>
                      <w:lang w:val="en-US" w:eastAsia="zh-CN"/>
                    </w:rPr>
                    <w:t>清洗</w:t>
                  </w:r>
                  <w:r>
                    <w:rPr>
                      <w:rFonts w:ascii="宋体" w:hAnsi="宋体"/>
                      <w:color w:val="auto"/>
                      <w:kern w:val="0"/>
                      <w:sz w:val="21"/>
                      <w:szCs w:val="21"/>
                    </w:rPr>
                    <w:t>设备</w:t>
                  </w:r>
                  <w:r>
                    <w:rPr>
                      <w:rFonts w:hint="eastAsia" w:ascii="宋体" w:hAnsi="宋体"/>
                      <w:color w:val="auto"/>
                      <w:kern w:val="0"/>
                      <w:sz w:val="21"/>
                      <w:szCs w:val="21"/>
                      <w:lang w:eastAsia="zh-CN"/>
                    </w:rPr>
                    <w:t>、风机、污水处理设备</w:t>
                  </w:r>
                </w:p>
              </w:tc>
              <w:tc>
                <w:tcPr>
                  <w:tcW w:w="1954" w:type="dxa"/>
                  <w:tcBorders>
                    <w:top w:val="single" w:color="auto" w:sz="4" w:space="0"/>
                    <w:left w:val="single" w:color="auto" w:sz="4" w:space="0"/>
                    <w:bottom w:val="single" w:color="auto" w:sz="4" w:space="0"/>
                    <w:right w:val="single" w:color="auto" w:sz="4" w:space="0"/>
                  </w:tcBorders>
                  <w:vAlign w:val="center"/>
                </w:tcPr>
                <w:p w14:paraId="1AC1F2DF">
                  <w:pPr>
                    <w:spacing w:line="240" w:lineRule="auto"/>
                    <w:contextualSpacing/>
                    <w:jc w:val="center"/>
                    <w:rPr>
                      <w:color w:val="auto"/>
                      <w:sz w:val="21"/>
                      <w:szCs w:val="21"/>
                    </w:rPr>
                  </w:pPr>
                  <w:r>
                    <w:rPr>
                      <w:rFonts w:ascii="宋体" w:hAnsi="宋体"/>
                      <w:color w:val="auto"/>
                      <w:kern w:val="0"/>
                      <w:sz w:val="21"/>
                      <w:szCs w:val="21"/>
                    </w:rPr>
                    <w:t>机械噪声</w:t>
                  </w:r>
                </w:p>
              </w:tc>
              <w:tc>
                <w:tcPr>
                  <w:tcW w:w="1725" w:type="dxa"/>
                  <w:tcBorders>
                    <w:top w:val="single" w:color="auto" w:sz="4" w:space="0"/>
                    <w:left w:val="single" w:color="auto" w:sz="4" w:space="0"/>
                    <w:bottom w:val="single" w:color="auto" w:sz="4" w:space="0"/>
                    <w:right w:val="single" w:color="auto" w:sz="4" w:space="0"/>
                  </w:tcBorders>
                  <w:vAlign w:val="center"/>
                </w:tcPr>
                <w:p w14:paraId="5142EFD8">
                  <w:pPr>
                    <w:spacing w:line="240" w:lineRule="auto"/>
                    <w:contextualSpacing/>
                    <w:jc w:val="center"/>
                    <w:rPr>
                      <w:color w:val="auto"/>
                      <w:sz w:val="21"/>
                      <w:szCs w:val="21"/>
                    </w:rPr>
                  </w:pPr>
                  <w:r>
                    <w:rPr>
                      <w:rFonts w:ascii="宋体" w:hAnsi="宋体"/>
                      <w:color w:val="auto"/>
                      <w:kern w:val="0"/>
                      <w:sz w:val="21"/>
                      <w:szCs w:val="21"/>
                    </w:rPr>
                    <w:t>噪声</w:t>
                  </w:r>
                </w:p>
              </w:tc>
            </w:tr>
            <w:tr w14:paraId="3EF8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tcBorders>
                    <w:top w:val="nil"/>
                    <w:left w:val="single" w:color="auto" w:sz="4" w:space="0"/>
                    <w:right w:val="single" w:color="auto" w:sz="4" w:space="0"/>
                  </w:tcBorders>
                  <w:vAlign w:val="center"/>
                </w:tcPr>
                <w:p w14:paraId="13129CAD">
                  <w:pPr>
                    <w:widowControl/>
                    <w:spacing w:line="240" w:lineRule="auto"/>
                    <w:contextualSpacing/>
                    <w:jc w:val="center"/>
                    <w:rPr>
                      <w:rFonts w:hint="eastAsia" w:eastAsia="宋体"/>
                      <w:color w:val="auto"/>
                      <w:sz w:val="21"/>
                      <w:szCs w:val="21"/>
                      <w:lang w:eastAsia="zh-CN"/>
                    </w:rPr>
                  </w:pPr>
                  <w:r>
                    <w:rPr>
                      <w:rFonts w:hint="eastAsia"/>
                      <w:color w:val="auto"/>
                      <w:sz w:val="21"/>
                      <w:szCs w:val="21"/>
                      <w:lang w:val="en-US" w:eastAsia="zh-CN"/>
                    </w:rPr>
                    <w:t>4</w:t>
                  </w:r>
                </w:p>
              </w:tc>
              <w:tc>
                <w:tcPr>
                  <w:tcW w:w="808" w:type="dxa"/>
                  <w:vMerge w:val="restart"/>
                  <w:tcBorders>
                    <w:top w:val="nil"/>
                    <w:left w:val="single" w:color="auto" w:sz="4" w:space="0"/>
                    <w:right w:val="single" w:color="auto" w:sz="4" w:space="0"/>
                  </w:tcBorders>
                  <w:vAlign w:val="center"/>
                </w:tcPr>
                <w:p w14:paraId="4C7C18A9">
                  <w:pPr>
                    <w:widowControl/>
                    <w:spacing w:line="240" w:lineRule="auto"/>
                    <w:contextualSpacing/>
                    <w:jc w:val="center"/>
                    <w:rPr>
                      <w:color w:val="auto"/>
                      <w:sz w:val="21"/>
                      <w:szCs w:val="21"/>
                    </w:rPr>
                  </w:pPr>
                  <w:r>
                    <w:rPr>
                      <w:color w:val="auto"/>
                      <w:sz w:val="21"/>
                      <w:szCs w:val="21"/>
                    </w:rPr>
                    <w:t>固废</w:t>
                  </w:r>
                </w:p>
              </w:tc>
              <w:tc>
                <w:tcPr>
                  <w:tcW w:w="2663" w:type="dxa"/>
                  <w:tcBorders>
                    <w:top w:val="single" w:color="auto" w:sz="4" w:space="0"/>
                    <w:left w:val="single" w:color="auto" w:sz="4" w:space="0"/>
                    <w:bottom w:val="single" w:color="auto" w:sz="4" w:space="0"/>
                    <w:right w:val="single" w:color="auto" w:sz="4" w:space="0"/>
                  </w:tcBorders>
                  <w:vAlign w:val="center"/>
                </w:tcPr>
                <w:p w14:paraId="3EA73075">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办公生活</w:t>
                  </w:r>
                </w:p>
              </w:tc>
              <w:tc>
                <w:tcPr>
                  <w:tcW w:w="1954" w:type="dxa"/>
                  <w:tcBorders>
                    <w:top w:val="single" w:color="auto" w:sz="4" w:space="0"/>
                    <w:left w:val="single" w:color="auto" w:sz="4" w:space="0"/>
                    <w:bottom w:val="single" w:color="auto" w:sz="4" w:space="0"/>
                    <w:right w:val="single" w:color="auto" w:sz="4" w:space="0"/>
                  </w:tcBorders>
                  <w:vAlign w:val="center"/>
                </w:tcPr>
                <w:p w14:paraId="2D1267CE">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生活垃圾</w:t>
                  </w:r>
                </w:p>
              </w:tc>
              <w:tc>
                <w:tcPr>
                  <w:tcW w:w="1725" w:type="dxa"/>
                  <w:tcBorders>
                    <w:top w:val="single" w:color="auto" w:sz="4" w:space="0"/>
                    <w:left w:val="single" w:color="auto" w:sz="4" w:space="0"/>
                    <w:bottom w:val="single" w:color="auto" w:sz="4" w:space="0"/>
                    <w:right w:val="single" w:color="auto" w:sz="4" w:space="0"/>
                  </w:tcBorders>
                  <w:vAlign w:val="center"/>
                </w:tcPr>
                <w:p w14:paraId="27D5C9D4">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生活垃圾</w:t>
                  </w:r>
                </w:p>
              </w:tc>
            </w:tr>
            <w:tr w14:paraId="40B4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tcBorders>
                    <w:left w:val="single" w:color="auto" w:sz="4" w:space="0"/>
                    <w:right w:val="single" w:color="auto" w:sz="4" w:space="0"/>
                  </w:tcBorders>
                  <w:vAlign w:val="center"/>
                </w:tcPr>
                <w:p w14:paraId="261D5258">
                  <w:pPr>
                    <w:widowControl/>
                    <w:spacing w:line="240" w:lineRule="auto"/>
                    <w:contextualSpacing/>
                    <w:jc w:val="center"/>
                    <w:rPr>
                      <w:color w:val="auto"/>
                      <w:sz w:val="21"/>
                      <w:szCs w:val="21"/>
                    </w:rPr>
                  </w:pPr>
                </w:p>
              </w:tc>
              <w:tc>
                <w:tcPr>
                  <w:tcW w:w="808" w:type="dxa"/>
                  <w:vMerge w:val="continue"/>
                  <w:tcBorders>
                    <w:left w:val="single" w:color="auto" w:sz="4" w:space="0"/>
                    <w:right w:val="single" w:color="auto" w:sz="4" w:space="0"/>
                  </w:tcBorders>
                  <w:vAlign w:val="center"/>
                </w:tcPr>
                <w:p w14:paraId="65B90859">
                  <w:pPr>
                    <w:widowControl/>
                    <w:spacing w:line="240" w:lineRule="auto"/>
                    <w:contextualSpacing/>
                    <w:jc w:val="center"/>
                    <w:rPr>
                      <w:color w:val="auto"/>
                      <w:sz w:val="21"/>
                      <w:szCs w:val="21"/>
                    </w:rPr>
                  </w:pPr>
                </w:p>
              </w:tc>
              <w:tc>
                <w:tcPr>
                  <w:tcW w:w="2663" w:type="dxa"/>
                  <w:tcBorders>
                    <w:top w:val="single" w:color="auto" w:sz="4" w:space="0"/>
                    <w:left w:val="single" w:color="auto" w:sz="4" w:space="0"/>
                    <w:bottom w:val="single" w:color="auto" w:sz="4" w:space="0"/>
                    <w:right w:val="single" w:color="auto" w:sz="4" w:space="0"/>
                  </w:tcBorders>
                  <w:vAlign w:val="center"/>
                </w:tcPr>
                <w:p w14:paraId="3F265327">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隔油沉淀池</w:t>
                  </w:r>
                </w:p>
              </w:tc>
              <w:tc>
                <w:tcPr>
                  <w:tcW w:w="1954" w:type="dxa"/>
                  <w:tcBorders>
                    <w:top w:val="single" w:color="auto" w:sz="4" w:space="0"/>
                    <w:left w:val="single" w:color="auto" w:sz="4" w:space="0"/>
                    <w:bottom w:val="single" w:color="auto" w:sz="4" w:space="0"/>
                    <w:right w:val="single" w:color="auto" w:sz="4" w:space="0"/>
                  </w:tcBorders>
                  <w:vAlign w:val="center"/>
                </w:tcPr>
                <w:p w14:paraId="5ACB2F3C">
                  <w:pPr>
                    <w:spacing w:line="240" w:lineRule="auto"/>
                    <w:contextualSpacing/>
                    <w:jc w:val="center"/>
                    <w:rPr>
                      <w:rFonts w:hint="default" w:eastAsia="宋体"/>
                      <w:color w:val="auto"/>
                      <w:sz w:val="21"/>
                      <w:szCs w:val="21"/>
                      <w:lang w:val="en-US" w:eastAsia="zh-CN"/>
                    </w:rPr>
                  </w:pPr>
                  <w:r>
                    <w:rPr>
                      <w:rFonts w:hint="eastAsia"/>
                      <w:color w:val="auto"/>
                      <w:sz w:val="21"/>
                      <w:szCs w:val="21"/>
                      <w:lang w:val="en-US" w:eastAsia="zh-CN"/>
                    </w:rPr>
                    <w:t>沉淀池浮油</w:t>
                  </w:r>
                </w:p>
              </w:tc>
              <w:tc>
                <w:tcPr>
                  <w:tcW w:w="1725" w:type="dxa"/>
                  <w:tcBorders>
                    <w:top w:val="single" w:color="auto" w:sz="4" w:space="0"/>
                    <w:left w:val="single" w:color="auto" w:sz="4" w:space="0"/>
                    <w:bottom w:val="single" w:color="auto" w:sz="4" w:space="0"/>
                    <w:right w:val="single" w:color="auto" w:sz="4" w:space="0"/>
                  </w:tcBorders>
                  <w:vAlign w:val="center"/>
                </w:tcPr>
                <w:p w14:paraId="57946D95">
                  <w:pPr>
                    <w:spacing w:line="240" w:lineRule="auto"/>
                    <w:contextualSpacing/>
                    <w:jc w:val="center"/>
                    <w:rPr>
                      <w:color w:val="auto"/>
                      <w:sz w:val="21"/>
                      <w:szCs w:val="21"/>
                    </w:rPr>
                  </w:pPr>
                  <w:r>
                    <w:rPr>
                      <w:rFonts w:hint="eastAsia"/>
                      <w:color w:val="auto"/>
                      <w:sz w:val="21"/>
                      <w:szCs w:val="21"/>
                      <w:lang w:val="en-US" w:eastAsia="zh-CN"/>
                    </w:rPr>
                    <w:t>沉淀池浮油</w:t>
                  </w:r>
                </w:p>
              </w:tc>
            </w:tr>
            <w:tr w14:paraId="16F6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tcBorders>
                    <w:left w:val="single" w:color="auto" w:sz="4" w:space="0"/>
                    <w:right w:val="single" w:color="auto" w:sz="4" w:space="0"/>
                  </w:tcBorders>
                  <w:vAlign w:val="center"/>
                </w:tcPr>
                <w:p w14:paraId="432A409C">
                  <w:pPr>
                    <w:widowControl/>
                    <w:spacing w:line="240" w:lineRule="auto"/>
                    <w:contextualSpacing/>
                    <w:jc w:val="center"/>
                    <w:rPr>
                      <w:color w:val="auto"/>
                      <w:sz w:val="21"/>
                      <w:szCs w:val="21"/>
                    </w:rPr>
                  </w:pPr>
                </w:p>
              </w:tc>
              <w:tc>
                <w:tcPr>
                  <w:tcW w:w="808" w:type="dxa"/>
                  <w:vMerge w:val="continue"/>
                  <w:tcBorders>
                    <w:left w:val="single" w:color="auto" w:sz="4" w:space="0"/>
                    <w:right w:val="single" w:color="auto" w:sz="4" w:space="0"/>
                  </w:tcBorders>
                  <w:vAlign w:val="center"/>
                </w:tcPr>
                <w:p w14:paraId="3D126285">
                  <w:pPr>
                    <w:widowControl/>
                    <w:spacing w:line="240" w:lineRule="auto"/>
                    <w:contextualSpacing/>
                    <w:jc w:val="center"/>
                    <w:rPr>
                      <w:color w:val="auto"/>
                      <w:sz w:val="21"/>
                      <w:szCs w:val="21"/>
                    </w:rPr>
                  </w:pPr>
                </w:p>
              </w:tc>
              <w:tc>
                <w:tcPr>
                  <w:tcW w:w="2663" w:type="dxa"/>
                  <w:tcBorders>
                    <w:top w:val="single" w:color="auto" w:sz="4" w:space="0"/>
                    <w:left w:val="single" w:color="auto" w:sz="4" w:space="0"/>
                    <w:bottom w:val="single" w:color="auto" w:sz="4" w:space="0"/>
                    <w:right w:val="single" w:color="auto" w:sz="4" w:space="0"/>
                  </w:tcBorders>
                  <w:vAlign w:val="center"/>
                </w:tcPr>
                <w:p w14:paraId="56529DAA">
                  <w:pPr>
                    <w:spacing w:line="240" w:lineRule="auto"/>
                    <w:contextualSpacing/>
                    <w:jc w:val="center"/>
                    <w:rPr>
                      <w:rFonts w:hint="default" w:ascii="宋体" w:hAnsi="宋体" w:eastAsia="宋体"/>
                      <w:color w:val="auto"/>
                      <w:kern w:val="0"/>
                      <w:sz w:val="21"/>
                      <w:szCs w:val="21"/>
                      <w:lang w:val="en-US" w:eastAsia="zh-CN"/>
                    </w:rPr>
                  </w:pPr>
                  <w:r>
                    <w:rPr>
                      <w:rFonts w:hint="eastAsia" w:ascii="宋体" w:hAnsi="宋体"/>
                      <w:color w:val="auto"/>
                      <w:kern w:val="0"/>
                      <w:sz w:val="21"/>
                      <w:szCs w:val="21"/>
                      <w:lang w:val="en-US" w:eastAsia="zh-CN"/>
                    </w:rPr>
                    <w:t>一体化污水处理设施</w:t>
                  </w:r>
                </w:p>
              </w:tc>
              <w:tc>
                <w:tcPr>
                  <w:tcW w:w="1954" w:type="dxa"/>
                  <w:tcBorders>
                    <w:top w:val="single" w:color="auto" w:sz="4" w:space="0"/>
                    <w:left w:val="single" w:color="auto" w:sz="4" w:space="0"/>
                    <w:bottom w:val="single" w:color="auto" w:sz="4" w:space="0"/>
                    <w:right w:val="single" w:color="auto" w:sz="4" w:space="0"/>
                  </w:tcBorders>
                  <w:vAlign w:val="center"/>
                </w:tcPr>
                <w:p w14:paraId="048AB951">
                  <w:pPr>
                    <w:spacing w:line="240" w:lineRule="auto"/>
                    <w:contextualSpacing/>
                    <w:jc w:val="center"/>
                    <w:rPr>
                      <w:rFonts w:hint="eastAsia" w:ascii="宋体" w:hAnsi="宋体" w:eastAsia="宋体"/>
                      <w:color w:val="auto"/>
                      <w:kern w:val="0"/>
                      <w:sz w:val="21"/>
                      <w:szCs w:val="21"/>
                      <w:lang w:eastAsia="zh-CN"/>
                    </w:rPr>
                  </w:pPr>
                  <w:r>
                    <w:rPr>
                      <w:rFonts w:hint="eastAsia" w:ascii="宋体" w:hAnsi="宋体"/>
                      <w:color w:val="auto"/>
                      <w:kern w:val="0"/>
                      <w:sz w:val="21"/>
                      <w:szCs w:val="21"/>
                      <w:lang w:val="en-US" w:eastAsia="zh-CN"/>
                    </w:rPr>
                    <w:t>污泥</w:t>
                  </w:r>
                </w:p>
              </w:tc>
              <w:tc>
                <w:tcPr>
                  <w:tcW w:w="1725" w:type="dxa"/>
                  <w:tcBorders>
                    <w:top w:val="single" w:color="auto" w:sz="4" w:space="0"/>
                    <w:left w:val="single" w:color="auto" w:sz="4" w:space="0"/>
                    <w:bottom w:val="single" w:color="auto" w:sz="4" w:space="0"/>
                    <w:right w:val="single" w:color="auto" w:sz="4" w:space="0"/>
                  </w:tcBorders>
                  <w:vAlign w:val="center"/>
                </w:tcPr>
                <w:p w14:paraId="28AD57E2">
                  <w:pPr>
                    <w:spacing w:line="240" w:lineRule="auto"/>
                    <w:contextualSpacing/>
                    <w:jc w:val="center"/>
                    <w:rPr>
                      <w:rFonts w:hint="eastAsia" w:ascii="宋体" w:hAnsi="宋体" w:eastAsia="宋体"/>
                      <w:color w:val="auto"/>
                      <w:kern w:val="0"/>
                      <w:sz w:val="21"/>
                      <w:szCs w:val="21"/>
                      <w:lang w:eastAsia="zh-CN"/>
                    </w:rPr>
                  </w:pPr>
                  <w:r>
                    <w:rPr>
                      <w:rFonts w:hint="eastAsia" w:ascii="宋体" w:hAnsi="宋体"/>
                      <w:color w:val="auto"/>
                      <w:kern w:val="0"/>
                      <w:sz w:val="21"/>
                      <w:szCs w:val="21"/>
                      <w:lang w:val="en-US" w:eastAsia="zh-CN"/>
                    </w:rPr>
                    <w:t>污泥</w:t>
                  </w:r>
                </w:p>
              </w:tc>
            </w:tr>
          </w:tbl>
          <w:p w14:paraId="1DCC302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b/>
                <w:color w:val="auto"/>
                <w:kern w:val="0"/>
                <w:sz w:val="21"/>
                <w:szCs w:val="21"/>
              </w:rPr>
            </w:pPr>
          </w:p>
        </w:tc>
      </w:tr>
      <w:tr w14:paraId="3350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366E824B">
            <w:pPr>
              <w:jc w:val="center"/>
              <w:rPr>
                <w:color w:val="auto"/>
                <w:vertAlign w:val="baseline"/>
              </w:rPr>
            </w:pPr>
            <w:r>
              <w:rPr>
                <w:rFonts w:hint="eastAsia"/>
                <w:color w:val="auto"/>
                <w:vertAlign w:val="baseline"/>
              </w:rPr>
              <w:t>项目有关原有环境污染问题</w:t>
            </w:r>
          </w:p>
        </w:tc>
        <w:tc>
          <w:tcPr>
            <w:tcW w:w="8069" w:type="dxa"/>
          </w:tcPr>
          <w:p w14:paraId="2481006F">
            <w:pPr>
              <w:ind w:firstLine="480" w:firstLineChars="200"/>
              <w:rPr>
                <w:rFonts w:hint="eastAsia"/>
                <w:color w:val="auto"/>
                <w:vertAlign w:val="baseline"/>
                <w:lang w:val="en-US" w:eastAsia="zh-CN"/>
              </w:rPr>
            </w:pPr>
            <w:r>
              <w:rPr>
                <w:rFonts w:hint="eastAsia"/>
                <w:color w:val="auto"/>
                <w:vertAlign w:val="baseline"/>
                <w:lang w:val="en-US" w:eastAsia="zh-CN"/>
              </w:rPr>
              <w:t>寻甸县运良商贸有限公司成立于2012年12月11日，位于云南省昆明市寻甸县特色产业园区金所片区，经营范围主要包括停车场服务、普通货物仓储服务等。本项目用地原属于云南明兴物流有限公司，2014年因云南明兴物流有限公司与本项目法人胡运良存在债务纠纷，2015年在金所人民调解委员会的调解下，双方达成如下协议：云南明兴物流有限公司将两套商铺及商铺前空地抵押给胡运良，云南明兴物流有限公司欠款由胡运良解决，本项目用地属于抵押资产中的一部分。因此，本项目用地目前属于胡运良（寻甸县运良商贸有限公司）所有。</w:t>
            </w:r>
          </w:p>
          <w:p w14:paraId="3B4CBEBD">
            <w:pPr>
              <w:ind w:firstLine="480" w:firstLineChars="200"/>
              <w:rPr>
                <w:rFonts w:hint="default"/>
                <w:color w:val="auto"/>
                <w:vertAlign w:val="baseline"/>
                <w:lang w:val="en-US" w:eastAsia="zh-CN"/>
              </w:rPr>
            </w:pPr>
            <w:r>
              <w:rPr>
                <w:rFonts w:hint="eastAsia"/>
                <w:color w:val="auto"/>
                <w:vertAlign w:val="baseline"/>
                <w:lang w:val="en-US" w:eastAsia="zh-CN"/>
              </w:rPr>
              <w:t>现根据业务发展需要，</w:t>
            </w:r>
            <w:r>
              <w:rPr>
                <w:rFonts w:hint="eastAsia"/>
                <w:color w:val="auto"/>
                <w:kern w:val="0"/>
                <w:lang w:val="en-US" w:eastAsia="zh-CN"/>
              </w:rPr>
              <w:t>在该停车场内建设危化品车辆清洗项目。项目区现状为停车场，停车场西侧为一栋3层商铺，该栋商铺出租给云南牧通农业发展有限公司使用，用于存放牛羊饲料等货物。停车场东侧边界存在少量煤堆，目前因停车场场地大车流少，因此将停车场东侧场地出租堆煤。明年出租场地到期后由该企业自行清理转运，往后不在堆煤。</w:t>
            </w:r>
          </w:p>
          <w:p w14:paraId="130FA3C9">
            <w:pPr>
              <w:ind w:firstLine="480" w:firstLineChars="200"/>
              <w:rPr>
                <w:rFonts w:eastAsia="Times New Roman"/>
                <w:bCs/>
                <w:color w:val="auto"/>
                <w:highlight w:val="red"/>
              </w:rPr>
            </w:pPr>
            <w:r>
              <w:rPr>
                <w:rFonts w:hint="eastAsia" w:ascii="宋体" w:hAnsi="宋体" w:eastAsia="Times New Roman"/>
                <w:color w:val="auto"/>
              </w:rPr>
              <w:t>根据</w:t>
            </w:r>
            <w:r>
              <w:rPr>
                <w:rFonts w:hint="eastAsia" w:ascii="宋体" w:hAnsi="宋体" w:eastAsia="Times New Roman"/>
                <w:color w:val="auto"/>
                <w:highlight w:val="none"/>
              </w:rPr>
              <w:t>现场踏勘，与本项目有关的原有环境问题</w:t>
            </w:r>
            <w:r>
              <w:rPr>
                <w:rFonts w:hint="eastAsia" w:ascii="宋体" w:hAnsi="宋体" w:eastAsia="Times New Roman"/>
                <w:bCs/>
                <w:color w:val="auto"/>
                <w:highlight w:val="none"/>
              </w:rPr>
              <w:t>如下：</w:t>
            </w:r>
          </w:p>
          <w:p w14:paraId="10D993BF">
            <w:pPr>
              <w:jc w:val="center"/>
              <w:rPr>
                <w:rFonts w:eastAsia="Times New Roman"/>
                <w:b/>
                <w:color w:val="auto"/>
                <w:sz w:val="21"/>
                <w:szCs w:val="21"/>
              </w:rPr>
            </w:pPr>
            <w:r>
              <w:rPr>
                <w:rFonts w:hint="eastAsia" w:ascii="宋体" w:hAnsi="宋体" w:eastAsia="Times New Roman"/>
                <w:b/>
                <w:bCs/>
                <w:color w:val="auto"/>
                <w:sz w:val="21"/>
                <w:szCs w:val="21"/>
              </w:rPr>
              <w:t>表</w:t>
            </w:r>
            <w:r>
              <w:rPr>
                <w:rFonts w:hint="eastAsia" w:eastAsia="Times New Roman"/>
                <w:b/>
                <w:bCs/>
                <w:color w:val="auto"/>
                <w:sz w:val="21"/>
                <w:szCs w:val="21"/>
              </w:rPr>
              <w:t>2-</w:t>
            </w:r>
            <w:r>
              <w:rPr>
                <w:rFonts w:hint="eastAsia" w:eastAsia="宋体"/>
                <w:b/>
                <w:bCs/>
                <w:color w:val="auto"/>
                <w:sz w:val="21"/>
                <w:szCs w:val="21"/>
                <w:lang w:val="en-US" w:eastAsia="zh-CN"/>
              </w:rPr>
              <w:t>8</w:t>
            </w:r>
            <w:r>
              <w:rPr>
                <w:rFonts w:hint="eastAsia" w:ascii="宋体" w:hAnsi="宋体" w:eastAsia="Times New Roman"/>
                <w:b/>
                <w:bCs/>
                <w:color w:val="auto"/>
                <w:sz w:val="21"/>
                <w:szCs w:val="21"/>
              </w:rPr>
              <w:t>与项目有关的污染物及主要环境问题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879"/>
              <w:gridCol w:w="3537"/>
            </w:tblGrid>
            <w:tr w14:paraId="1BE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631F78D1">
                  <w:pPr>
                    <w:spacing w:line="240" w:lineRule="auto"/>
                    <w:contextualSpacing/>
                    <w:jc w:val="center"/>
                    <w:rPr>
                      <w:rFonts w:eastAsia="Times New Roman"/>
                      <w:b/>
                      <w:color w:val="auto"/>
                      <w:sz w:val="21"/>
                      <w:szCs w:val="21"/>
                    </w:rPr>
                  </w:pPr>
                  <w:r>
                    <w:rPr>
                      <w:rFonts w:hint="eastAsia" w:ascii="宋体" w:hAnsi="宋体" w:eastAsia="Times New Roman"/>
                      <w:b/>
                      <w:color w:val="auto"/>
                      <w:sz w:val="21"/>
                      <w:szCs w:val="21"/>
                    </w:rPr>
                    <w:t>序号</w:t>
                  </w:r>
                </w:p>
              </w:tc>
              <w:tc>
                <w:tcPr>
                  <w:tcW w:w="3879" w:type="dxa"/>
                  <w:tcBorders>
                    <w:top w:val="single" w:color="auto" w:sz="4" w:space="0"/>
                    <w:left w:val="single" w:color="auto" w:sz="4" w:space="0"/>
                    <w:bottom w:val="single" w:color="auto" w:sz="4" w:space="0"/>
                    <w:right w:val="single" w:color="auto" w:sz="4" w:space="0"/>
                  </w:tcBorders>
                  <w:vAlign w:val="center"/>
                </w:tcPr>
                <w:p w14:paraId="20FEAEB7">
                  <w:pPr>
                    <w:spacing w:line="240" w:lineRule="auto"/>
                    <w:contextualSpacing/>
                    <w:jc w:val="center"/>
                    <w:rPr>
                      <w:rFonts w:eastAsia="Times New Roman"/>
                      <w:b/>
                      <w:color w:val="auto"/>
                      <w:sz w:val="21"/>
                      <w:szCs w:val="21"/>
                    </w:rPr>
                  </w:pPr>
                  <w:r>
                    <w:rPr>
                      <w:rFonts w:hint="eastAsia" w:ascii="宋体" w:hAnsi="宋体" w:eastAsia="Times New Roman"/>
                      <w:b/>
                      <w:bCs/>
                      <w:color w:val="auto"/>
                      <w:sz w:val="21"/>
                      <w:szCs w:val="21"/>
                    </w:rPr>
                    <w:t>存在的环境问题</w:t>
                  </w:r>
                </w:p>
              </w:tc>
              <w:tc>
                <w:tcPr>
                  <w:tcW w:w="3537" w:type="dxa"/>
                  <w:tcBorders>
                    <w:top w:val="single" w:color="auto" w:sz="4" w:space="0"/>
                    <w:left w:val="single" w:color="auto" w:sz="4" w:space="0"/>
                    <w:bottom w:val="single" w:color="auto" w:sz="4" w:space="0"/>
                    <w:right w:val="single" w:color="auto" w:sz="4" w:space="0"/>
                  </w:tcBorders>
                  <w:vAlign w:val="center"/>
                </w:tcPr>
                <w:p w14:paraId="0F4558B2">
                  <w:pPr>
                    <w:spacing w:line="240" w:lineRule="auto"/>
                    <w:contextualSpacing/>
                    <w:jc w:val="center"/>
                    <w:rPr>
                      <w:rFonts w:eastAsia="Times New Roman"/>
                      <w:b/>
                      <w:color w:val="auto"/>
                      <w:sz w:val="21"/>
                      <w:szCs w:val="21"/>
                    </w:rPr>
                  </w:pPr>
                  <w:r>
                    <w:rPr>
                      <w:rFonts w:hint="eastAsia" w:ascii="宋体" w:hAnsi="宋体" w:eastAsia="Times New Roman"/>
                      <w:b/>
                      <w:color w:val="auto"/>
                      <w:sz w:val="21"/>
                      <w:szCs w:val="21"/>
                    </w:rPr>
                    <w:t>整改措施</w:t>
                  </w:r>
                </w:p>
              </w:tc>
            </w:tr>
            <w:tr w14:paraId="0DF3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462D40D5">
                  <w:pPr>
                    <w:spacing w:line="240" w:lineRule="auto"/>
                    <w:contextualSpacing/>
                    <w:jc w:val="center"/>
                    <w:rPr>
                      <w:rFonts w:eastAsia="Times New Roman"/>
                      <w:color w:val="auto"/>
                      <w:sz w:val="21"/>
                      <w:szCs w:val="21"/>
                    </w:rPr>
                  </w:pPr>
                  <w:r>
                    <w:rPr>
                      <w:rFonts w:hint="eastAsia" w:eastAsia="Times New Roman"/>
                      <w:color w:val="auto"/>
                      <w:sz w:val="21"/>
                      <w:szCs w:val="21"/>
                    </w:rPr>
                    <w:t>1</w:t>
                  </w:r>
                </w:p>
              </w:tc>
              <w:tc>
                <w:tcPr>
                  <w:tcW w:w="3879" w:type="dxa"/>
                  <w:tcBorders>
                    <w:top w:val="single" w:color="auto" w:sz="4" w:space="0"/>
                    <w:left w:val="single" w:color="auto" w:sz="4" w:space="0"/>
                    <w:bottom w:val="single" w:color="auto" w:sz="4" w:space="0"/>
                    <w:right w:val="single" w:color="auto" w:sz="4" w:space="0"/>
                  </w:tcBorders>
                  <w:vAlign w:val="center"/>
                </w:tcPr>
                <w:p w14:paraId="048BA3D4">
                  <w:pPr>
                    <w:spacing w:line="240" w:lineRule="auto"/>
                    <w:contextualSpacing/>
                    <w:rPr>
                      <w:rFonts w:hint="default" w:eastAsia="宋体"/>
                      <w:color w:val="auto"/>
                      <w:sz w:val="21"/>
                      <w:szCs w:val="21"/>
                      <w:lang w:val="en-US" w:eastAsia="zh-CN"/>
                    </w:rPr>
                  </w:pPr>
                  <w:r>
                    <w:rPr>
                      <w:rFonts w:hint="eastAsia" w:ascii="宋体" w:hAnsi="宋体" w:eastAsia="Times New Roman"/>
                      <w:color w:val="auto"/>
                      <w:sz w:val="21"/>
                      <w:szCs w:val="21"/>
                    </w:rPr>
                    <w:t>项目</w:t>
                  </w:r>
                  <w:r>
                    <w:rPr>
                      <w:rFonts w:hint="eastAsia" w:ascii="宋体" w:hAnsi="宋体" w:eastAsia="宋体"/>
                      <w:color w:val="auto"/>
                      <w:sz w:val="21"/>
                      <w:szCs w:val="21"/>
                      <w:lang w:val="en-US" w:eastAsia="zh-CN"/>
                    </w:rPr>
                    <w:t>停车场地面未硬化。</w:t>
                  </w:r>
                </w:p>
              </w:tc>
              <w:tc>
                <w:tcPr>
                  <w:tcW w:w="3537" w:type="dxa"/>
                  <w:tcBorders>
                    <w:top w:val="single" w:color="auto" w:sz="4" w:space="0"/>
                    <w:left w:val="single" w:color="auto" w:sz="4" w:space="0"/>
                    <w:bottom w:val="single" w:color="auto" w:sz="4" w:space="0"/>
                    <w:right w:val="single" w:color="auto" w:sz="4" w:space="0"/>
                  </w:tcBorders>
                  <w:vAlign w:val="center"/>
                </w:tcPr>
                <w:p w14:paraId="537FD815">
                  <w:pPr>
                    <w:spacing w:line="240" w:lineRule="auto"/>
                    <w:contextualSpacing/>
                    <w:rPr>
                      <w:rFonts w:eastAsia="Times New Roman"/>
                      <w:color w:val="auto"/>
                      <w:sz w:val="21"/>
                      <w:szCs w:val="21"/>
                    </w:rPr>
                  </w:pPr>
                  <w:r>
                    <w:rPr>
                      <w:rFonts w:hint="eastAsia" w:ascii="宋体" w:hAnsi="宋体" w:eastAsia="宋体"/>
                      <w:color w:val="auto"/>
                      <w:sz w:val="21"/>
                      <w:szCs w:val="21"/>
                      <w:lang w:val="en-US" w:eastAsia="zh-CN"/>
                    </w:rPr>
                    <w:t>本次环评提出将停车场地面硬化。</w:t>
                  </w:r>
                </w:p>
              </w:tc>
            </w:tr>
            <w:tr w14:paraId="3070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02544009">
                  <w:pPr>
                    <w:spacing w:line="240" w:lineRule="auto"/>
                    <w:contextualSpacing/>
                    <w:jc w:val="center"/>
                    <w:rPr>
                      <w:rFonts w:eastAsia="Times New Roman"/>
                      <w:color w:val="auto"/>
                      <w:sz w:val="21"/>
                      <w:szCs w:val="21"/>
                    </w:rPr>
                  </w:pPr>
                  <w:r>
                    <w:rPr>
                      <w:rFonts w:hint="eastAsia" w:eastAsia="Times New Roman"/>
                      <w:color w:val="auto"/>
                      <w:sz w:val="21"/>
                      <w:szCs w:val="21"/>
                    </w:rPr>
                    <w:t>2</w:t>
                  </w:r>
                </w:p>
              </w:tc>
              <w:tc>
                <w:tcPr>
                  <w:tcW w:w="3879" w:type="dxa"/>
                  <w:tcBorders>
                    <w:top w:val="single" w:color="auto" w:sz="4" w:space="0"/>
                    <w:left w:val="single" w:color="auto" w:sz="4" w:space="0"/>
                    <w:bottom w:val="single" w:color="auto" w:sz="4" w:space="0"/>
                    <w:right w:val="single" w:color="auto" w:sz="4" w:space="0"/>
                  </w:tcBorders>
                  <w:vAlign w:val="center"/>
                </w:tcPr>
                <w:p w14:paraId="23C712CB">
                  <w:pPr>
                    <w:spacing w:line="240" w:lineRule="auto"/>
                    <w:contextualSpacing/>
                    <w:rPr>
                      <w:rFonts w:hint="default" w:eastAsia="宋体"/>
                      <w:color w:val="auto"/>
                      <w:sz w:val="21"/>
                      <w:szCs w:val="21"/>
                      <w:lang w:val="en-US" w:eastAsia="zh-CN"/>
                    </w:rPr>
                  </w:pPr>
                  <w:r>
                    <w:rPr>
                      <w:rFonts w:hint="eastAsia" w:eastAsia="宋体"/>
                      <w:color w:val="auto"/>
                      <w:sz w:val="21"/>
                      <w:szCs w:val="21"/>
                      <w:lang w:val="en-US" w:eastAsia="zh-CN"/>
                    </w:rPr>
                    <w:t>项目未设置初期雨水收集池。</w:t>
                  </w:r>
                </w:p>
              </w:tc>
              <w:tc>
                <w:tcPr>
                  <w:tcW w:w="3537" w:type="dxa"/>
                  <w:tcBorders>
                    <w:top w:val="single" w:color="auto" w:sz="4" w:space="0"/>
                    <w:left w:val="single" w:color="auto" w:sz="4" w:space="0"/>
                    <w:bottom w:val="single" w:color="auto" w:sz="4" w:space="0"/>
                    <w:right w:val="single" w:color="auto" w:sz="4" w:space="0"/>
                  </w:tcBorders>
                  <w:vAlign w:val="center"/>
                </w:tcPr>
                <w:p w14:paraId="3E78FEB0">
                  <w:pPr>
                    <w:spacing w:line="240" w:lineRule="auto"/>
                    <w:contextualSpacing/>
                    <w:rPr>
                      <w:rFonts w:hint="default" w:eastAsia="宋体"/>
                      <w:color w:val="auto"/>
                      <w:sz w:val="21"/>
                      <w:szCs w:val="21"/>
                      <w:lang w:val="en-US" w:eastAsia="zh-CN"/>
                    </w:rPr>
                  </w:pPr>
                  <w:r>
                    <w:rPr>
                      <w:rFonts w:hint="eastAsia" w:eastAsia="宋体"/>
                      <w:color w:val="auto"/>
                      <w:sz w:val="21"/>
                      <w:szCs w:val="21"/>
                      <w:lang w:val="en-US" w:eastAsia="zh-CN"/>
                    </w:rPr>
                    <w:t>本次环评提出在停车场出口下方设置一个初期雨水收集池。</w:t>
                  </w:r>
                </w:p>
              </w:tc>
            </w:tr>
          </w:tbl>
          <w:p w14:paraId="1AD03528">
            <w:pPr>
              <w:bidi w:val="0"/>
              <w:rPr>
                <w:rFonts w:hint="default"/>
                <w:color w:val="auto"/>
                <w:lang w:val="en-US" w:eastAsia="zh-CN"/>
              </w:rPr>
            </w:pPr>
          </w:p>
          <w:p w14:paraId="0DDD59E4">
            <w:pPr>
              <w:bidi w:val="0"/>
              <w:rPr>
                <w:color w:val="auto"/>
              </w:rPr>
            </w:pPr>
          </w:p>
          <w:p w14:paraId="148EF8A7">
            <w:pPr>
              <w:bidi w:val="0"/>
              <w:rPr>
                <w:color w:val="auto"/>
              </w:rPr>
            </w:pPr>
          </w:p>
          <w:p w14:paraId="7B393AC8">
            <w:pPr>
              <w:bidi w:val="0"/>
              <w:rPr>
                <w:color w:val="auto"/>
              </w:rPr>
            </w:pPr>
          </w:p>
          <w:p w14:paraId="02F06A1E">
            <w:pPr>
              <w:bidi w:val="0"/>
              <w:rPr>
                <w:color w:val="auto"/>
              </w:rPr>
            </w:pPr>
          </w:p>
          <w:p w14:paraId="1C278365">
            <w:pPr>
              <w:bidi w:val="0"/>
              <w:rPr>
                <w:color w:val="auto"/>
              </w:rPr>
            </w:pPr>
          </w:p>
          <w:p w14:paraId="3135D9A4">
            <w:pPr>
              <w:bidi w:val="0"/>
              <w:rPr>
                <w:color w:val="auto"/>
              </w:rPr>
            </w:pPr>
          </w:p>
          <w:p w14:paraId="69DEEC94">
            <w:pPr>
              <w:bidi w:val="0"/>
              <w:rPr>
                <w:color w:val="auto"/>
              </w:rPr>
            </w:pPr>
          </w:p>
          <w:p w14:paraId="56BC76D3">
            <w:pPr>
              <w:bidi w:val="0"/>
              <w:rPr>
                <w:color w:val="auto"/>
              </w:rPr>
            </w:pPr>
          </w:p>
          <w:p w14:paraId="20445F73">
            <w:pPr>
              <w:bidi w:val="0"/>
              <w:rPr>
                <w:color w:val="auto"/>
              </w:rPr>
            </w:pPr>
          </w:p>
          <w:p w14:paraId="729AB74E">
            <w:pPr>
              <w:bidi w:val="0"/>
              <w:rPr>
                <w:color w:val="auto"/>
              </w:rPr>
            </w:pPr>
          </w:p>
          <w:p w14:paraId="63CCEB81">
            <w:pPr>
              <w:bidi w:val="0"/>
              <w:rPr>
                <w:color w:val="auto"/>
              </w:rPr>
            </w:pPr>
          </w:p>
          <w:p w14:paraId="7F943E35">
            <w:pPr>
              <w:bidi w:val="0"/>
              <w:rPr>
                <w:color w:val="auto"/>
              </w:rPr>
            </w:pPr>
          </w:p>
          <w:p w14:paraId="39DA3058">
            <w:pPr>
              <w:bidi w:val="0"/>
              <w:rPr>
                <w:color w:val="auto"/>
              </w:rPr>
            </w:pPr>
          </w:p>
          <w:p w14:paraId="78ECE612">
            <w:pPr>
              <w:bidi w:val="0"/>
              <w:rPr>
                <w:color w:val="auto"/>
              </w:rPr>
            </w:pPr>
          </w:p>
          <w:p w14:paraId="02608A47">
            <w:pPr>
              <w:bidi w:val="0"/>
              <w:rPr>
                <w:color w:val="auto"/>
              </w:rPr>
            </w:pPr>
          </w:p>
          <w:p w14:paraId="1DE29078">
            <w:pPr>
              <w:bidi w:val="0"/>
              <w:rPr>
                <w:color w:val="auto"/>
              </w:rPr>
            </w:pPr>
          </w:p>
          <w:p w14:paraId="5D96DDC5">
            <w:pPr>
              <w:bidi w:val="0"/>
              <w:rPr>
                <w:color w:val="auto"/>
              </w:rPr>
            </w:pPr>
          </w:p>
          <w:p w14:paraId="3BD77442">
            <w:pPr>
              <w:bidi w:val="0"/>
              <w:rPr>
                <w:color w:val="auto"/>
              </w:rPr>
            </w:pPr>
          </w:p>
          <w:p w14:paraId="0597A5BB">
            <w:pPr>
              <w:bidi w:val="0"/>
              <w:rPr>
                <w:color w:val="auto"/>
              </w:rPr>
            </w:pPr>
          </w:p>
          <w:p w14:paraId="5EC8E2E8">
            <w:pPr>
              <w:bidi w:val="0"/>
              <w:rPr>
                <w:color w:val="auto"/>
              </w:rPr>
            </w:pPr>
          </w:p>
          <w:p w14:paraId="579A3532">
            <w:pPr>
              <w:bidi w:val="0"/>
              <w:rPr>
                <w:color w:val="auto"/>
              </w:rPr>
            </w:pPr>
          </w:p>
          <w:p w14:paraId="67F237D3">
            <w:pPr>
              <w:bidi w:val="0"/>
              <w:rPr>
                <w:color w:val="auto"/>
              </w:rPr>
            </w:pPr>
          </w:p>
          <w:p w14:paraId="7B8CA7FC">
            <w:pPr>
              <w:rPr>
                <w:color w:val="auto"/>
                <w:vertAlign w:val="baseline"/>
              </w:rPr>
            </w:pPr>
          </w:p>
        </w:tc>
      </w:tr>
    </w:tbl>
    <w:p w14:paraId="19A4755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A637EF">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7" w:name="_Toc736"/>
      <w:r>
        <w:rPr>
          <w:rFonts w:hint="eastAsia" w:ascii="黑体" w:hAnsi="黑体" w:eastAsia="黑体" w:cs="黑体"/>
          <w:color w:val="auto"/>
          <w:sz w:val="30"/>
          <w:szCs w:val="30"/>
          <w:lang w:val="en-US" w:eastAsia="zh-CN"/>
        </w:rPr>
        <w:t>三、区域环境质量现状、环境保护目标及评价标准</w:t>
      </w:r>
      <w:bookmarkEnd w:id="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14:paraId="69C8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591A2604">
            <w:pPr>
              <w:jc w:val="center"/>
              <w:rPr>
                <w:rFonts w:hint="eastAsia"/>
                <w:color w:val="auto"/>
                <w:vertAlign w:val="baseline"/>
                <w:lang w:val="en-US" w:eastAsia="zh-CN"/>
              </w:rPr>
            </w:pPr>
            <w:r>
              <w:rPr>
                <w:rFonts w:hint="eastAsia"/>
                <w:color w:val="auto"/>
                <w:vertAlign w:val="baseline"/>
                <w:lang w:val="en-US" w:eastAsia="zh-CN"/>
              </w:rPr>
              <w:t>区域环境质量现状</w:t>
            </w:r>
          </w:p>
        </w:tc>
        <w:tc>
          <w:tcPr>
            <w:tcW w:w="7988" w:type="dxa"/>
            <w:vAlign w:val="top"/>
          </w:tcPr>
          <w:p w14:paraId="5D627276">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一、大气环境</w:t>
            </w:r>
          </w:p>
          <w:p w14:paraId="421C0164">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1、达标区判定</w:t>
            </w:r>
          </w:p>
          <w:p w14:paraId="24925BBA">
            <w:pPr>
              <w:pStyle w:val="12"/>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项目位于云南省昆明市寻甸县特色产业园区金所片区，项目所在区域的环境空气功能区属于《环境空气质量标准》（GB3095-2012）</w:t>
            </w:r>
            <w:r>
              <w:rPr>
                <w:rFonts w:hint="eastAsia"/>
                <w:color w:val="auto"/>
                <w:lang w:val="en-US" w:eastAsia="zh-CN"/>
              </w:rPr>
              <w:t>和</w:t>
            </w:r>
            <w:r>
              <w:rPr>
                <w:rFonts w:hint="eastAsia"/>
                <w:color w:val="auto"/>
                <w:vertAlign w:val="baseline"/>
                <w:lang w:val="en-US" w:eastAsia="zh-CN"/>
              </w:rPr>
              <w:t>《环境空气质量标准》（GB3095-2026）二类区。</w:t>
            </w:r>
            <w:r>
              <w:rPr>
                <w:rFonts w:hint="eastAsia"/>
                <w:color w:val="auto"/>
                <w:lang w:val="en-US" w:eastAsia="zh-CN"/>
              </w:rPr>
              <w:t>2026年3月1日前</w:t>
            </w:r>
            <w:r>
              <w:rPr>
                <w:rFonts w:hint="eastAsia"/>
                <w:color w:val="auto"/>
                <w:vertAlign w:val="baseline"/>
                <w:lang w:val="en-US" w:eastAsia="zh-CN"/>
              </w:rPr>
              <w:t>执行《环境空气质量标准》（GB3095-2012）二级标准；2026年3月1日至2030年12月31日项目区环境空气质量应达到表1过渡阶段浓度限值二级标准，2031年1月1日起项目区环境空气质量应达到表1浓度限值二级标准。</w:t>
            </w:r>
          </w:p>
          <w:p w14:paraId="49688A9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eastAsia="宋体"/>
                <w:color w:val="auto"/>
                <w:kern w:val="0"/>
                <w:lang w:val="en-US" w:eastAsia="zh-CN"/>
              </w:rPr>
            </w:pPr>
            <w:r>
              <w:rPr>
                <w:rFonts w:hint="eastAsia"/>
                <w:color w:val="auto"/>
                <w:kern w:val="0"/>
              </w:rPr>
              <w:t>根据昆明市生态环境局发布的《202</w:t>
            </w:r>
            <w:r>
              <w:rPr>
                <w:rFonts w:hint="eastAsia"/>
                <w:color w:val="auto"/>
                <w:kern w:val="0"/>
                <w:lang w:val="en-US" w:eastAsia="zh-CN"/>
              </w:rPr>
              <w:t>4</w:t>
            </w:r>
            <w:r>
              <w:rPr>
                <w:rFonts w:hint="eastAsia"/>
                <w:color w:val="auto"/>
                <w:kern w:val="0"/>
              </w:rPr>
              <w:t>年度昆明市生态环境状况公报》</w:t>
            </w:r>
            <w:r>
              <w:rPr>
                <w:rFonts w:hint="eastAsia"/>
                <w:color w:val="auto"/>
                <w:kern w:val="0"/>
                <w:lang w:eastAsia="zh-CN"/>
              </w:rPr>
              <w:t>，</w:t>
            </w:r>
            <w:r>
              <w:rPr>
                <w:rFonts w:hint="eastAsia"/>
                <w:color w:val="auto"/>
                <w:vertAlign w:val="baseline"/>
                <w:lang w:val="en-US" w:eastAsia="zh-CN"/>
              </w:rPr>
              <w:t>2024年昆明市主城区外所辖的8个县（市）、区环境空气质量总体保持良好，各项污染物平均浓度均达到《环境空气质量标准》（GB3095-2012）二级标准。</w:t>
            </w:r>
            <w:r>
              <w:rPr>
                <w:rFonts w:hint="eastAsia"/>
                <w:color w:val="auto"/>
                <w:kern w:val="0"/>
              </w:rPr>
              <w:t>因此判定项目区为环境空气质量达标区。</w:t>
            </w:r>
          </w:p>
          <w:p w14:paraId="4FC4ED4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kern w:val="0"/>
                <w:lang w:val="en-US" w:eastAsia="zh-CN"/>
              </w:rPr>
            </w:pPr>
            <w:r>
              <w:rPr>
                <w:rFonts w:hint="eastAsia"/>
                <w:b/>
                <w:bCs/>
                <w:color w:val="auto"/>
                <w:kern w:val="0"/>
                <w:lang w:val="en-US" w:eastAsia="zh-CN"/>
              </w:rPr>
              <w:t>2、特征污染物环境质量现状</w:t>
            </w:r>
          </w:p>
          <w:p w14:paraId="17D59A7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eastAsia="宋体"/>
                <w:color w:val="auto"/>
                <w:kern w:val="0"/>
                <w:lang w:val="en-US" w:eastAsia="zh-CN"/>
              </w:rPr>
            </w:pPr>
            <w:r>
              <w:rPr>
                <w:rFonts w:hint="eastAsia"/>
                <w:color w:val="auto"/>
                <w:kern w:val="0"/>
                <w:lang w:val="en-US" w:eastAsia="zh-CN"/>
              </w:rPr>
              <w:t>本项目涉及的特征因子为非甲烷总烃，</w:t>
            </w:r>
            <w:r>
              <w:rPr>
                <w:rFonts w:hint="eastAsia"/>
                <w:color w:val="auto"/>
                <w:kern w:val="0"/>
              </w:rPr>
              <w:t>为了解项目所在区域环境空气中</w:t>
            </w:r>
            <w:r>
              <w:rPr>
                <w:rFonts w:hint="eastAsia"/>
                <w:color w:val="auto"/>
                <w:kern w:val="0"/>
                <w:lang w:val="en-US" w:eastAsia="zh-CN"/>
              </w:rPr>
              <w:t>非甲烷总烃</w:t>
            </w:r>
            <w:r>
              <w:rPr>
                <w:rFonts w:hint="eastAsia"/>
                <w:color w:val="auto"/>
                <w:kern w:val="0"/>
              </w:rPr>
              <w:t>的质量状况，本次评价引用《寻甸县蜀滇塑料制品经营部蔬菜框生产项目环境影响报告书》</w:t>
            </w:r>
            <w:r>
              <w:rPr>
                <w:rFonts w:hint="eastAsia"/>
                <w:color w:val="auto"/>
                <w:kern w:val="0"/>
                <w:lang w:val="en-US" w:eastAsia="zh-CN"/>
              </w:rPr>
              <w:t>中寻甸县蜀滇塑料制品经营部委托云南鼎祺检测有限公司对项目区及项目下风向三月三村非甲烷总烃的监测数据。</w:t>
            </w:r>
          </w:p>
          <w:p w14:paraId="4EDDEFF0">
            <w:pPr>
              <w:ind w:firstLine="480" w:firstLineChars="200"/>
              <w:rPr>
                <w:rFonts w:eastAsia="Times New Roman"/>
                <w:color w:val="auto"/>
                <w:kern w:val="0"/>
              </w:rPr>
            </w:pPr>
            <w:r>
              <w:rPr>
                <w:rFonts w:hint="eastAsia"/>
                <w:color w:val="auto"/>
                <w:kern w:val="0"/>
              </w:rPr>
              <w:t>根据《建设项目环境影响报告表编制技术指南（污染影响类）（试行）》的要求“排放国家、地方环境空气质量标准中有标准限值要求的特征污染物时，引用建设项目周边5千米范围内近3年的现有监测数据”。本评价引用的监测数据在项目</w:t>
            </w:r>
            <w:r>
              <w:rPr>
                <w:rFonts w:hint="eastAsia"/>
                <w:color w:val="auto"/>
                <w:kern w:val="0"/>
                <w:lang w:val="en-US" w:eastAsia="zh-CN"/>
              </w:rPr>
              <w:t>东南侧2.7km处，位于项目</w:t>
            </w:r>
            <w:r>
              <w:rPr>
                <w:rFonts w:hint="eastAsia"/>
                <w:color w:val="auto"/>
                <w:kern w:val="0"/>
              </w:rPr>
              <w:t>周边5km范围内，且监测数据未超过3年有效期，因此本评价可以引用上述现状监测数据</w:t>
            </w:r>
            <w:r>
              <w:rPr>
                <w:rFonts w:hint="eastAsia"/>
                <w:color w:val="auto"/>
                <w:kern w:val="0"/>
                <w:lang w:eastAsia="zh-CN"/>
              </w:rPr>
              <w:t>，监测结果见下表。</w:t>
            </w:r>
            <w:r>
              <w:rPr>
                <w:rFonts w:hint="eastAsia" w:eastAsia="Times New Roman"/>
                <w:color w:val="auto"/>
                <w:kern w:val="0"/>
              </w:rPr>
              <w:t>本项目区与引用项目监测点位位置相对位置见下图。</w:t>
            </w:r>
          </w:p>
          <w:p w14:paraId="5BF8B2A4">
            <w:pPr>
              <w:ind w:firstLine="480" w:firstLineChars="200"/>
              <w:rPr>
                <w:rFonts w:hint="default" w:eastAsia="宋体"/>
                <w:color w:val="auto"/>
                <w:kern w:val="0"/>
                <w:lang w:val="en-US" w:eastAsia="zh-CN"/>
              </w:rPr>
            </w:pPr>
            <w:r>
              <w:rPr>
                <w:rFonts w:hint="eastAsia" w:eastAsia="Times New Roman"/>
                <w:color w:val="auto"/>
                <w:kern w:val="0"/>
              </w:rPr>
              <w:t>①监测项目：</w:t>
            </w:r>
            <w:r>
              <w:rPr>
                <w:rFonts w:hint="eastAsia" w:eastAsia="宋体"/>
                <w:color w:val="auto"/>
                <w:kern w:val="0"/>
                <w:lang w:val="en-US" w:eastAsia="zh-CN"/>
              </w:rPr>
              <w:t>非甲烷总烃</w:t>
            </w:r>
          </w:p>
          <w:p w14:paraId="06D4F9E7">
            <w:pPr>
              <w:ind w:firstLine="480" w:firstLineChars="200"/>
              <w:rPr>
                <w:rFonts w:eastAsia="Times New Roman"/>
                <w:color w:val="auto"/>
                <w:kern w:val="0"/>
              </w:rPr>
            </w:pPr>
            <w:r>
              <w:rPr>
                <w:rFonts w:hint="eastAsia" w:eastAsia="Times New Roman"/>
                <w:color w:val="auto"/>
                <w:kern w:val="0"/>
              </w:rPr>
              <w:t>②监测时间：202</w:t>
            </w:r>
            <w:r>
              <w:rPr>
                <w:rFonts w:hint="eastAsia" w:eastAsia="宋体"/>
                <w:color w:val="auto"/>
                <w:kern w:val="0"/>
                <w:lang w:val="en-US" w:eastAsia="zh-CN"/>
              </w:rPr>
              <w:t>4</w:t>
            </w:r>
            <w:r>
              <w:rPr>
                <w:rFonts w:hint="eastAsia" w:eastAsia="Times New Roman"/>
                <w:color w:val="auto"/>
                <w:kern w:val="0"/>
              </w:rPr>
              <w:t>年</w:t>
            </w:r>
            <w:r>
              <w:rPr>
                <w:rFonts w:hint="eastAsia" w:eastAsia="宋体"/>
                <w:color w:val="auto"/>
                <w:kern w:val="0"/>
                <w:lang w:val="en-US" w:eastAsia="zh-CN"/>
              </w:rPr>
              <w:t>12</w:t>
            </w:r>
            <w:r>
              <w:rPr>
                <w:rFonts w:hint="eastAsia" w:eastAsia="Times New Roman"/>
                <w:color w:val="auto"/>
                <w:kern w:val="0"/>
              </w:rPr>
              <w:t>月2</w:t>
            </w:r>
            <w:r>
              <w:rPr>
                <w:rFonts w:hint="eastAsia" w:eastAsia="宋体"/>
                <w:color w:val="auto"/>
                <w:kern w:val="0"/>
                <w:lang w:val="en-US" w:eastAsia="zh-CN"/>
              </w:rPr>
              <w:t>7</w:t>
            </w:r>
            <w:r>
              <w:rPr>
                <w:rFonts w:hint="eastAsia" w:eastAsia="Times New Roman"/>
                <w:color w:val="auto"/>
                <w:kern w:val="0"/>
              </w:rPr>
              <w:t>日-</w:t>
            </w:r>
            <w:r>
              <w:rPr>
                <w:rFonts w:hint="eastAsia" w:eastAsia="宋体"/>
                <w:color w:val="auto"/>
                <w:kern w:val="0"/>
                <w:lang w:val="en-US" w:eastAsia="zh-CN"/>
              </w:rPr>
              <w:t>1</w:t>
            </w:r>
            <w:r>
              <w:rPr>
                <w:rFonts w:hint="eastAsia" w:eastAsia="Times New Roman"/>
                <w:color w:val="auto"/>
                <w:kern w:val="0"/>
              </w:rPr>
              <w:t>月</w:t>
            </w:r>
            <w:r>
              <w:rPr>
                <w:rFonts w:hint="eastAsia" w:eastAsia="宋体"/>
                <w:color w:val="auto"/>
                <w:kern w:val="0"/>
                <w:lang w:val="en-US" w:eastAsia="zh-CN"/>
              </w:rPr>
              <w:t>2</w:t>
            </w:r>
            <w:r>
              <w:rPr>
                <w:rFonts w:hint="eastAsia" w:eastAsia="Times New Roman"/>
                <w:color w:val="auto"/>
                <w:kern w:val="0"/>
              </w:rPr>
              <w:t>日</w:t>
            </w:r>
          </w:p>
          <w:p w14:paraId="7CB4DBF7">
            <w:pPr>
              <w:ind w:firstLine="480" w:firstLineChars="200"/>
              <w:rPr>
                <w:rFonts w:hint="default" w:eastAsia="宋体"/>
                <w:color w:val="auto"/>
                <w:kern w:val="0"/>
                <w:lang w:val="en-US" w:eastAsia="zh-CN"/>
              </w:rPr>
            </w:pPr>
            <w:r>
              <w:rPr>
                <w:rFonts w:hint="eastAsia" w:eastAsia="Times New Roman"/>
                <w:color w:val="auto"/>
                <w:kern w:val="0"/>
              </w:rPr>
              <w:t>③监测点位：</w:t>
            </w:r>
            <w:r>
              <w:rPr>
                <w:rFonts w:hint="eastAsia"/>
                <w:color w:val="auto"/>
                <w:kern w:val="0"/>
              </w:rPr>
              <w:t>寻甸县蜀滇塑料制品经营部蔬菜框生产项目</w:t>
            </w:r>
            <w:r>
              <w:rPr>
                <w:rFonts w:hint="eastAsia"/>
                <w:color w:val="auto"/>
                <w:kern w:val="0"/>
                <w:lang w:eastAsia="zh-CN"/>
              </w:rPr>
              <w:t>、</w:t>
            </w:r>
            <w:r>
              <w:rPr>
                <w:rFonts w:hint="eastAsia"/>
                <w:color w:val="auto"/>
                <w:kern w:val="0"/>
                <w:lang w:val="en-US" w:eastAsia="zh-CN"/>
              </w:rPr>
              <w:t>项目下风向三月三村</w:t>
            </w:r>
          </w:p>
          <w:p w14:paraId="031439DA">
            <w:pPr>
              <w:ind w:firstLine="480" w:firstLineChars="200"/>
              <w:rPr>
                <w:rFonts w:hint="eastAsia" w:eastAsia="Times New Roman"/>
                <w:color w:val="auto"/>
                <w:kern w:val="0"/>
              </w:rPr>
            </w:pPr>
            <w:r>
              <w:rPr>
                <w:rFonts w:hint="eastAsia" w:eastAsia="Times New Roman"/>
                <w:color w:val="auto"/>
                <w:kern w:val="0"/>
              </w:rPr>
              <w:t>④监测频率：连续7天</w:t>
            </w:r>
          </w:p>
          <w:p w14:paraId="258854B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kern w:val="0"/>
                <w:lang w:eastAsia="zh-CN"/>
              </w:rPr>
            </w:pPr>
            <w:r>
              <w:rPr>
                <w:color w:val="auto"/>
              </w:rPr>
              <w:drawing>
                <wp:inline distT="0" distB="0" distL="114300" distR="114300">
                  <wp:extent cx="5041265" cy="2974975"/>
                  <wp:effectExtent l="0" t="0" r="698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041265" cy="2974975"/>
                          </a:xfrm>
                          <a:prstGeom prst="rect">
                            <a:avLst/>
                          </a:prstGeom>
                          <a:noFill/>
                          <a:ln>
                            <a:noFill/>
                          </a:ln>
                        </pic:spPr>
                      </pic:pic>
                    </a:graphicData>
                  </a:graphic>
                </wp:inline>
              </w:drawing>
            </w:r>
          </w:p>
          <w:p w14:paraId="2895F05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kern w:val="0"/>
                <w:sz w:val="21"/>
                <w:szCs w:val="21"/>
                <w:lang w:eastAsia="zh-CN"/>
              </w:rPr>
            </w:pPr>
            <w:r>
              <w:rPr>
                <w:rFonts w:hint="eastAsia" w:eastAsia="宋体"/>
                <w:b/>
                <w:bCs/>
                <w:color w:val="auto"/>
                <w:kern w:val="0"/>
                <w:sz w:val="21"/>
                <w:szCs w:val="21"/>
                <w:lang w:eastAsia="zh-CN"/>
              </w:rPr>
              <w:t>图3-1 大气环境引用监测点与本项目位置关系</w:t>
            </w:r>
          </w:p>
          <w:p w14:paraId="1C19BE2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b w:val="0"/>
                <w:bCs w:val="0"/>
                <w:color w:val="auto"/>
                <w:kern w:val="0"/>
                <w:sz w:val="24"/>
                <w:szCs w:val="24"/>
                <w:lang w:eastAsia="zh-CN"/>
              </w:rPr>
            </w:pPr>
            <w:r>
              <w:rPr>
                <w:rFonts w:hint="eastAsia" w:eastAsia="宋体"/>
                <w:b w:val="0"/>
                <w:bCs w:val="0"/>
                <w:color w:val="auto"/>
                <w:kern w:val="0"/>
                <w:sz w:val="24"/>
                <w:szCs w:val="24"/>
                <w:lang w:eastAsia="zh-CN"/>
              </w:rPr>
              <w:t>具体监测结果如下：</w:t>
            </w:r>
          </w:p>
          <w:p w14:paraId="5B4C55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kern w:val="0"/>
                <w:sz w:val="21"/>
                <w:szCs w:val="21"/>
                <w:lang w:val="en-US" w:eastAsia="zh-CN"/>
              </w:rPr>
            </w:pPr>
            <w:r>
              <w:rPr>
                <w:rFonts w:hint="eastAsia"/>
                <w:b/>
                <w:bCs/>
                <w:color w:val="auto"/>
                <w:kern w:val="0"/>
                <w:sz w:val="21"/>
                <w:szCs w:val="21"/>
                <w:lang w:val="en-US" w:eastAsia="zh-CN"/>
              </w:rPr>
              <w:t>表3-1 非甲烷总烃现状检测结果一览表 单位：mg/m</w:t>
            </w:r>
            <w:r>
              <w:rPr>
                <w:rFonts w:hint="eastAsia"/>
                <w:b/>
                <w:bCs/>
                <w:color w:val="auto"/>
                <w:kern w:val="0"/>
                <w:sz w:val="21"/>
                <w:szCs w:val="21"/>
                <w:vertAlign w:val="superscript"/>
                <w:lang w:val="en-US" w:eastAsia="zh-CN"/>
              </w:rPr>
              <w:t>3</w:t>
            </w:r>
          </w:p>
          <w:tbl>
            <w:tblPr>
              <w:tblStyle w:val="29"/>
              <w:tblpPr w:leftFromText="181" w:rightFromText="181" w:vertAnchor="text" w:tblpXSpec="center" w:tblpY="1"/>
              <w:tblOverlap w:val="never"/>
              <w:tblW w:w="7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271"/>
              <w:gridCol w:w="1410"/>
              <w:gridCol w:w="1395"/>
              <w:gridCol w:w="1760"/>
            </w:tblGrid>
            <w:tr w14:paraId="719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158533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24765</wp:posOffset>
                            </wp:positionV>
                            <wp:extent cx="1238250" cy="542925"/>
                            <wp:effectExtent l="1905" t="4445" r="17145" b="5080"/>
                            <wp:wrapNone/>
                            <wp:docPr id="27" name="直接箭头连接符 27"/>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5429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0.95pt;margin-top:1.95pt;height:42.75pt;width:97.5pt;z-index:251660288;mso-width-relative:page;mso-height-relative:page;" filled="f" stroked="t" coordsize="21600,21600" o:gfxdata="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9a73XAAAABwEAAA8AAAAAAAAAAQAgAAAAIgAAAGRycy9k&#10;b3ducmV2LnhtbFBLAQIUABQAAAAIAIdO4kC7DONMAwIAANkDAAAOAAAAAAAAAAEAIAAAACY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highlight w:val="none"/>
                    </w:rPr>
                    <w:t>采样项目及地点</w:t>
                  </w:r>
                </w:p>
                <w:p w14:paraId="32D87A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结果</w:t>
                  </w:r>
                </w:p>
                <w:p w14:paraId="101881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-47625</wp:posOffset>
                            </wp:positionV>
                            <wp:extent cx="1257300" cy="247650"/>
                            <wp:effectExtent l="635" t="4445" r="18415" b="14605"/>
                            <wp:wrapNone/>
                            <wp:docPr id="26" name="直接箭头连接符 26"/>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2476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3.95pt;margin-top:-3.75pt;height:19.5pt;width:99pt;z-index:251661312;mso-width-relative:page;mso-height-relative:page;" filled="f" stroked="t" coordsize="21600,21600" o:gfxdata="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&#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mCCC2AAAAAgBAAAPAAAAAAAAAAEAIAAAACIAAABk&#10;cnMvZG93bnJldi54bWxQSwECFAAUAAAACACHTuJAnGLa7QYCAADZAwAADgAAAAAAAAABACAAAAAn&#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highlight w:val="none"/>
                    </w:rPr>
                    <w:t>采样</w:t>
                  </w:r>
                  <w:r>
                    <w:rPr>
                      <w:rFonts w:hint="default" w:ascii="Times New Roman" w:hAnsi="Times New Roman" w:cs="Times New Roman"/>
                      <w:color w:val="auto"/>
                      <w:sz w:val="21"/>
                      <w:szCs w:val="21"/>
                      <w:highlight w:val="none"/>
                      <w:lang w:val="en-US" w:eastAsia="zh-CN"/>
                    </w:rPr>
                    <w:t>日期</w:t>
                  </w:r>
                </w:p>
              </w:tc>
              <w:tc>
                <w:tcPr>
                  <w:tcW w:w="5836" w:type="dxa"/>
                  <w:gridSpan w:val="4"/>
                  <w:tcBorders>
                    <w:tl2br w:val="nil"/>
                    <w:tr2bl w:val="nil"/>
                  </w:tcBorders>
                  <w:vAlign w:val="center"/>
                </w:tcPr>
                <w:p w14:paraId="66C19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r>
                    <w:rPr>
                      <w:rFonts w:hint="default" w:ascii="Times New Roman" w:hAnsi="Times New Roman" w:cs="Times New Roman"/>
                      <w:bCs/>
                      <w:color w:val="auto"/>
                      <w:sz w:val="21"/>
                      <w:szCs w:val="21"/>
                      <w:highlight w:val="none"/>
                      <w:lang w:val="en-GB"/>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bCs/>
                      <w:color w:val="auto"/>
                      <w:sz w:val="21"/>
                      <w:szCs w:val="21"/>
                      <w:highlight w:val="none"/>
                      <w:lang w:val="en-GB"/>
                    </w:rPr>
                    <w:t>）</w:t>
                  </w:r>
                </w:p>
              </w:tc>
            </w:tr>
            <w:tr w14:paraId="454E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2067A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CD59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采样时间</w:t>
                  </w:r>
                </w:p>
              </w:tc>
              <w:tc>
                <w:tcPr>
                  <w:tcW w:w="1410" w:type="dxa"/>
                  <w:tcBorders>
                    <w:tl2br w:val="nil"/>
                    <w:tr2bl w:val="nil"/>
                  </w:tcBorders>
                  <w:vAlign w:val="center"/>
                </w:tcPr>
                <w:p w14:paraId="1114F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1#：项目区内</w:t>
                  </w:r>
                </w:p>
              </w:tc>
              <w:tc>
                <w:tcPr>
                  <w:tcW w:w="1395" w:type="dxa"/>
                  <w:tcBorders>
                    <w:tl2br w:val="nil"/>
                    <w:tr2bl w:val="nil"/>
                  </w:tcBorders>
                  <w:vAlign w:val="center"/>
                </w:tcPr>
                <w:p w14:paraId="01D6E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采样时间</w:t>
                  </w:r>
                </w:p>
              </w:tc>
              <w:tc>
                <w:tcPr>
                  <w:tcW w:w="1760" w:type="dxa"/>
                  <w:tcBorders>
                    <w:tl2br w:val="nil"/>
                    <w:tr2bl w:val="nil"/>
                  </w:tcBorders>
                  <w:vAlign w:val="bottom"/>
                </w:tcPr>
                <w:p w14:paraId="13B9B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2#：项目区下风向</w:t>
                  </w:r>
                  <w:r>
                    <w:rPr>
                      <w:rFonts w:hint="default" w:ascii="Times New Roman" w:hAnsi="Times New Roman" w:cs="Times New Roman"/>
                      <w:color w:val="auto"/>
                      <w:sz w:val="21"/>
                      <w:szCs w:val="21"/>
                      <w:highlight w:val="none"/>
                      <w:lang w:val="en-US" w:eastAsia="zh-CN"/>
                    </w:rPr>
                    <w:t>三月三</w:t>
                  </w:r>
                  <w:r>
                    <w:rPr>
                      <w:rFonts w:hint="default" w:ascii="Times New Roman" w:hAnsi="Times New Roman" w:cs="Times New Roman"/>
                      <w:color w:val="auto"/>
                      <w:sz w:val="21"/>
                      <w:szCs w:val="21"/>
                      <w:highlight w:val="none"/>
                    </w:rPr>
                    <w:t>村</w:t>
                  </w:r>
                </w:p>
              </w:tc>
            </w:tr>
            <w:tr w14:paraId="599B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52B6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2023年12月27日</w:t>
                  </w:r>
                </w:p>
              </w:tc>
              <w:tc>
                <w:tcPr>
                  <w:tcW w:w="1271" w:type="dxa"/>
                  <w:tcBorders>
                    <w:tl2br w:val="nil"/>
                    <w:tr2bl w:val="nil"/>
                  </w:tcBorders>
                  <w:vAlign w:val="center"/>
                </w:tcPr>
                <w:p w14:paraId="7BCFF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D452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c>
                <w:tcPr>
                  <w:tcW w:w="1395" w:type="dxa"/>
                  <w:tcBorders>
                    <w:tl2br w:val="nil"/>
                    <w:tr2bl w:val="nil"/>
                  </w:tcBorders>
                  <w:vAlign w:val="center"/>
                </w:tcPr>
                <w:p w14:paraId="5BF26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014BB0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p>
              </w:tc>
            </w:tr>
            <w:tr w14:paraId="6095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CCF5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D88F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4414E1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294E9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423F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2952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1211D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FD2F2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569C7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66E8BF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14:11</w:t>
                  </w:r>
                </w:p>
              </w:tc>
              <w:tc>
                <w:tcPr>
                  <w:tcW w:w="1760" w:type="dxa"/>
                  <w:tcBorders>
                    <w:tl2br w:val="nil"/>
                    <w:tr2bl w:val="nil"/>
                  </w:tcBorders>
                  <w:vAlign w:val="center"/>
                </w:tcPr>
                <w:p w14:paraId="607E0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190E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3A88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E279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46F91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c>
                <w:tcPr>
                  <w:tcW w:w="1395" w:type="dxa"/>
                  <w:tcBorders>
                    <w:tl2br w:val="nil"/>
                    <w:tr2bl w:val="nil"/>
                  </w:tcBorders>
                  <w:vAlign w:val="center"/>
                </w:tcPr>
                <w:p w14:paraId="132F7D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0EADB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0.53</w:t>
                  </w:r>
                </w:p>
              </w:tc>
            </w:tr>
            <w:tr w14:paraId="04EC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1900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2023年12月28日</w:t>
                  </w:r>
                </w:p>
              </w:tc>
              <w:tc>
                <w:tcPr>
                  <w:tcW w:w="1271" w:type="dxa"/>
                  <w:tcBorders>
                    <w:tl2br w:val="nil"/>
                    <w:tr2bl w:val="nil"/>
                  </w:tcBorders>
                  <w:vAlign w:val="center"/>
                </w:tcPr>
                <w:p w14:paraId="729F01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EED9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1395" w:type="dxa"/>
                  <w:tcBorders>
                    <w:tl2br w:val="nil"/>
                    <w:tr2bl w:val="nil"/>
                  </w:tcBorders>
                  <w:vAlign w:val="center"/>
                </w:tcPr>
                <w:p w14:paraId="1AA3A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03467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F8C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29B6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6A1F4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7634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c>
                <w:tcPr>
                  <w:tcW w:w="1395" w:type="dxa"/>
                  <w:tcBorders>
                    <w:tl2br w:val="nil"/>
                    <w:tr2bl w:val="nil"/>
                  </w:tcBorders>
                  <w:vAlign w:val="center"/>
                </w:tcPr>
                <w:p w14:paraId="6A273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0D888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6AEF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3926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2ED5C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0CC6C5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21760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7276A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670C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9760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06D48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516A6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5033A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52018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w:t>
                  </w:r>
                </w:p>
              </w:tc>
            </w:tr>
            <w:tr w14:paraId="10A6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37593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2023年12月29日</w:t>
                  </w:r>
                </w:p>
              </w:tc>
              <w:tc>
                <w:tcPr>
                  <w:tcW w:w="1271" w:type="dxa"/>
                  <w:tcBorders>
                    <w:tl2br w:val="nil"/>
                    <w:tr2bl w:val="nil"/>
                  </w:tcBorders>
                  <w:vAlign w:val="center"/>
                </w:tcPr>
                <w:p w14:paraId="3A6BD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02F1E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49D3D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6E3DE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4F6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3A261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19C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4C6D2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1C7B7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1D4EC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r>
            <w:tr w14:paraId="2F35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7F630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5BEF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75581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5DACD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5E2E2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159A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A43F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1CDB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581A2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380B5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2825C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2A29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2CB96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2023年12月30日</w:t>
                  </w:r>
                </w:p>
              </w:tc>
              <w:tc>
                <w:tcPr>
                  <w:tcW w:w="1271" w:type="dxa"/>
                  <w:tcBorders>
                    <w:tl2br w:val="nil"/>
                    <w:tr2bl w:val="nil"/>
                  </w:tcBorders>
                  <w:vAlign w:val="center"/>
                </w:tcPr>
                <w:p w14:paraId="4A62E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29271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c>
                <w:tcPr>
                  <w:tcW w:w="1395" w:type="dxa"/>
                  <w:tcBorders>
                    <w:tl2br w:val="nil"/>
                    <w:tr2bl w:val="nil"/>
                  </w:tcBorders>
                  <w:vAlign w:val="center"/>
                </w:tcPr>
                <w:p w14:paraId="33B81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1996E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r>
            <w:tr w14:paraId="642D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F083E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6A0A5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519AE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1395" w:type="dxa"/>
                  <w:tcBorders>
                    <w:tl2br w:val="nil"/>
                    <w:tr2bl w:val="nil"/>
                  </w:tcBorders>
                  <w:vAlign w:val="center"/>
                </w:tcPr>
                <w:p w14:paraId="36765B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382A9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r>
            <w:tr w14:paraId="661E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C1F0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01D3B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652B34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41B88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18EA1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79B8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17770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3285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6C4A8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c>
                <w:tcPr>
                  <w:tcW w:w="1395" w:type="dxa"/>
                  <w:tcBorders>
                    <w:tl2br w:val="nil"/>
                    <w:tr2bl w:val="nil"/>
                  </w:tcBorders>
                  <w:vAlign w:val="center"/>
                </w:tcPr>
                <w:p w14:paraId="2911A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26023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1383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072EAA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2023年12月31日</w:t>
                  </w:r>
                </w:p>
              </w:tc>
              <w:tc>
                <w:tcPr>
                  <w:tcW w:w="1271" w:type="dxa"/>
                  <w:tcBorders>
                    <w:tl2br w:val="nil"/>
                    <w:tr2bl w:val="nil"/>
                  </w:tcBorders>
                  <w:vAlign w:val="center"/>
                </w:tcPr>
                <w:p w14:paraId="5584F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2C88A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1FFEB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724DF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r>
            <w:tr w14:paraId="432D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04D8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86AC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564418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350EA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3548F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7813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6E4E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3C2FD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2AACF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c>
                <w:tcPr>
                  <w:tcW w:w="1395" w:type="dxa"/>
                  <w:tcBorders>
                    <w:tl2br w:val="nil"/>
                    <w:tr2bl w:val="nil"/>
                  </w:tcBorders>
                  <w:vAlign w:val="center"/>
                </w:tcPr>
                <w:p w14:paraId="48BDB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02ECC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4F74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2C9E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DAE88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34F58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6D559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68D89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46DE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0052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2024年01月01日</w:t>
                  </w:r>
                </w:p>
              </w:tc>
              <w:tc>
                <w:tcPr>
                  <w:tcW w:w="1271" w:type="dxa"/>
                  <w:tcBorders>
                    <w:tl2br w:val="nil"/>
                    <w:tr2bl w:val="nil"/>
                  </w:tcBorders>
                  <w:vAlign w:val="center"/>
                </w:tcPr>
                <w:p w14:paraId="3A850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3F231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21D4E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2447F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r>
            <w:tr w14:paraId="5512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A180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AFA5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77A6C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46602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0B7DE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398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D16D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253FB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0C18C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79D44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7DFDA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5237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90AD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E2F7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4A108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21F48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49BB6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0.42</w:t>
                  </w:r>
                </w:p>
              </w:tc>
            </w:tr>
            <w:tr w14:paraId="3E8C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11296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2024年01月02日</w:t>
                  </w:r>
                </w:p>
              </w:tc>
              <w:tc>
                <w:tcPr>
                  <w:tcW w:w="1271" w:type="dxa"/>
                  <w:tcBorders>
                    <w:tl2br w:val="nil"/>
                    <w:tr2bl w:val="nil"/>
                  </w:tcBorders>
                  <w:vAlign w:val="center"/>
                </w:tcPr>
                <w:p w14:paraId="377B3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9926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1395" w:type="dxa"/>
                  <w:tcBorders>
                    <w:tl2br w:val="nil"/>
                    <w:tr2bl w:val="nil"/>
                  </w:tcBorders>
                  <w:vAlign w:val="center"/>
                </w:tcPr>
                <w:p w14:paraId="3B223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1F93B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0.36</w:t>
                  </w:r>
                </w:p>
              </w:tc>
            </w:tr>
            <w:tr w14:paraId="7043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0FF7E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B3AB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60C5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5A8ED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5B242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713D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8297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C4D7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761BE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745612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63744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2AEC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F2E0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9AAC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33AFF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098E7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795D50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p>
              </w:tc>
            </w:tr>
            <w:tr w14:paraId="4038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4" w:type="dxa"/>
                  <w:gridSpan w:val="2"/>
                  <w:tcBorders>
                    <w:tl2br w:val="nil"/>
                    <w:tr2bl w:val="nil"/>
                  </w:tcBorders>
                  <w:vAlign w:val="center"/>
                </w:tcPr>
                <w:p w14:paraId="0999A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1410" w:type="dxa"/>
                  <w:tcBorders>
                    <w:tl2br w:val="nil"/>
                    <w:tr2bl w:val="nil"/>
                  </w:tcBorders>
                  <w:vAlign w:val="center"/>
                </w:tcPr>
                <w:p w14:paraId="71B7B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395" w:type="dxa"/>
                  <w:tcBorders>
                    <w:tl2br w:val="nil"/>
                    <w:tr2bl w:val="nil"/>
                  </w:tcBorders>
                  <w:vAlign w:val="center"/>
                </w:tcPr>
                <w:p w14:paraId="05C0E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1760" w:type="dxa"/>
                  <w:tcBorders>
                    <w:tl2br w:val="nil"/>
                    <w:tr2bl w:val="nil"/>
                  </w:tcBorders>
                  <w:vAlign w:val="center"/>
                </w:tcPr>
                <w:p w14:paraId="77EED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5317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4" w:type="dxa"/>
                  <w:gridSpan w:val="2"/>
                  <w:tcBorders>
                    <w:tl2br w:val="nil"/>
                    <w:tr2bl w:val="nil"/>
                  </w:tcBorders>
                  <w:vAlign w:val="center"/>
                </w:tcPr>
                <w:p w14:paraId="496D99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1410" w:type="dxa"/>
                  <w:tcBorders>
                    <w:tl2br w:val="nil"/>
                    <w:tr2bl w:val="nil"/>
                  </w:tcBorders>
                  <w:vAlign w:val="center"/>
                </w:tcPr>
                <w:p w14:paraId="337049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1395" w:type="dxa"/>
                  <w:tcBorders>
                    <w:tl2br w:val="nil"/>
                    <w:tr2bl w:val="nil"/>
                  </w:tcBorders>
                  <w:vAlign w:val="center"/>
                </w:tcPr>
                <w:p w14:paraId="4CA3AF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1760" w:type="dxa"/>
                  <w:tcBorders>
                    <w:tl2br w:val="nil"/>
                    <w:tr2bl w:val="nil"/>
                  </w:tcBorders>
                  <w:vAlign w:val="center"/>
                </w:tcPr>
                <w:p w14:paraId="2937E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6E21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tcBorders>
                    <w:tl2br w:val="nil"/>
                    <w:tr2bl w:val="nil"/>
                  </w:tcBorders>
                  <w:vAlign w:val="center"/>
                </w:tcPr>
                <w:p w14:paraId="4A2F3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c>
                <w:tcPr>
                  <w:tcW w:w="5836" w:type="dxa"/>
                  <w:gridSpan w:val="4"/>
                  <w:tcBorders>
                    <w:tl2br w:val="nil"/>
                    <w:tr2bl w:val="nil"/>
                  </w:tcBorders>
                  <w:vAlign w:val="center"/>
                </w:tcPr>
                <w:p w14:paraId="2D90A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注：1.</w:t>
                  </w:r>
                  <w:r>
                    <w:rPr>
                      <w:rFonts w:hint="default" w:ascii="Times New Roman" w:hAnsi="Times New Roman" w:cs="Times New Roman"/>
                      <w:color w:val="auto"/>
                      <w:sz w:val="21"/>
                      <w:szCs w:val="21"/>
                      <w:highlight w:val="none"/>
                      <w:lang w:val="en-GB"/>
                    </w:rPr>
                    <w:t>检测结果低于方法检出限时，该项检测结果以“＜</w:t>
                  </w:r>
                  <w:r>
                    <w:rPr>
                      <w:rFonts w:hint="default" w:ascii="Times New Roman" w:hAnsi="Times New Roman" w:cs="Times New Roman"/>
                      <w:color w:val="auto"/>
                      <w:sz w:val="21"/>
                      <w:szCs w:val="21"/>
                      <w:highlight w:val="none"/>
                    </w:rPr>
                    <w:t>检出限</w:t>
                  </w:r>
                  <w:r>
                    <w:rPr>
                      <w:rFonts w:hint="default" w:ascii="Times New Roman" w:hAnsi="Times New Roman" w:cs="Times New Roman"/>
                      <w:color w:val="auto"/>
                      <w:sz w:val="21"/>
                      <w:szCs w:val="21"/>
                      <w:highlight w:val="none"/>
                      <w:lang w:val="en-GB"/>
                    </w:rPr>
                    <w:t>”表示；</w:t>
                  </w:r>
                </w:p>
              </w:tc>
            </w:tr>
          </w:tbl>
          <w:p w14:paraId="3E8C044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kern w:val="0"/>
              </w:rPr>
            </w:pPr>
            <w:r>
              <w:rPr>
                <w:rFonts w:hint="default" w:ascii="Times New Roman" w:hAnsi="Times New Roman" w:cs="Times New Roman"/>
                <w:color w:val="auto"/>
                <w:kern w:val="0"/>
              </w:rPr>
              <w:t>根据</w:t>
            </w:r>
            <w:r>
              <w:rPr>
                <w:rFonts w:hint="default" w:ascii="Times New Roman" w:hAnsi="Times New Roman" w:cs="Times New Roman"/>
                <w:color w:val="auto"/>
                <w:kern w:val="0"/>
                <w:lang w:val="en-US" w:eastAsia="zh-CN"/>
              </w:rPr>
              <w:t>引用</w:t>
            </w:r>
            <w:r>
              <w:rPr>
                <w:rFonts w:hint="default" w:ascii="Times New Roman" w:hAnsi="Times New Roman" w:cs="Times New Roman"/>
                <w:color w:val="auto"/>
                <w:kern w:val="0"/>
              </w:rPr>
              <w:t>检测结果，</w:t>
            </w:r>
            <w:r>
              <w:rPr>
                <w:rFonts w:hint="default" w:ascii="Times New Roman" w:hAnsi="Times New Roman" w:cs="Times New Roman"/>
                <w:color w:val="auto"/>
                <w:kern w:val="0"/>
                <w:lang w:val="en-US" w:eastAsia="zh-CN"/>
              </w:rPr>
              <w:t>项目区</w:t>
            </w:r>
            <w:r>
              <w:rPr>
                <w:rFonts w:hint="default" w:ascii="Times New Roman" w:hAnsi="Times New Roman" w:cs="Times New Roman"/>
                <w:color w:val="auto"/>
                <w:kern w:val="0"/>
              </w:rPr>
              <w:t>非甲烷总烃小时平均浓度能够达到《大气污染物综合排放标准详解》标准限值。</w:t>
            </w:r>
          </w:p>
          <w:p w14:paraId="4FEE39D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二、地表水环境</w:t>
            </w:r>
          </w:p>
          <w:p w14:paraId="0B9ECB7D">
            <w:pPr>
              <w:adjustRightInd w:val="0"/>
              <w:snapToGrid w:val="0"/>
              <w:spacing w:line="348" w:lineRule="auto"/>
              <w:ind w:firstLine="480" w:firstLineChars="200"/>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kern w:val="0"/>
                <w:sz w:val="24"/>
                <w:highlight w:val="none"/>
                <w:lang w:val="zh-CN"/>
              </w:rPr>
              <w:t>本项目</w:t>
            </w:r>
            <w:r>
              <w:rPr>
                <w:rFonts w:hint="eastAsia" w:ascii="Times New Roman" w:hAnsi="Times New Roman" w:eastAsia="宋体" w:cs="Times New Roman"/>
                <w:color w:val="auto"/>
                <w:spacing w:val="0"/>
                <w:kern w:val="0"/>
                <w:sz w:val="24"/>
                <w:highlight w:val="none"/>
                <w:lang w:val="en-US" w:eastAsia="zh-CN"/>
              </w:rPr>
              <w:t>附近</w:t>
            </w:r>
            <w:r>
              <w:rPr>
                <w:rFonts w:hint="default" w:ascii="Times New Roman" w:hAnsi="Times New Roman" w:eastAsia="宋体" w:cs="Times New Roman"/>
                <w:color w:val="auto"/>
                <w:spacing w:val="0"/>
                <w:kern w:val="0"/>
                <w:sz w:val="24"/>
                <w:highlight w:val="none"/>
                <w:lang w:val="zh-CN"/>
              </w:rPr>
              <w:t>的地表水体为</w:t>
            </w:r>
            <w:r>
              <w:rPr>
                <w:rFonts w:hint="default" w:ascii="Times New Roman" w:hAnsi="Times New Roman" w:eastAsia="宋体" w:cs="Times New Roman"/>
                <w:color w:val="auto"/>
                <w:spacing w:val="0"/>
                <w:kern w:val="0"/>
                <w:sz w:val="24"/>
                <w:highlight w:val="none"/>
              </w:rPr>
              <w:t>南侧</w:t>
            </w:r>
            <w:r>
              <w:rPr>
                <w:rFonts w:hint="default" w:ascii="Times New Roman" w:hAnsi="Times New Roman" w:eastAsia="宋体" w:cs="Times New Roman"/>
                <w:color w:val="auto"/>
                <w:spacing w:val="0"/>
                <w:kern w:val="0"/>
                <w:sz w:val="24"/>
                <w:highlight w:val="none"/>
                <w:lang w:val="en-US" w:eastAsia="zh-CN"/>
              </w:rPr>
              <w:t>1</w:t>
            </w:r>
            <w:r>
              <w:rPr>
                <w:rFonts w:hint="eastAsia" w:ascii="Times New Roman" w:hAnsi="Times New Roman" w:eastAsia="宋体" w:cs="Times New Roman"/>
                <w:color w:val="auto"/>
                <w:spacing w:val="0"/>
                <w:kern w:val="0"/>
                <w:sz w:val="24"/>
                <w:highlight w:val="none"/>
                <w:lang w:val="en-US" w:eastAsia="zh-CN"/>
              </w:rPr>
              <w:t>68</w:t>
            </w:r>
            <w:r>
              <w:rPr>
                <w:rFonts w:hint="default" w:ascii="Times New Roman" w:hAnsi="Times New Roman" w:eastAsia="宋体" w:cs="Times New Roman"/>
                <w:color w:val="auto"/>
                <w:spacing w:val="0"/>
                <w:kern w:val="0"/>
                <w:sz w:val="24"/>
                <w:highlight w:val="none"/>
              </w:rPr>
              <w:t>0m处的</w:t>
            </w:r>
            <w:r>
              <w:rPr>
                <w:rFonts w:hint="default" w:ascii="Times New Roman" w:hAnsi="Times New Roman" w:eastAsia="宋体" w:cs="Times New Roman"/>
                <w:color w:val="auto"/>
                <w:spacing w:val="0"/>
                <w:sz w:val="24"/>
                <w:highlight w:val="none"/>
              </w:rPr>
              <w:t>潘所海，潘所海地表水通过溶洞流入三月三水库</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三月三水库由前进河出水，最终汇入牛栏江，属牛栏江支流。根据《昆明市和滇中产业新区水功能区划》（2010~2030年），项目所在区域为前进河寻甸开发利用区（三月三水库—入牛栏江口），2030年水质目标为Ⅲ类，执行《地表水环境质量标准》（GB3838-2002）Ⅲ类标准。</w:t>
            </w:r>
          </w:p>
          <w:p w14:paraId="3554FC66">
            <w:pPr>
              <w:widowControl/>
              <w:adjustRightInd w:val="0"/>
              <w:snapToGrid w:val="0"/>
              <w:spacing w:line="360" w:lineRule="auto"/>
              <w:ind w:firstLine="480" w:firstLineChars="200"/>
              <w:jc w:val="left"/>
              <w:rPr>
                <w:rFonts w:hint="default" w:ascii="Times New Roman" w:hAnsi="Times New Roman" w:eastAsia="宋体" w:cs="Times New Roman"/>
                <w:bCs/>
                <w:color w:val="auto"/>
                <w:spacing w:val="0"/>
                <w:sz w:val="24"/>
                <w:highlight w:val="none"/>
                <w:lang w:val="zh-CN" w:eastAsia="zh-CN"/>
              </w:rPr>
            </w:pPr>
            <w:r>
              <w:rPr>
                <w:rFonts w:hint="default" w:ascii="Times New Roman" w:hAnsi="Times New Roman" w:eastAsia="宋体" w:cs="Times New Roman"/>
                <w:bCs/>
                <w:color w:val="auto"/>
                <w:spacing w:val="0"/>
                <w:sz w:val="24"/>
                <w:highlight w:val="none"/>
                <w:lang w:val="zh-CN" w:eastAsia="zh-CN"/>
              </w:rPr>
              <w:t>根据寻甸县人民政府发布的</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寻甸县202</w:t>
            </w:r>
            <w:r>
              <w:rPr>
                <w:rFonts w:hint="default" w:ascii="Times New Roman" w:hAnsi="Times New Roman" w:eastAsia="宋体" w:cs="Times New Roman"/>
                <w:bCs/>
                <w:color w:val="auto"/>
                <w:spacing w:val="0"/>
                <w:sz w:val="24"/>
                <w:highlight w:val="none"/>
                <w:lang w:val="en-US" w:eastAsia="zh-CN"/>
              </w:rPr>
              <w:t>5</w:t>
            </w:r>
            <w:r>
              <w:rPr>
                <w:rFonts w:hint="default" w:ascii="Times New Roman" w:hAnsi="Times New Roman" w:eastAsia="宋体" w:cs="Times New Roman"/>
                <w:bCs/>
                <w:color w:val="auto"/>
                <w:spacing w:val="0"/>
                <w:sz w:val="24"/>
                <w:highlight w:val="none"/>
                <w:lang w:val="zh-CN" w:eastAsia="zh-CN"/>
              </w:rPr>
              <w:t>年第</w:t>
            </w:r>
            <w:r>
              <w:rPr>
                <w:rFonts w:hint="eastAsia" w:cs="Times New Roman"/>
                <w:bCs/>
                <w:color w:val="auto"/>
                <w:spacing w:val="0"/>
                <w:sz w:val="24"/>
                <w:highlight w:val="none"/>
                <w:lang w:val="en-US" w:eastAsia="zh-CN"/>
              </w:rPr>
              <w:t>四</w:t>
            </w:r>
            <w:r>
              <w:rPr>
                <w:rFonts w:hint="default" w:ascii="Times New Roman" w:hAnsi="Times New Roman" w:eastAsia="宋体" w:cs="Times New Roman"/>
                <w:bCs/>
                <w:color w:val="auto"/>
                <w:spacing w:val="0"/>
                <w:sz w:val="24"/>
                <w:highlight w:val="none"/>
                <w:lang w:val="zh-CN" w:eastAsia="zh-CN"/>
              </w:rPr>
              <w:t>季度环境质量公报</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，牛栏江干流共设3个监控断面，监测结果显示：按《地表水环境质量标准》</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GB3838-2002</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Ⅲ类水质量标准评价，七星桥水质类别为Ⅲ类水，与2024年同期相比无明显变化；河口糯基桥断面水质类别为Ⅲ类水，与2024年同期相比有所下降；老秧田村大桥断面水质类别为Ⅲ类水，与2024年同期相比无明显变化。潘所海和三月三水库分别各设1个监测点，监测结果显示：潘所海未达到《地表水环境质量标准》（GB3838-2002）Ⅲ类水质标准，潘所海水质类别为Ⅴ类水，</w:t>
            </w:r>
            <w:r>
              <w:rPr>
                <w:rFonts w:hint="eastAsia" w:cs="Times New Roman"/>
                <w:bCs/>
                <w:color w:val="auto"/>
                <w:spacing w:val="0"/>
                <w:sz w:val="24"/>
                <w:highlight w:val="none"/>
                <w:lang w:val="en-US" w:eastAsia="zh-CN"/>
              </w:rPr>
              <w:t>中</w:t>
            </w:r>
            <w:r>
              <w:rPr>
                <w:rFonts w:hint="default" w:ascii="Times New Roman" w:hAnsi="Times New Roman" w:eastAsia="宋体" w:cs="Times New Roman"/>
                <w:bCs/>
                <w:color w:val="auto"/>
                <w:spacing w:val="0"/>
                <w:sz w:val="24"/>
                <w:highlight w:val="none"/>
                <w:lang w:val="zh-CN" w:eastAsia="zh-CN"/>
              </w:rPr>
              <w:t>度富营养，水质与2024年同期相比</w:t>
            </w:r>
            <w:r>
              <w:rPr>
                <w:rFonts w:hint="eastAsia" w:cs="Times New Roman"/>
                <w:bCs/>
                <w:color w:val="auto"/>
                <w:spacing w:val="0"/>
                <w:sz w:val="24"/>
                <w:highlight w:val="none"/>
                <w:lang w:val="en-US" w:eastAsia="zh-CN"/>
              </w:rPr>
              <w:t>无明显变化</w:t>
            </w:r>
            <w:r>
              <w:rPr>
                <w:rFonts w:hint="default" w:ascii="Times New Roman" w:hAnsi="Times New Roman" w:eastAsia="宋体" w:cs="Times New Roman"/>
                <w:bCs/>
                <w:color w:val="auto"/>
                <w:spacing w:val="0"/>
                <w:sz w:val="24"/>
                <w:highlight w:val="none"/>
                <w:lang w:val="zh-CN" w:eastAsia="zh-CN"/>
              </w:rPr>
              <w:t>。</w:t>
            </w:r>
          </w:p>
          <w:p w14:paraId="7D785900">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Cs/>
                <w:color w:val="auto"/>
                <w:spacing w:val="0"/>
                <w:sz w:val="24"/>
                <w:highlight w:val="none"/>
                <w:lang w:val="zh-CN" w:eastAsia="zh-CN"/>
              </w:rPr>
            </w:pPr>
            <w:r>
              <w:rPr>
                <w:rFonts w:hint="default" w:ascii="Times New Roman" w:hAnsi="Times New Roman" w:eastAsia="宋体" w:cs="Times New Roman"/>
                <w:bCs/>
                <w:color w:val="auto"/>
                <w:spacing w:val="0"/>
                <w:sz w:val="24"/>
                <w:highlight w:val="none"/>
                <w:lang w:val="zh-CN" w:eastAsia="zh-CN"/>
              </w:rPr>
              <w:t>故项目区</w:t>
            </w:r>
            <w:r>
              <w:rPr>
                <w:rFonts w:hint="default" w:ascii="Times New Roman" w:hAnsi="Times New Roman" w:eastAsia="宋体" w:cs="Times New Roman"/>
                <w:bCs/>
                <w:color w:val="auto"/>
                <w:spacing w:val="0"/>
                <w:sz w:val="24"/>
                <w:highlight w:val="none"/>
                <w:lang w:val="en-US" w:eastAsia="zh-CN"/>
              </w:rPr>
              <w:t>周边地表水潘所海不满足GB3838-2002《地表水环境质量标准》Ⅲ类标准要求，</w:t>
            </w:r>
            <w:r>
              <w:rPr>
                <w:rFonts w:ascii="宋体" w:hAnsi="宋体" w:eastAsia="宋体" w:cs="宋体"/>
                <w:b w:val="0"/>
                <w:bCs w:val="0"/>
                <w:color w:val="auto"/>
                <w:sz w:val="24"/>
                <w:szCs w:val="24"/>
              </w:rPr>
              <w:t>超标原因</w:t>
            </w:r>
            <w:r>
              <w:rPr>
                <w:rFonts w:hint="eastAsia" w:hAnsi="宋体" w:cs="宋体"/>
                <w:b w:val="0"/>
                <w:bCs w:val="0"/>
                <w:color w:val="auto"/>
                <w:sz w:val="24"/>
                <w:szCs w:val="24"/>
                <w:lang w:val="en-US" w:eastAsia="zh-CN"/>
              </w:rPr>
              <w:t>为</w:t>
            </w:r>
            <w:r>
              <w:rPr>
                <w:rFonts w:hint="eastAsia" w:ascii="宋体" w:hAnsi="宋体" w:eastAsia="宋体" w:cs="宋体"/>
                <w:b w:val="0"/>
                <w:bCs w:val="0"/>
                <w:color w:val="auto"/>
                <w:sz w:val="24"/>
                <w:szCs w:val="24"/>
                <w:lang w:val="en-US" w:eastAsia="zh-CN"/>
              </w:rPr>
              <w:t>周边</w:t>
            </w:r>
            <w:r>
              <w:rPr>
                <w:rFonts w:hint="eastAsia" w:hAnsi="宋体" w:cs="宋体"/>
                <w:b w:val="0"/>
                <w:bCs w:val="0"/>
                <w:color w:val="auto"/>
                <w:sz w:val="24"/>
                <w:szCs w:val="24"/>
                <w:lang w:val="en-US" w:eastAsia="zh-CN"/>
              </w:rPr>
              <w:t>区域面源污染</w:t>
            </w:r>
            <w:r>
              <w:rPr>
                <w:rFonts w:ascii="宋体" w:hAnsi="宋体" w:eastAsia="宋体" w:cs="宋体"/>
                <w:b w:val="0"/>
                <w:bCs w:val="0"/>
                <w:color w:val="auto"/>
                <w:sz w:val="24"/>
                <w:szCs w:val="24"/>
              </w:rPr>
              <w:t>。</w:t>
            </w:r>
            <w:r>
              <w:rPr>
                <w:rFonts w:hint="default" w:ascii="Times New Roman" w:hAnsi="Times New Roman" w:eastAsia="宋体" w:cs="Times New Roman"/>
                <w:bCs/>
                <w:color w:val="auto"/>
                <w:spacing w:val="0"/>
                <w:sz w:val="24"/>
                <w:highlight w:val="none"/>
                <w:lang w:val="en-US" w:eastAsia="zh-CN"/>
              </w:rPr>
              <w:t>牛栏江</w:t>
            </w:r>
            <w:r>
              <w:rPr>
                <w:rFonts w:hint="default" w:ascii="Times New Roman" w:hAnsi="Times New Roman" w:eastAsia="宋体" w:cs="Times New Roman"/>
                <w:bCs/>
                <w:color w:val="auto"/>
                <w:spacing w:val="0"/>
                <w:sz w:val="24"/>
                <w:highlight w:val="none"/>
                <w:lang w:val="zh-CN" w:eastAsia="zh-CN"/>
              </w:rPr>
              <w:t>满足GB3838-2002《地表水环境质量标准》Ⅲ类标准要求。</w:t>
            </w:r>
          </w:p>
          <w:p w14:paraId="282BEA47">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三、声环境质量现状</w:t>
            </w:r>
          </w:p>
          <w:p w14:paraId="6AD9F0AA">
            <w:pPr>
              <w:adjustRightInd w:val="0"/>
              <w:snapToGrid w:val="0"/>
              <w:ind w:firstLine="480"/>
              <w:rPr>
                <w:rFonts w:hint="eastAsia"/>
                <w:color w:val="auto"/>
              </w:rPr>
            </w:pPr>
            <w:r>
              <w:rPr>
                <w:rFonts w:hint="eastAsia"/>
                <w:color w:val="auto"/>
              </w:rPr>
              <w:t>项目位于</w:t>
            </w:r>
            <w:r>
              <w:rPr>
                <w:rFonts w:hint="eastAsia"/>
                <w:color w:val="auto"/>
                <w:vertAlign w:val="baseline"/>
                <w:lang w:val="en-US" w:eastAsia="zh-CN"/>
              </w:rPr>
              <w:t>云南省昆明市寻甸县特色产业园区金所片区</w:t>
            </w:r>
            <w:r>
              <w:rPr>
                <w:rFonts w:hint="eastAsia"/>
                <w:color w:val="auto"/>
              </w:rPr>
              <w:t>，</w:t>
            </w:r>
            <w:r>
              <w:rPr>
                <w:color w:val="auto"/>
              </w:rPr>
              <w:t>项目所在区域属于</w:t>
            </w:r>
            <w:r>
              <w:rPr>
                <w:rFonts w:hint="eastAsia"/>
                <w:color w:val="auto"/>
                <w:lang w:val="en-US" w:eastAsia="zh-CN"/>
              </w:rPr>
              <w:t>3</w:t>
            </w:r>
            <w:r>
              <w:rPr>
                <w:color w:val="auto"/>
              </w:rPr>
              <w:t>类声环境功能区，</w:t>
            </w:r>
            <w:r>
              <w:rPr>
                <w:rFonts w:hint="eastAsia"/>
                <w:color w:val="auto"/>
              </w:rPr>
              <w:t>执行</w:t>
            </w:r>
            <w:r>
              <w:rPr>
                <w:color w:val="auto"/>
              </w:rPr>
              <w:t>《声环境质量标准》（GB3096-2008）</w:t>
            </w:r>
            <w:r>
              <w:rPr>
                <w:rFonts w:hint="eastAsia"/>
                <w:color w:val="auto"/>
                <w:lang w:val="en-US" w:eastAsia="zh-CN"/>
              </w:rPr>
              <w:t>3</w:t>
            </w:r>
            <w:r>
              <w:rPr>
                <w:color w:val="auto"/>
              </w:rPr>
              <w:t>类</w:t>
            </w:r>
            <w:r>
              <w:rPr>
                <w:rFonts w:hint="eastAsia"/>
                <w:color w:val="auto"/>
              </w:rPr>
              <w:t>标准。根据寻甸县人民政府发布的“寻甸县2025年第</w:t>
            </w:r>
            <w:r>
              <w:rPr>
                <w:rFonts w:hint="eastAsia"/>
                <w:color w:val="auto"/>
                <w:lang w:val="en-US" w:eastAsia="zh-CN"/>
              </w:rPr>
              <w:t>四</w:t>
            </w:r>
            <w:r>
              <w:rPr>
                <w:rFonts w:hint="eastAsia"/>
                <w:color w:val="auto"/>
              </w:rPr>
              <w:t>季度环境质量公报”，1类功能区昼间达标率均为</w:t>
            </w:r>
            <w:r>
              <w:rPr>
                <w:rFonts w:hint="eastAsia"/>
                <w:color w:val="auto"/>
                <w:lang w:val="en-US" w:eastAsia="zh-CN"/>
              </w:rPr>
              <w:t>100</w:t>
            </w:r>
            <w:r>
              <w:rPr>
                <w:rFonts w:hint="eastAsia"/>
                <w:color w:val="auto"/>
              </w:rPr>
              <w:t>%，夜间达标率均为100%；2、3、4a类功能区昼间达标率均为100%，夜间达标率均为100%。</w:t>
            </w:r>
          </w:p>
          <w:p w14:paraId="27B671C6">
            <w:pPr>
              <w:adjustRightInd w:val="0"/>
              <w:snapToGrid w:val="0"/>
              <w:ind w:firstLine="480"/>
              <w:rPr>
                <w:rFonts w:hint="default" w:eastAsia="宋体"/>
                <w:color w:val="auto"/>
                <w:lang w:val="en-US" w:eastAsia="zh-CN"/>
              </w:rPr>
            </w:pPr>
            <w:r>
              <w:rPr>
                <w:rFonts w:hint="eastAsia"/>
                <w:color w:val="auto"/>
                <w:lang w:val="en-US" w:eastAsia="zh-CN"/>
              </w:rPr>
              <w:t>项目</w:t>
            </w:r>
            <w:r>
              <w:rPr>
                <w:rFonts w:hint="eastAsia"/>
                <w:color w:val="auto"/>
              </w:rPr>
              <w:t>厂址50m范围内</w:t>
            </w:r>
            <w:r>
              <w:rPr>
                <w:rFonts w:hint="eastAsia"/>
                <w:color w:val="auto"/>
                <w:lang w:val="en-US" w:eastAsia="zh-CN"/>
              </w:rPr>
              <w:t>主要为工厂、汽修厂、仓库、商店、餐馆，</w:t>
            </w:r>
            <w:r>
              <w:rPr>
                <w:rFonts w:hint="eastAsia"/>
                <w:color w:val="auto"/>
              </w:rPr>
              <w:t>无声环境保护目标，根据建设项目环境影响报告表编制技术指南（污染影响类），本项目厂界外周边50米范围内不存在声环境保护目标，无需开展声环境质量现状监测。区域声环境质量现状良好，声环境质量能够达到《声环境质量标准》（GB3096-2008）3类区标准要求。</w:t>
            </w:r>
          </w:p>
          <w:p w14:paraId="60A6D6D0">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四、生态环境质量现状</w:t>
            </w:r>
          </w:p>
          <w:p w14:paraId="76257FD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auto"/>
                <w:kern w:val="0"/>
                <w:lang w:eastAsia="zh-CN"/>
              </w:rPr>
            </w:pPr>
            <w:r>
              <w:rPr>
                <w:rFonts w:hint="eastAsia" w:eastAsia="宋体"/>
                <w:color w:val="auto"/>
                <w:kern w:val="0"/>
                <w:lang w:eastAsia="zh-CN"/>
              </w:rPr>
              <w:t>根据现场踏勘，项目</w:t>
            </w:r>
            <w:r>
              <w:rPr>
                <w:rFonts w:hint="eastAsia"/>
                <w:color w:val="auto"/>
                <w:kern w:val="0"/>
                <w:lang w:val="en-US" w:eastAsia="zh-CN"/>
              </w:rPr>
              <w:t>场地内已无植被</w:t>
            </w:r>
            <w:r>
              <w:rPr>
                <w:rFonts w:hint="eastAsia"/>
                <w:color w:val="auto"/>
                <w:kern w:val="0"/>
                <w:lang w:eastAsia="zh-CN"/>
              </w:rPr>
              <w:t>。</w:t>
            </w:r>
            <w:r>
              <w:rPr>
                <w:rFonts w:hint="eastAsia" w:eastAsia="宋体"/>
                <w:color w:val="auto"/>
                <w:kern w:val="0"/>
                <w:lang w:eastAsia="zh-CN"/>
              </w:rPr>
              <w:t>项目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r>
              <w:rPr>
                <w:rFonts w:hint="eastAsia"/>
                <w:color w:val="auto"/>
                <w:kern w:val="0"/>
                <w:lang w:eastAsia="zh-CN"/>
              </w:rPr>
              <w:t>，</w:t>
            </w:r>
            <w:r>
              <w:rPr>
                <w:rFonts w:hint="eastAsia" w:eastAsia="宋体"/>
                <w:color w:val="auto"/>
                <w:kern w:val="0"/>
                <w:lang w:eastAsia="zh-CN"/>
              </w:rPr>
              <w:t>无珍稀濒危物种，无当地特有物种，无古树名木分布。</w:t>
            </w:r>
          </w:p>
          <w:p w14:paraId="07F58958">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五、土壤、地下水环境质量现状</w:t>
            </w:r>
          </w:p>
          <w:p w14:paraId="1B956AD4">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color w:val="auto"/>
                <w:kern w:val="0"/>
                <w:lang w:eastAsia="zh-CN"/>
              </w:rPr>
            </w:pPr>
            <w:r>
              <w:rPr>
                <w:rFonts w:hint="eastAsia" w:eastAsia="宋体"/>
                <w:color w:val="auto"/>
                <w:kern w:val="0"/>
                <w:lang w:eastAsia="zh-CN"/>
              </w:rPr>
              <w:t>根据《建设项目环境影响报告表编制技术指南（污染影响类）》（试行）</w:t>
            </w:r>
            <w:r>
              <w:rPr>
                <w:rFonts w:hint="eastAsia"/>
                <w:color w:val="auto"/>
                <w:kern w:val="0"/>
                <w:lang w:eastAsia="zh-CN"/>
              </w:rPr>
              <w:t>，</w:t>
            </w:r>
            <w:r>
              <w:rPr>
                <w:rFonts w:hint="eastAsia"/>
                <w:color w:val="auto"/>
                <w:lang w:val="en-US" w:eastAsia="zh-CN"/>
              </w:rPr>
              <w:t>项目区域采取防渗措施后，无土壤、地下水污染途径，</w:t>
            </w:r>
            <w:r>
              <w:rPr>
                <w:rFonts w:hint="eastAsia"/>
                <w:color w:val="auto"/>
                <w:kern w:val="0"/>
                <w:lang w:eastAsia="zh-CN"/>
              </w:rPr>
              <w:t>无需进行土壤、地下水环境质量现状监测。</w:t>
            </w:r>
            <w:r>
              <w:rPr>
                <w:rFonts w:hint="eastAsia"/>
                <w:color w:val="auto"/>
                <w:sz w:val="24"/>
              </w:rPr>
              <w:t>根据《环境影响评价技术导则 土壤环境(试行)》(HJ64-2018)附录A，本项目</w:t>
            </w:r>
            <w:r>
              <w:rPr>
                <w:rFonts w:hint="default" w:ascii="Times New Roman" w:hAnsi="Times New Roman" w:cs="Times New Roman"/>
                <w:color w:val="auto"/>
                <w:sz w:val="24"/>
              </w:rPr>
              <w:t>对照社会事业与服务业中“其他”，为Ⅳ类，不开展土壤环境影响评价。</w:t>
            </w:r>
          </w:p>
          <w:p w14:paraId="73960600">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b/>
                <w:bCs/>
                <w:color w:val="auto"/>
                <w:kern w:val="0"/>
                <w:lang w:val="en-US" w:eastAsia="zh-CN"/>
              </w:rPr>
            </w:pPr>
            <w:r>
              <w:rPr>
                <w:rFonts w:hint="eastAsia"/>
                <w:b/>
                <w:bCs/>
                <w:color w:val="auto"/>
                <w:kern w:val="0"/>
                <w:lang w:val="en-US" w:eastAsia="zh-CN"/>
              </w:rPr>
              <w:t>六、地下水环境质量现状</w:t>
            </w:r>
          </w:p>
          <w:p w14:paraId="556751D5">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kern w:val="0"/>
                <w:lang w:val="en-US" w:eastAsia="zh-CN"/>
              </w:rPr>
            </w:pPr>
            <w:r>
              <w:rPr>
                <w:rFonts w:hint="eastAsia" w:eastAsia="宋体"/>
                <w:color w:val="auto"/>
                <w:kern w:val="0"/>
                <w:lang w:eastAsia="zh-CN"/>
              </w:rPr>
              <w:t>根据《建设项目环境影响报告表编制技术指南（污染影响类）》（试行）</w:t>
            </w:r>
            <w:r>
              <w:rPr>
                <w:rFonts w:hint="eastAsia"/>
                <w:color w:val="auto"/>
                <w:kern w:val="0"/>
                <w:lang w:eastAsia="zh-CN"/>
              </w:rPr>
              <w:t>，</w:t>
            </w:r>
            <w:r>
              <w:rPr>
                <w:rFonts w:hint="eastAsia"/>
                <w:color w:val="auto"/>
                <w:lang w:val="en-US" w:eastAsia="zh-CN"/>
              </w:rPr>
              <w:t>项目区域采取防渗措施后，无土壤、地下水污染途径，</w:t>
            </w:r>
            <w:r>
              <w:rPr>
                <w:rFonts w:hint="eastAsia"/>
                <w:color w:val="auto"/>
                <w:kern w:val="0"/>
                <w:lang w:eastAsia="zh-CN"/>
              </w:rPr>
              <w:t>无需进行土壤、地下水环境质量现状监测。根据《环境影响评价技术导则 地下水环境》（HJ610-2016）附录A，</w:t>
            </w:r>
            <w:r>
              <w:rPr>
                <w:rFonts w:hint="eastAsia"/>
                <w:color w:val="auto"/>
                <w:kern w:val="0"/>
                <w:lang w:val="en-US" w:eastAsia="zh-CN"/>
              </w:rPr>
              <w:t>本项目为“</w:t>
            </w:r>
            <w:r>
              <w:rPr>
                <w:rFonts w:hint="default" w:ascii="Times New Roman" w:hAnsi="Times New Roman" w:eastAsia="微软雅黑" w:cs="Times New Roman"/>
                <w:color w:val="auto"/>
                <w:kern w:val="0"/>
                <w:lang w:val="en-US" w:eastAsia="zh-CN"/>
              </w:rPr>
              <w:t>Ⅴ</w:t>
            </w:r>
            <w:r>
              <w:rPr>
                <w:rFonts w:hint="default" w:ascii="Times New Roman" w:hAnsi="Times New Roman" w:cs="Times New Roman"/>
                <w:color w:val="auto"/>
                <w:kern w:val="0"/>
                <w:lang w:val="en-US" w:eastAsia="zh-CN"/>
              </w:rPr>
              <w:t>社</w:t>
            </w:r>
            <w:r>
              <w:rPr>
                <w:rFonts w:hint="eastAsia"/>
                <w:color w:val="auto"/>
                <w:kern w:val="0"/>
                <w:lang w:val="en-US" w:eastAsia="zh-CN"/>
              </w:rPr>
              <w:t>会事业与服务业，183洗车场”，属</w:t>
            </w:r>
            <w:r>
              <w:rPr>
                <w:rFonts w:hint="default" w:ascii="Times New Roman" w:hAnsi="Times New Roman" w:cs="Times New Roman"/>
                <w:color w:val="auto"/>
                <w:kern w:val="0"/>
                <w:lang w:val="en-US" w:eastAsia="zh-CN"/>
              </w:rPr>
              <w:t>于</w:t>
            </w:r>
            <w:r>
              <w:rPr>
                <w:rFonts w:hint="default" w:ascii="Times New Roman" w:hAnsi="Times New Roman" w:eastAsia="仿宋" w:cs="Times New Roman"/>
                <w:color w:val="auto"/>
                <w:kern w:val="0"/>
                <w:lang w:val="en-US" w:eastAsia="zh-CN"/>
              </w:rPr>
              <w:t>Ⅲ</w:t>
            </w:r>
            <w:r>
              <w:rPr>
                <w:rFonts w:hint="default" w:ascii="Times New Roman" w:hAnsi="Times New Roman" w:cs="Times New Roman"/>
                <w:color w:val="auto"/>
                <w:kern w:val="0"/>
                <w:lang w:val="en-US" w:eastAsia="zh-CN"/>
              </w:rPr>
              <w:t>类项目。</w:t>
            </w:r>
          </w:p>
          <w:p w14:paraId="67B2ED6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Times New Roman"/>
                <w:color w:val="auto"/>
                <w:kern w:val="0"/>
              </w:rPr>
            </w:pPr>
            <w:r>
              <w:rPr>
                <w:rFonts w:hint="eastAsia"/>
                <w:color w:val="auto"/>
                <w:sz w:val="24"/>
                <w:highlight w:val="none"/>
              </w:rPr>
              <w:t>为了解区域地下水环境现状，本次环评引用</w:t>
            </w:r>
            <w:r>
              <w:rPr>
                <w:rFonts w:hint="eastAsia" w:eastAsia="Times New Roman"/>
                <w:color w:val="auto"/>
                <w:kern w:val="0"/>
              </w:rPr>
              <w:t>本次评价引用《云南南磷集团电化有限公司30万吨/年聚氯乙烯及配套原料烧碱项目（二期）及2×25MW综合利用自备电厂环境影响后评价》中地下水现状评价监测点位及数据评价本项目区域地下水环境质量现状。</w:t>
            </w:r>
          </w:p>
          <w:p w14:paraId="5D69123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Times New Roman"/>
                <w:color w:val="auto"/>
                <w:kern w:val="0"/>
              </w:rPr>
            </w:pPr>
            <w:r>
              <w:rPr>
                <w:rFonts w:hint="eastAsia" w:eastAsia="Times New Roman"/>
                <w:color w:val="auto"/>
                <w:kern w:val="0"/>
              </w:rPr>
              <w:t>引用监测点位、监测数据及评价结果如下：</w:t>
            </w:r>
          </w:p>
          <w:p w14:paraId="76DD7BE7">
            <w:pPr>
              <w:adjustRightInd w:val="0"/>
              <w:snapToGrid w:val="0"/>
              <w:spacing w:line="336" w:lineRule="auto"/>
              <w:ind w:firstLine="480" w:firstLineChars="200"/>
              <w:rPr>
                <w:bCs/>
                <w:color w:val="auto"/>
                <w:sz w:val="24"/>
              </w:rPr>
            </w:pPr>
            <w:r>
              <w:rPr>
                <w:rFonts w:hint="eastAsia"/>
                <w:bCs/>
                <w:color w:val="auto"/>
                <w:sz w:val="24"/>
              </w:rPr>
              <w:t>后评价设6个地下水监测点位，分别为：Q1上游谓所村地下水井（</w:t>
            </w:r>
            <w:r>
              <w:rPr>
                <w:bCs/>
                <w:color w:val="auto"/>
                <w:sz w:val="24"/>
              </w:rPr>
              <w:t>103.1926434，25.5789770</w:t>
            </w:r>
            <w:r>
              <w:rPr>
                <w:rFonts w:hint="eastAsia"/>
                <w:bCs/>
                <w:color w:val="auto"/>
                <w:sz w:val="24"/>
              </w:rPr>
              <w:t>）；Q2项目区东侧老渡河村地下水井（</w:t>
            </w:r>
            <w:r>
              <w:rPr>
                <w:bCs/>
                <w:color w:val="auto"/>
                <w:sz w:val="24"/>
              </w:rPr>
              <w:t>103.2005830，25.5560670</w:t>
            </w:r>
            <w:r>
              <w:rPr>
                <w:rFonts w:hint="eastAsia"/>
                <w:bCs/>
                <w:color w:val="auto"/>
                <w:sz w:val="24"/>
              </w:rPr>
              <w:t>）；Q3项目西侧麦冲村地下水井（</w:t>
            </w:r>
            <w:r>
              <w:rPr>
                <w:bCs/>
                <w:color w:val="auto"/>
                <w:sz w:val="24"/>
              </w:rPr>
              <w:t>103.1691671，25.5641590</w:t>
            </w:r>
            <w:r>
              <w:rPr>
                <w:rFonts w:hint="eastAsia"/>
                <w:bCs/>
                <w:color w:val="auto"/>
                <w:sz w:val="24"/>
              </w:rPr>
              <w:t>）；Q4厂区内下游3#地下水监测井（</w:t>
            </w:r>
            <w:r>
              <w:rPr>
                <w:bCs/>
                <w:color w:val="auto"/>
                <w:sz w:val="24"/>
              </w:rPr>
              <w:t>103.1909250，25.5543210</w:t>
            </w:r>
            <w:r>
              <w:rPr>
                <w:rFonts w:hint="eastAsia"/>
                <w:bCs/>
                <w:color w:val="auto"/>
                <w:sz w:val="24"/>
              </w:rPr>
              <w:t>）；Q5项目下游金所村地下水井（</w:t>
            </w:r>
            <w:r>
              <w:rPr>
                <w:bCs/>
                <w:color w:val="auto"/>
                <w:sz w:val="24"/>
              </w:rPr>
              <w:t>103.1956039，25.5331591</w:t>
            </w:r>
            <w:r>
              <w:rPr>
                <w:rFonts w:hint="eastAsia"/>
                <w:bCs/>
                <w:color w:val="auto"/>
                <w:sz w:val="24"/>
              </w:rPr>
              <w:t>）；Q6渣场下游地下水监测井（</w:t>
            </w:r>
            <w:r>
              <w:rPr>
                <w:bCs/>
                <w:color w:val="auto"/>
                <w:sz w:val="24"/>
              </w:rPr>
              <w:t>103.1956039，25.5331591</w:t>
            </w:r>
            <w:r>
              <w:rPr>
                <w:rFonts w:hint="eastAsia"/>
                <w:bCs/>
                <w:color w:val="auto"/>
                <w:sz w:val="24"/>
              </w:rPr>
              <w:t>），于2023年11月30至12月2日委托云南鼎祺检测有限公司</w:t>
            </w:r>
            <w:r>
              <w:rPr>
                <w:bCs/>
                <w:color w:val="auto"/>
                <w:sz w:val="24"/>
              </w:rPr>
              <w:t>进行监测，具体监测情况如下：</w:t>
            </w:r>
          </w:p>
          <w:p w14:paraId="0788B933">
            <w:pPr>
              <w:jc w:val="center"/>
              <w:rPr>
                <w:color w:val="auto"/>
              </w:rPr>
            </w:pPr>
            <w:r>
              <w:rPr>
                <w:color w:val="auto"/>
              </w:rPr>
              <mc:AlternateContent>
                <mc:Choice Requires="wps">
                  <w:drawing>
                    <wp:anchor distT="0" distB="0" distL="114300" distR="114300" simplePos="0" relativeHeight="251662336" behindDoc="0" locked="0" layoutInCell="1" allowOverlap="1">
                      <wp:simplePos x="0" y="0"/>
                      <wp:positionH relativeFrom="column">
                        <wp:posOffset>2501900</wp:posOffset>
                      </wp:positionH>
                      <wp:positionV relativeFrom="paragraph">
                        <wp:posOffset>2775585</wp:posOffset>
                      </wp:positionV>
                      <wp:extent cx="57150" cy="49530"/>
                      <wp:effectExtent l="8255" t="5715" r="10795" b="20955"/>
                      <wp:wrapNone/>
                      <wp:docPr id="21" name="任意多边形: 形状 38"/>
                      <wp:cNvGraphicFramePr/>
                      <a:graphic xmlns:a="http://schemas.openxmlformats.org/drawingml/2006/main">
                        <a:graphicData uri="http://schemas.microsoft.com/office/word/2010/wordprocessingShape">
                          <wps:wsp>
                            <wps:cNvSpPr/>
                            <wps:spPr>
                              <a:xfrm>
                                <a:off x="0" y="0"/>
                                <a:ext cx="57150" cy="49530"/>
                              </a:xfrm>
                              <a:custGeom>
                                <a:avLst/>
                                <a:gdLst>
                                  <a:gd name="connsiteX0" fmla="*/ 174423 w 375274"/>
                                  <a:gd name="connsiteY0" fmla="*/ 44928 h 301277"/>
                                  <a:gd name="connsiteX1" fmla="*/ 375274 w 375274"/>
                                  <a:gd name="connsiteY1" fmla="*/ 163852 h 301277"/>
                                  <a:gd name="connsiteX2" fmla="*/ 280134 w 375274"/>
                                  <a:gd name="connsiteY2" fmla="*/ 269563 h 301277"/>
                                  <a:gd name="connsiteX3" fmla="*/ 103069 w 375274"/>
                                  <a:gd name="connsiteY3" fmla="*/ 301277 h 301277"/>
                                  <a:gd name="connsiteX4" fmla="*/ 36999 w 375274"/>
                                  <a:gd name="connsiteY4" fmla="*/ 258992 h 301277"/>
                                  <a:gd name="connsiteX5" fmla="*/ 140067 w 375274"/>
                                  <a:gd name="connsiteY5" fmla="*/ 132139 h 301277"/>
                                  <a:gd name="connsiteX6" fmla="*/ 0 w 375274"/>
                                  <a:gd name="connsiteY6" fmla="*/ 76641 h 301277"/>
                                  <a:gd name="connsiteX7" fmla="*/ 76641 w 375274"/>
                                  <a:gd name="connsiteY7" fmla="*/ 0 h 301277"/>
                                  <a:gd name="connsiteX8" fmla="*/ 174423 w 375274"/>
                                  <a:gd name="connsiteY8" fmla="*/ 44928 h 301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74" h="301277">
                                    <a:moveTo>
                                      <a:pt x="174423" y="44928"/>
                                    </a:moveTo>
                                    <a:lnTo>
                                      <a:pt x="375274" y="163852"/>
                                    </a:lnTo>
                                    <a:lnTo>
                                      <a:pt x="280134" y="269563"/>
                                    </a:lnTo>
                                    <a:lnTo>
                                      <a:pt x="103069" y="301277"/>
                                    </a:lnTo>
                                    <a:lnTo>
                                      <a:pt x="36999" y="258992"/>
                                    </a:lnTo>
                                    <a:lnTo>
                                      <a:pt x="140067" y="132139"/>
                                    </a:lnTo>
                                    <a:lnTo>
                                      <a:pt x="0" y="76641"/>
                                    </a:lnTo>
                                    <a:lnTo>
                                      <a:pt x="76641" y="0"/>
                                    </a:lnTo>
                                    <a:lnTo>
                                      <a:pt x="174423" y="44928"/>
                                    </a:lnTo>
                                    <a:close/>
                                  </a:path>
                                </a:pathLst>
                              </a:custGeom>
                              <a:solidFill>
                                <a:srgbClr val="FFFF00"/>
                              </a:solid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38" o:spid="_x0000_s1026" o:spt="100" style="position:absolute;left:0pt;margin-left:197pt;margin-top:218.55pt;height:3.9pt;width:4.5pt;z-index:251662336;v-text-anchor:middle;mso-width-relative:page;mso-height-relative:page;" fillcolor="#FFFF00" filled="t" stroked="t" coordsize="375274,301277" o:gfxdata="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BMIS4rZAAAACwEAAA8AAAAAAAAAAQAg&#10;AAAAIgAAAGRycy9kb3ducmV2LnhtbFBLAQIUABQAAAAIAIdO4kBFVUp2RwQAANEMAAAOAAAAAAAA&#10;AAEAIAAAACgBAABkcnMvZTJvRG9jLnhtbFBLBQYAAAAABgAGAFkBAADhBwAAAAA=&#10;" path="m174423,44928l375274,163852,280134,269563,103069,301277,36999,258992,140067,132139,0,76641,76641,0,174423,44928xe">
                      <v:path o:connectlocs="26562,7386;57150,26937;42661,44316;15696,49530;5634,42578;21330,21723;0,12599;11671,0;26562,7386" o:connectangles="0,0,0,0,0,0,0,0,0"/>
                      <v:fill on="t" focussize="0,0"/>
                      <v:stroke weight="0.5pt" color="#FFFF00 [3204]" miterlimit="8" joinstyle="miter"/>
                      <v:imagedata o:title=""/>
                      <o:lock v:ext="edit" aspectratio="f"/>
                    </v:shape>
                  </w:pict>
                </mc:Fallback>
              </mc:AlternateContent>
            </w:r>
            <w:r>
              <w:rPr>
                <w:color w:val="auto"/>
              </w:rPr>
              <w:drawing>
                <wp:inline distT="0" distB="0" distL="114300" distR="114300">
                  <wp:extent cx="4400550" cy="3768090"/>
                  <wp:effectExtent l="0" t="0" r="0" b="38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9"/>
                          <a:stretch>
                            <a:fillRect/>
                          </a:stretch>
                        </pic:blipFill>
                        <pic:spPr>
                          <a:xfrm>
                            <a:off x="0" y="0"/>
                            <a:ext cx="4400550" cy="3768090"/>
                          </a:xfrm>
                          <a:prstGeom prst="rect">
                            <a:avLst/>
                          </a:prstGeom>
                          <a:noFill/>
                          <a:ln>
                            <a:noFill/>
                          </a:ln>
                        </pic:spPr>
                      </pic:pic>
                    </a:graphicData>
                  </a:graphic>
                </wp:inline>
              </w:drawing>
            </w:r>
          </w:p>
          <w:p w14:paraId="5E2AD8A6">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b/>
                <w:bCs/>
                <w:color w:val="auto"/>
                <w:sz w:val="21"/>
                <w:szCs w:val="21"/>
              </w:rPr>
            </w:pPr>
            <w:r>
              <w:rPr>
                <w:rFonts w:hint="eastAsia"/>
                <w:b/>
                <w:bCs/>
                <w:color w:val="auto"/>
                <w:sz w:val="21"/>
                <w:szCs w:val="21"/>
              </w:rPr>
              <w:t>图</w:t>
            </w:r>
            <w:r>
              <w:rPr>
                <w:b/>
                <w:bCs/>
                <w:color w:val="auto"/>
                <w:sz w:val="21"/>
                <w:szCs w:val="21"/>
              </w:rPr>
              <w:t>3-</w:t>
            </w:r>
            <w:r>
              <w:rPr>
                <w:rFonts w:hint="eastAsia"/>
                <w:b/>
                <w:bCs/>
                <w:color w:val="auto"/>
                <w:sz w:val="21"/>
                <w:szCs w:val="21"/>
                <w:lang w:val="en-US" w:eastAsia="zh-CN"/>
              </w:rPr>
              <w:t>2</w:t>
            </w:r>
            <w:r>
              <w:rPr>
                <w:rFonts w:hint="eastAsia"/>
                <w:b/>
                <w:bCs/>
                <w:color w:val="auto"/>
                <w:sz w:val="21"/>
                <w:szCs w:val="21"/>
              </w:rPr>
              <w:t xml:space="preserve">  引用地下水监测点位</w:t>
            </w:r>
          </w:p>
          <w:p w14:paraId="0B47218C">
            <w:pPr>
              <w:pStyle w:val="50"/>
              <w:keepNext w:val="0"/>
              <w:keepLines w:val="0"/>
              <w:pageBreakBefore w:val="0"/>
              <w:widowControl w:val="0"/>
              <w:kinsoku/>
              <w:wordWrap/>
              <w:overflowPunct/>
              <w:topLinePunct w:val="0"/>
              <w:bidi w:val="0"/>
              <w:snapToGrid w:val="0"/>
              <w:spacing w:line="240" w:lineRule="auto"/>
              <w:ind w:firstLine="0" w:firstLineChars="0"/>
              <w:jc w:val="center"/>
              <w:textAlignment w:val="auto"/>
              <w:rPr>
                <w:b/>
                <w:bCs/>
                <w:color w:val="auto"/>
                <w:sz w:val="21"/>
                <w:szCs w:val="21"/>
              </w:rPr>
            </w:pPr>
            <w:r>
              <w:rPr>
                <w:rFonts w:hint="eastAsia"/>
                <w:b/>
                <w:bCs/>
                <w:color w:val="auto"/>
                <w:kern w:val="0"/>
                <w:sz w:val="21"/>
                <w:szCs w:val="21"/>
              </w:rPr>
              <w:t>表</w:t>
            </w:r>
            <w:r>
              <w:rPr>
                <w:b/>
                <w:bCs/>
                <w:color w:val="auto"/>
                <w:kern w:val="0"/>
                <w:sz w:val="21"/>
                <w:szCs w:val="21"/>
              </w:rPr>
              <w:t>3-8</w:t>
            </w:r>
            <w:r>
              <w:rPr>
                <w:rFonts w:hint="eastAsia"/>
                <w:b/>
                <w:bCs/>
                <w:color w:val="auto"/>
                <w:kern w:val="0"/>
                <w:sz w:val="21"/>
                <w:szCs w:val="21"/>
              </w:rPr>
              <w:t xml:space="preserve">  地下水监测数据及评价结果一览表</w:t>
            </w:r>
          </w:p>
          <w:p w14:paraId="24C68EB5">
            <w:pPr>
              <w:keepNext w:val="0"/>
              <w:keepLines w:val="0"/>
              <w:pageBreakBefore w:val="0"/>
              <w:widowControl w:val="0"/>
              <w:kinsoku/>
              <w:wordWrap/>
              <w:overflowPunct/>
              <w:topLinePunct w:val="0"/>
              <w:bidi w:val="0"/>
              <w:spacing w:line="240" w:lineRule="auto"/>
              <w:jc w:val="right"/>
              <w:textAlignment w:val="auto"/>
              <w:rPr>
                <w:b/>
                <w:bCs/>
                <w:color w:val="auto"/>
                <w:sz w:val="21"/>
                <w:szCs w:val="21"/>
              </w:rPr>
            </w:pPr>
            <w:r>
              <w:rPr>
                <w:rFonts w:hint="eastAsia"/>
                <w:b/>
                <w:bCs/>
                <w:color w:val="auto"/>
                <w:sz w:val="21"/>
                <w:szCs w:val="21"/>
              </w:rPr>
              <w:t>单位：除单独注明外，其余均为mg/L</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28"/>
              <w:gridCol w:w="1496"/>
              <w:gridCol w:w="1097"/>
              <w:gridCol w:w="1233"/>
              <w:gridCol w:w="1099"/>
              <w:gridCol w:w="686"/>
              <w:gridCol w:w="720"/>
            </w:tblGrid>
            <w:tr w14:paraId="45A2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tcBorders>
                    <w:top w:val="single" w:color="auto" w:sz="4" w:space="0"/>
                    <w:left w:val="single" w:color="auto" w:sz="4" w:space="0"/>
                    <w:bottom w:val="single" w:color="auto" w:sz="4" w:space="0"/>
                    <w:right w:val="single" w:color="auto" w:sz="4" w:space="0"/>
                  </w:tcBorders>
                  <w:vAlign w:val="center"/>
                </w:tcPr>
                <w:p w14:paraId="6FD95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964" w:type="pct"/>
                  <w:vMerge w:val="restart"/>
                  <w:tcBorders>
                    <w:top w:val="single" w:color="auto" w:sz="4" w:space="0"/>
                    <w:left w:val="single" w:color="auto" w:sz="4" w:space="0"/>
                    <w:bottom w:val="single" w:color="auto" w:sz="4" w:space="0"/>
                    <w:right w:val="single" w:color="auto" w:sz="4" w:space="0"/>
                  </w:tcBorders>
                  <w:vAlign w:val="center"/>
                </w:tcPr>
                <w:p w14:paraId="1D826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监测指标</w:t>
                  </w:r>
                </w:p>
              </w:tc>
              <w:tc>
                <w:tcPr>
                  <w:tcW w:w="2210" w:type="pct"/>
                  <w:gridSpan w:val="3"/>
                  <w:tcBorders>
                    <w:top w:val="single" w:color="auto" w:sz="4" w:space="0"/>
                    <w:left w:val="single" w:color="auto" w:sz="4" w:space="0"/>
                    <w:bottom w:val="single" w:color="auto" w:sz="4" w:space="0"/>
                    <w:right w:val="single" w:color="auto" w:sz="4" w:space="0"/>
                  </w:tcBorders>
                  <w:vAlign w:val="center"/>
                </w:tcPr>
                <w:p w14:paraId="24879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监测时间</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0A259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III类标准</w:t>
                  </w:r>
                </w:p>
              </w:tc>
              <w:tc>
                <w:tcPr>
                  <w:tcW w:w="464" w:type="pct"/>
                  <w:vMerge w:val="restart"/>
                  <w:tcBorders>
                    <w:top w:val="single" w:color="auto" w:sz="4" w:space="0"/>
                    <w:left w:val="single" w:color="auto" w:sz="4" w:space="0"/>
                    <w:bottom w:val="single" w:color="auto" w:sz="4" w:space="0"/>
                    <w:right w:val="single" w:color="auto" w:sz="4" w:space="0"/>
                  </w:tcBorders>
                  <w:vAlign w:val="center"/>
                </w:tcPr>
                <w:p w14:paraId="625B6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评价结果</w:t>
                  </w:r>
                </w:p>
              </w:tc>
            </w:tr>
            <w:tr w14:paraId="23EE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top w:val="single" w:color="auto" w:sz="4" w:space="0"/>
                    <w:left w:val="single" w:color="auto" w:sz="4" w:space="0"/>
                    <w:bottom w:val="single" w:color="auto" w:sz="4" w:space="0"/>
                    <w:right w:val="single" w:color="auto" w:sz="4" w:space="0"/>
                  </w:tcBorders>
                  <w:vAlign w:val="center"/>
                </w:tcPr>
                <w:p w14:paraId="778BB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Merge w:val="continue"/>
                  <w:tcBorders>
                    <w:top w:val="single" w:color="auto" w:sz="4" w:space="0"/>
                    <w:left w:val="single" w:color="auto" w:sz="4" w:space="0"/>
                    <w:bottom w:val="single" w:color="auto" w:sz="4" w:space="0"/>
                    <w:right w:val="single" w:color="auto" w:sz="4" w:space="0"/>
                  </w:tcBorders>
                  <w:vAlign w:val="center"/>
                </w:tcPr>
                <w:p w14:paraId="02F46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707" w:type="pct"/>
                  <w:tcBorders>
                    <w:top w:val="single" w:color="auto" w:sz="4" w:space="0"/>
                    <w:left w:val="single" w:color="auto" w:sz="4" w:space="0"/>
                    <w:bottom w:val="single" w:color="auto" w:sz="4" w:space="0"/>
                    <w:right w:val="single" w:color="auto" w:sz="4" w:space="0"/>
                  </w:tcBorders>
                  <w:vAlign w:val="center"/>
                </w:tcPr>
                <w:p w14:paraId="08240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2023.11.30</w:t>
                  </w:r>
                </w:p>
              </w:tc>
              <w:tc>
                <w:tcPr>
                  <w:tcW w:w="795" w:type="pct"/>
                  <w:tcBorders>
                    <w:top w:val="single" w:color="auto" w:sz="4" w:space="0"/>
                    <w:left w:val="single" w:color="auto" w:sz="4" w:space="0"/>
                    <w:bottom w:val="single" w:color="auto" w:sz="4" w:space="0"/>
                    <w:right w:val="single" w:color="auto" w:sz="4" w:space="0"/>
                  </w:tcBorders>
                  <w:vAlign w:val="center"/>
                </w:tcPr>
                <w:p w14:paraId="353B2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2023.12.01</w:t>
                  </w:r>
                </w:p>
              </w:tc>
              <w:tc>
                <w:tcPr>
                  <w:tcW w:w="707" w:type="pct"/>
                  <w:tcBorders>
                    <w:top w:val="single" w:color="auto" w:sz="4" w:space="0"/>
                    <w:left w:val="single" w:color="auto" w:sz="4" w:space="0"/>
                    <w:bottom w:val="single" w:color="auto" w:sz="4" w:space="0"/>
                    <w:right w:val="single" w:color="auto" w:sz="4" w:space="0"/>
                  </w:tcBorders>
                  <w:vAlign w:val="center"/>
                </w:tcPr>
                <w:p w14:paraId="50B3CC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2023.12.02</w:t>
                  </w: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4A87D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vAlign w:val="center"/>
                </w:tcPr>
                <w:p w14:paraId="708D3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r>
            <w:tr w14:paraId="16B4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tcBorders>
                    <w:top w:val="single" w:color="auto" w:sz="4" w:space="0"/>
                    <w:left w:val="single" w:color="auto" w:sz="4" w:space="0"/>
                    <w:right w:val="single" w:color="auto" w:sz="4" w:space="0"/>
                  </w:tcBorders>
                  <w:vAlign w:val="center"/>
                </w:tcPr>
                <w:p w14:paraId="2E630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Q1上游谓所村地下水井（103.1926434，25.5789770）</w:t>
                  </w:r>
                </w:p>
              </w:tc>
              <w:tc>
                <w:tcPr>
                  <w:tcW w:w="964" w:type="pct"/>
                  <w:tcBorders>
                    <w:top w:val="single" w:color="auto" w:sz="4" w:space="0"/>
                    <w:left w:val="single" w:color="auto" w:sz="4" w:space="0"/>
                    <w:right w:val="single" w:color="auto" w:sz="4" w:space="0"/>
                  </w:tcBorders>
                  <w:vAlign w:val="center"/>
                </w:tcPr>
                <w:p w14:paraId="18DB2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tcBorders>
                    <w:top w:val="single" w:color="auto" w:sz="4" w:space="0"/>
                    <w:left w:val="single" w:color="auto" w:sz="4" w:space="0"/>
                    <w:right w:val="single" w:color="auto" w:sz="4" w:space="0"/>
                  </w:tcBorders>
                  <w:vAlign w:val="center"/>
                </w:tcPr>
                <w:p w14:paraId="30C59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795" w:type="pct"/>
                  <w:tcBorders>
                    <w:top w:val="single" w:color="auto" w:sz="4" w:space="0"/>
                    <w:left w:val="single" w:color="auto" w:sz="4" w:space="0"/>
                    <w:right w:val="single" w:color="auto" w:sz="4" w:space="0"/>
                  </w:tcBorders>
                  <w:vAlign w:val="center"/>
                </w:tcPr>
                <w:p w14:paraId="7A70FD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707" w:type="pct"/>
                  <w:tcBorders>
                    <w:top w:val="single" w:color="auto" w:sz="4" w:space="0"/>
                    <w:left w:val="single" w:color="auto" w:sz="4" w:space="0"/>
                    <w:right w:val="single" w:color="auto" w:sz="4" w:space="0"/>
                  </w:tcBorders>
                  <w:vAlign w:val="center"/>
                </w:tcPr>
                <w:p w14:paraId="008C86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442" w:type="pct"/>
                  <w:tcBorders>
                    <w:top w:val="single" w:color="auto" w:sz="4" w:space="0"/>
                    <w:left w:val="single" w:color="auto" w:sz="4" w:space="0"/>
                    <w:right w:val="single" w:color="auto" w:sz="4" w:space="0"/>
                  </w:tcBorders>
                  <w:vAlign w:val="center"/>
                </w:tcPr>
                <w:p w14:paraId="6A894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tcBorders>
                    <w:top w:val="single" w:color="auto" w:sz="4" w:space="0"/>
                    <w:left w:val="single" w:color="auto" w:sz="4" w:space="0"/>
                    <w:bottom w:val="single" w:color="auto" w:sz="4" w:space="0"/>
                    <w:right w:val="single" w:color="auto" w:sz="4" w:space="0"/>
                  </w:tcBorders>
                  <w:vAlign w:val="center"/>
                </w:tcPr>
                <w:p w14:paraId="0EACD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6FC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0493A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bookmarkStart w:id="8" w:name="OLE_LINK21" w:colFirst="2" w:colLast="4"/>
                </w:p>
              </w:tc>
              <w:tc>
                <w:tcPr>
                  <w:tcW w:w="964" w:type="pct"/>
                  <w:tcBorders>
                    <w:top w:val="single" w:color="auto" w:sz="4" w:space="0"/>
                    <w:left w:val="single" w:color="auto" w:sz="4" w:space="0"/>
                    <w:bottom w:val="single" w:color="auto" w:sz="4" w:space="0"/>
                    <w:right w:val="single" w:color="auto" w:sz="4" w:space="0"/>
                  </w:tcBorders>
                  <w:vAlign w:val="center"/>
                </w:tcPr>
                <w:p w14:paraId="694D1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tcBorders>
                    <w:top w:val="single" w:color="auto" w:sz="4" w:space="0"/>
                    <w:left w:val="single" w:color="auto" w:sz="4" w:space="0"/>
                    <w:bottom w:val="single" w:color="auto" w:sz="4" w:space="0"/>
                    <w:right w:val="single" w:color="auto" w:sz="4" w:space="0"/>
                  </w:tcBorders>
                  <w:vAlign w:val="center"/>
                </w:tcPr>
                <w:p w14:paraId="6F485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0.043</w:t>
                  </w:r>
                </w:p>
              </w:tc>
              <w:tc>
                <w:tcPr>
                  <w:tcW w:w="795" w:type="pct"/>
                  <w:tcBorders>
                    <w:top w:val="single" w:color="auto" w:sz="4" w:space="0"/>
                    <w:left w:val="single" w:color="auto" w:sz="4" w:space="0"/>
                    <w:bottom w:val="single" w:color="auto" w:sz="4" w:space="0"/>
                    <w:right w:val="single" w:color="auto" w:sz="4" w:space="0"/>
                  </w:tcBorders>
                  <w:vAlign w:val="center"/>
                </w:tcPr>
                <w:p w14:paraId="6B982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0.046</w:t>
                  </w:r>
                </w:p>
              </w:tc>
              <w:tc>
                <w:tcPr>
                  <w:tcW w:w="707" w:type="pct"/>
                  <w:tcBorders>
                    <w:top w:val="single" w:color="auto" w:sz="4" w:space="0"/>
                    <w:left w:val="single" w:color="auto" w:sz="4" w:space="0"/>
                    <w:bottom w:val="single" w:color="auto" w:sz="4" w:space="0"/>
                    <w:right w:val="single" w:color="auto" w:sz="4" w:space="0"/>
                  </w:tcBorders>
                  <w:vAlign w:val="center"/>
                </w:tcPr>
                <w:p w14:paraId="21F4D4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0.039</w:t>
                  </w:r>
                </w:p>
              </w:tc>
              <w:tc>
                <w:tcPr>
                  <w:tcW w:w="442" w:type="pct"/>
                  <w:tcBorders>
                    <w:top w:val="single" w:color="auto" w:sz="4" w:space="0"/>
                    <w:left w:val="single" w:color="auto" w:sz="4" w:space="0"/>
                    <w:bottom w:val="single" w:color="auto" w:sz="4" w:space="0"/>
                    <w:right w:val="single" w:color="auto" w:sz="4" w:space="0"/>
                  </w:tcBorders>
                  <w:vAlign w:val="center"/>
                </w:tcPr>
                <w:p w14:paraId="57E95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tcBorders>
                    <w:top w:val="single" w:color="auto" w:sz="4" w:space="0"/>
                    <w:left w:val="single" w:color="auto" w:sz="4" w:space="0"/>
                    <w:bottom w:val="single" w:color="auto" w:sz="4" w:space="0"/>
                    <w:right w:val="single" w:color="auto" w:sz="4" w:space="0"/>
                  </w:tcBorders>
                  <w:vAlign w:val="center"/>
                </w:tcPr>
                <w:p w14:paraId="34EC2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bookmarkEnd w:id="8"/>
            <w:tr w14:paraId="38DD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6643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6BAB6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tcBorders>
                    <w:top w:val="single" w:color="auto" w:sz="4" w:space="0"/>
                    <w:left w:val="single" w:color="auto" w:sz="4" w:space="0"/>
                    <w:bottom w:val="single" w:color="auto" w:sz="4" w:space="0"/>
                    <w:right w:val="single" w:color="auto" w:sz="4" w:space="0"/>
                  </w:tcBorders>
                  <w:vAlign w:val="center"/>
                </w:tcPr>
                <w:p w14:paraId="26A66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1.86</w:t>
                  </w:r>
                </w:p>
              </w:tc>
              <w:tc>
                <w:tcPr>
                  <w:tcW w:w="795" w:type="pct"/>
                  <w:tcBorders>
                    <w:top w:val="single" w:color="auto" w:sz="4" w:space="0"/>
                    <w:left w:val="single" w:color="auto" w:sz="4" w:space="0"/>
                    <w:bottom w:val="single" w:color="auto" w:sz="4" w:space="0"/>
                    <w:right w:val="single" w:color="auto" w:sz="4" w:space="0"/>
                  </w:tcBorders>
                  <w:vAlign w:val="center"/>
                </w:tcPr>
                <w:p w14:paraId="4BD9C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1.89</w:t>
                  </w:r>
                </w:p>
              </w:tc>
              <w:tc>
                <w:tcPr>
                  <w:tcW w:w="707" w:type="pct"/>
                  <w:tcBorders>
                    <w:top w:val="single" w:color="auto" w:sz="4" w:space="0"/>
                    <w:left w:val="single" w:color="auto" w:sz="4" w:space="0"/>
                    <w:bottom w:val="single" w:color="auto" w:sz="4" w:space="0"/>
                    <w:right w:val="single" w:color="auto" w:sz="4" w:space="0"/>
                  </w:tcBorders>
                  <w:vAlign w:val="center"/>
                </w:tcPr>
                <w:p w14:paraId="7DC6B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w:t>
                  </w:r>
                </w:p>
              </w:tc>
              <w:tc>
                <w:tcPr>
                  <w:tcW w:w="442" w:type="pct"/>
                  <w:tcBorders>
                    <w:top w:val="single" w:color="auto" w:sz="4" w:space="0"/>
                    <w:left w:val="single" w:color="auto" w:sz="4" w:space="0"/>
                    <w:bottom w:val="single" w:color="auto" w:sz="4" w:space="0"/>
                    <w:right w:val="single" w:color="auto" w:sz="4" w:space="0"/>
                  </w:tcBorders>
                  <w:vAlign w:val="center"/>
                </w:tcPr>
                <w:p w14:paraId="483F8A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tcBorders>
                    <w:top w:val="single" w:color="auto" w:sz="4" w:space="0"/>
                    <w:left w:val="single" w:color="auto" w:sz="4" w:space="0"/>
                    <w:bottom w:val="single" w:color="auto" w:sz="4" w:space="0"/>
                    <w:right w:val="single" w:color="auto" w:sz="4" w:space="0"/>
                  </w:tcBorders>
                  <w:vAlign w:val="center"/>
                </w:tcPr>
                <w:p w14:paraId="174E1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E3B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50724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CA51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tcBorders>
                    <w:top w:val="single" w:color="auto" w:sz="4" w:space="0"/>
                    <w:left w:val="single" w:color="auto" w:sz="4" w:space="0"/>
                    <w:bottom w:val="single" w:color="auto" w:sz="4" w:space="0"/>
                    <w:right w:val="single" w:color="auto" w:sz="4" w:space="0"/>
                  </w:tcBorders>
                  <w:vAlign w:val="center"/>
                </w:tcPr>
                <w:p w14:paraId="20013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0.011</w:t>
                  </w:r>
                </w:p>
              </w:tc>
              <w:tc>
                <w:tcPr>
                  <w:tcW w:w="795" w:type="pct"/>
                  <w:tcBorders>
                    <w:top w:val="single" w:color="auto" w:sz="4" w:space="0"/>
                    <w:left w:val="single" w:color="auto" w:sz="4" w:space="0"/>
                    <w:bottom w:val="single" w:color="auto" w:sz="4" w:space="0"/>
                    <w:right w:val="single" w:color="auto" w:sz="4" w:space="0"/>
                  </w:tcBorders>
                  <w:vAlign w:val="center"/>
                </w:tcPr>
                <w:p w14:paraId="6EC85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0.011</w:t>
                  </w:r>
                </w:p>
              </w:tc>
              <w:tc>
                <w:tcPr>
                  <w:tcW w:w="707" w:type="pct"/>
                  <w:tcBorders>
                    <w:top w:val="single" w:color="auto" w:sz="4" w:space="0"/>
                    <w:left w:val="single" w:color="auto" w:sz="4" w:space="0"/>
                    <w:bottom w:val="single" w:color="auto" w:sz="4" w:space="0"/>
                    <w:right w:val="single" w:color="auto" w:sz="4" w:space="0"/>
                  </w:tcBorders>
                  <w:vAlign w:val="center"/>
                </w:tcPr>
                <w:p w14:paraId="5126F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0.011</w:t>
                  </w:r>
                </w:p>
              </w:tc>
              <w:tc>
                <w:tcPr>
                  <w:tcW w:w="442" w:type="pct"/>
                  <w:tcBorders>
                    <w:top w:val="single" w:color="auto" w:sz="4" w:space="0"/>
                    <w:left w:val="single" w:color="auto" w:sz="4" w:space="0"/>
                    <w:bottom w:val="single" w:color="auto" w:sz="4" w:space="0"/>
                    <w:right w:val="single" w:color="auto" w:sz="4" w:space="0"/>
                  </w:tcBorders>
                  <w:vAlign w:val="center"/>
                </w:tcPr>
                <w:p w14:paraId="2E273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tcBorders>
                    <w:top w:val="single" w:color="auto" w:sz="4" w:space="0"/>
                    <w:left w:val="single" w:color="auto" w:sz="4" w:space="0"/>
                    <w:bottom w:val="single" w:color="auto" w:sz="4" w:space="0"/>
                    <w:right w:val="single" w:color="auto" w:sz="4" w:space="0"/>
                  </w:tcBorders>
                  <w:vAlign w:val="center"/>
                </w:tcPr>
                <w:p w14:paraId="37462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E58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9801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76D3D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tcBorders>
                    <w:top w:val="single" w:color="auto" w:sz="4" w:space="0"/>
                    <w:left w:val="single" w:color="auto" w:sz="4" w:space="0"/>
                    <w:bottom w:val="single" w:color="auto" w:sz="4" w:space="0"/>
                    <w:right w:val="single" w:color="auto" w:sz="4" w:space="0"/>
                  </w:tcBorders>
                  <w:vAlign w:val="center"/>
                </w:tcPr>
                <w:p w14:paraId="5264B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tcBorders>
                    <w:top w:val="single" w:color="auto" w:sz="4" w:space="0"/>
                    <w:left w:val="single" w:color="auto" w:sz="4" w:space="0"/>
                    <w:bottom w:val="single" w:color="auto" w:sz="4" w:space="0"/>
                    <w:right w:val="single" w:color="auto" w:sz="4" w:space="0"/>
                  </w:tcBorders>
                  <w:vAlign w:val="center"/>
                </w:tcPr>
                <w:p w14:paraId="431D8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tcBorders>
                    <w:top w:val="single" w:color="auto" w:sz="4" w:space="0"/>
                    <w:left w:val="single" w:color="auto" w:sz="4" w:space="0"/>
                    <w:bottom w:val="single" w:color="auto" w:sz="4" w:space="0"/>
                    <w:right w:val="single" w:color="auto" w:sz="4" w:space="0"/>
                  </w:tcBorders>
                  <w:vAlign w:val="center"/>
                </w:tcPr>
                <w:p w14:paraId="31737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tcBorders>
                    <w:top w:val="single" w:color="auto" w:sz="4" w:space="0"/>
                    <w:left w:val="single" w:color="auto" w:sz="4" w:space="0"/>
                    <w:bottom w:val="single" w:color="auto" w:sz="4" w:space="0"/>
                    <w:right w:val="single" w:color="auto" w:sz="4" w:space="0"/>
                  </w:tcBorders>
                  <w:vAlign w:val="center"/>
                </w:tcPr>
                <w:p w14:paraId="68416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tcBorders>
                    <w:top w:val="single" w:color="auto" w:sz="4" w:space="0"/>
                    <w:left w:val="single" w:color="auto" w:sz="4" w:space="0"/>
                    <w:bottom w:val="single" w:color="auto" w:sz="4" w:space="0"/>
                    <w:right w:val="single" w:color="auto" w:sz="4" w:space="0"/>
                  </w:tcBorders>
                  <w:vAlign w:val="center"/>
                </w:tcPr>
                <w:p w14:paraId="0DBD1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ECC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766EB6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54C70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tcBorders>
                    <w:top w:val="single" w:color="auto" w:sz="4" w:space="0"/>
                    <w:left w:val="single" w:color="auto" w:sz="4" w:space="0"/>
                    <w:bottom w:val="single" w:color="auto" w:sz="4" w:space="0"/>
                    <w:right w:val="single" w:color="auto" w:sz="4" w:space="0"/>
                  </w:tcBorders>
                  <w:vAlign w:val="center"/>
                </w:tcPr>
                <w:p w14:paraId="23D3F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tcBorders>
                    <w:top w:val="single" w:color="auto" w:sz="4" w:space="0"/>
                    <w:left w:val="single" w:color="auto" w:sz="4" w:space="0"/>
                    <w:bottom w:val="single" w:color="auto" w:sz="4" w:space="0"/>
                    <w:right w:val="single" w:color="auto" w:sz="4" w:space="0"/>
                  </w:tcBorders>
                  <w:vAlign w:val="center"/>
                </w:tcPr>
                <w:p w14:paraId="2D44F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tcBorders>
                    <w:top w:val="single" w:color="auto" w:sz="4" w:space="0"/>
                    <w:left w:val="single" w:color="auto" w:sz="4" w:space="0"/>
                    <w:bottom w:val="single" w:color="auto" w:sz="4" w:space="0"/>
                    <w:right w:val="single" w:color="auto" w:sz="4" w:space="0"/>
                  </w:tcBorders>
                  <w:vAlign w:val="center"/>
                </w:tcPr>
                <w:p w14:paraId="3C355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tcBorders>
                    <w:top w:val="single" w:color="auto" w:sz="4" w:space="0"/>
                    <w:left w:val="single" w:color="auto" w:sz="4" w:space="0"/>
                    <w:bottom w:val="single" w:color="auto" w:sz="4" w:space="0"/>
                    <w:right w:val="single" w:color="auto" w:sz="4" w:space="0"/>
                  </w:tcBorders>
                  <w:vAlign w:val="center"/>
                </w:tcPr>
                <w:p w14:paraId="39C2C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tcBorders>
                    <w:top w:val="single" w:color="auto" w:sz="4" w:space="0"/>
                    <w:left w:val="single" w:color="auto" w:sz="4" w:space="0"/>
                    <w:bottom w:val="single" w:color="auto" w:sz="4" w:space="0"/>
                    <w:right w:val="single" w:color="auto" w:sz="4" w:space="0"/>
                  </w:tcBorders>
                  <w:vAlign w:val="center"/>
                </w:tcPr>
                <w:p w14:paraId="11682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DA5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7073A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130BB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tcBorders>
                    <w:top w:val="single" w:color="auto" w:sz="4" w:space="0"/>
                    <w:left w:val="single" w:color="auto" w:sz="4" w:space="0"/>
                    <w:bottom w:val="single" w:color="auto" w:sz="4" w:space="0"/>
                    <w:right w:val="single" w:color="auto" w:sz="4" w:space="0"/>
                  </w:tcBorders>
                  <w:vAlign w:val="center"/>
                </w:tcPr>
                <w:p w14:paraId="40E93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795" w:type="pct"/>
                  <w:tcBorders>
                    <w:top w:val="single" w:color="auto" w:sz="4" w:space="0"/>
                    <w:left w:val="single" w:color="auto" w:sz="4" w:space="0"/>
                    <w:bottom w:val="single" w:color="auto" w:sz="4" w:space="0"/>
                    <w:right w:val="single" w:color="auto" w:sz="4" w:space="0"/>
                  </w:tcBorders>
                  <w:vAlign w:val="center"/>
                </w:tcPr>
                <w:p w14:paraId="2B259A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346</w:t>
                  </w:r>
                </w:p>
              </w:tc>
              <w:tc>
                <w:tcPr>
                  <w:tcW w:w="707" w:type="pct"/>
                  <w:tcBorders>
                    <w:top w:val="single" w:color="auto" w:sz="4" w:space="0"/>
                    <w:left w:val="single" w:color="auto" w:sz="4" w:space="0"/>
                    <w:bottom w:val="single" w:color="auto" w:sz="4" w:space="0"/>
                    <w:right w:val="single" w:color="auto" w:sz="4" w:space="0"/>
                  </w:tcBorders>
                  <w:vAlign w:val="center"/>
                </w:tcPr>
                <w:p w14:paraId="60819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346</w:t>
                  </w:r>
                </w:p>
              </w:tc>
              <w:tc>
                <w:tcPr>
                  <w:tcW w:w="442" w:type="pct"/>
                  <w:tcBorders>
                    <w:top w:val="single" w:color="auto" w:sz="4" w:space="0"/>
                    <w:left w:val="single" w:color="auto" w:sz="4" w:space="0"/>
                    <w:bottom w:val="single" w:color="auto" w:sz="4" w:space="0"/>
                    <w:right w:val="single" w:color="auto" w:sz="4" w:space="0"/>
                  </w:tcBorders>
                  <w:vAlign w:val="center"/>
                </w:tcPr>
                <w:p w14:paraId="34656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tcBorders>
                    <w:top w:val="single" w:color="auto" w:sz="4" w:space="0"/>
                    <w:left w:val="single" w:color="auto" w:sz="4" w:space="0"/>
                    <w:bottom w:val="single" w:color="auto" w:sz="4" w:space="0"/>
                    <w:right w:val="single" w:color="auto" w:sz="4" w:space="0"/>
                  </w:tcBorders>
                  <w:vAlign w:val="center"/>
                </w:tcPr>
                <w:p w14:paraId="2CBBB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D23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7E1C3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27FC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tcBorders>
                    <w:top w:val="single" w:color="auto" w:sz="4" w:space="0"/>
                    <w:left w:val="single" w:color="auto" w:sz="4" w:space="0"/>
                    <w:bottom w:val="single" w:color="auto" w:sz="4" w:space="0"/>
                    <w:right w:val="single" w:color="auto" w:sz="4" w:space="0"/>
                  </w:tcBorders>
                  <w:vAlign w:val="center"/>
                </w:tcPr>
                <w:p w14:paraId="62ACC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618</w:t>
                  </w:r>
                </w:p>
              </w:tc>
              <w:tc>
                <w:tcPr>
                  <w:tcW w:w="795" w:type="pct"/>
                  <w:tcBorders>
                    <w:top w:val="single" w:color="auto" w:sz="4" w:space="0"/>
                    <w:left w:val="single" w:color="auto" w:sz="4" w:space="0"/>
                    <w:bottom w:val="single" w:color="auto" w:sz="4" w:space="0"/>
                    <w:right w:val="single" w:color="auto" w:sz="4" w:space="0"/>
                  </w:tcBorders>
                  <w:vAlign w:val="center"/>
                </w:tcPr>
                <w:p w14:paraId="071EF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612</w:t>
                  </w:r>
                </w:p>
              </w:tc>
              <w:tc>
                <w:tcPr>
                  <w:tcW w:w="707" w:type="pct"/>
                  <w:tcBorders>
                    <w:top w:val="single" w:color="auto" w:sz="4" w:space="0"/>
                    <w:left w:val="single" w:color="auto" w:sz="4" w:space="0"/>
                    <w:bottom w:val="single" w:color="auto" w:sz="4" w:space="0"/>
                    <w:right w:val="single" w:color="auto" w:sz="4" w:space="0"/>
                  </w:tcBorders>
                  <w:vAlign w:val="center"/>
                </w:tcPr>
                <w:p w14:paraId="235F0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621</w:t>
                  </w:r>
                </w:p>
              </w:tc>
              <w:tc>
                <w:tcPr>
                  <w:tcW w:w="442" w:type="pct"/>
                  <w:tcBorders>
                    <w:top w:val="single" w:color="auto" w:sz="4" w:space="0"/>
                    <w:left w:val="single" w:color="auto" w:sz="4" w:space="0"/>
                    <w:bottom w:val="single" w:color="auto" w:sz="4" w:space="0"/>
                    <w:right w:val="single" w:color="auto" w:sz="4" w:space="0"/>
                  </w:tcBorders>
                  <w:vAlign w:val="center"/>
                </w:tcPr>
                <w:p w14:paraId="54ED11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tcBorders>
                    <w:top w:val="single" w:color="auto" w:sz="4" w:space="0"/>
                    <w:left w:val="single" w:color="auto" w:sz="4" w:space="0"/>
                    <w:bottom w:val="single" w:color="auto" w:sz="4" w:space="0"/>
                    <w:right w:val="single" w:color="auto" w:sz="4" w:space="0"/>
                  </w:tcBorders>
                  <w:vAlign w:val="center"/>
                </w:tcPr>
                <w:p w14:paraId="7582B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BB6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619FB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130A6A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tcBorders>
                    <w:top w:val="single" w:color="auto" w:sz="4" w:space="0"/>
                    <w:left w:val="single" w:color="auto" w:sz="4" w:space="0"/>
                    <w:bottom w:val="single" w:color="auto" w:sz="4" w:space="0"/>
                    <w:right w:val="single" w:color="auto" w:sz="4" w:space="0"/>
                  </w:tcBorders>
                  <w:vAlign w:val="center"/>
                </w:tcPr>
                <w:p w14:paraId="3803E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795" w:type="pct"/>
                  <w:tcBorders>
                    <w:top w:val="single" w:color="auto" w:sz="4" w:space="0"/>
                    <w:left w:val="single" w:color="auto" w:sz="4" w:space="0"/>
                    <w:bottom w:val="single" w:color="auto" w:sz="4" w:space="0"/>
                    <w:right w:val="single" w:color="auto" w:sz="4" w:space="0"/>
                  </w:tcBorders>
                  <w:vAlign w:val="center"/>
                </w:tcPr>
                <w:p w14:paraId="05D74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707" w:type="pct"/>
                  <w:tcBorders>
                    <w:top w:val="single" w:color="auto" w:sz="4" w:space="0"/>
                    <w:left w:val="single" w:color="auto" w:sz="4" w:space="0"/>
                    <w:bottom w:val="single" w:color="auto" w:sz="4" w:space="0"/>
                    <w:right w:val="single" w:color="auto" w:sz="4" w:space="0"/>
                  </w:tcBorders>
                  <w:vAlign w:val="center"/>
                </w:tcPr>
                <w:p w14:paraId="7AAD6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442" w:type="pct"/>
                  <w:tcBorders>
                    <w:top w:val="single" w:color="auto" w:sz="4" w:space="0"/>
                    <w:left w:val="single" w:color="auto" w:sz="4" w:space="0"/>
                    <w:bottom w:val="single" w:color="auto" w:sz="4" w:space="0"/>
                    <w:right w:val="single" w:color="auto" w:sz="4" w:space="0"/>
                  </w:tcBorders>
                  <w:vAlign w:val="center"/>
                </w:tcPr>
                <w:p w14:paraId="52991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tcBorders>
                    <w:top w:val="single" w:color="auto" w:sz="4" w:space="0"/>
                    <w:left w:val="single" w:color="auto" w:sz="4" w:space="0"/>
                    <w:bottom w:val="single" w:color="auto" w:sz="4" w:space="0"/>
                    <w:right w:val="single" w:color="auto" w:sz="4" w:space="0"/>
                  </w:tcBorders>
                  <w:vAlign w:val="center"/>
                </w:tcPr>
                <w:p w14:paraId="479FB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2C5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42A6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290C5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tcBorders>
                    <w:top w:val="single" w:color="auto" w:sz="4" w:space="0"/>
                    <w:left w:val="single" w:color="auto" w:sz="4" w:space="0"/>
                    <w:bottom w:val="single" w:color="auto" w:sz="4" w:space="0"/>
                    <w:right w:val="single" w:color="auto" w:sz="4" w:space="0"/>
                  </w:tcBorders>
                  <w:vAlign w:val="center"/>
                </w:tcPr>
                <w:p w14:paraId="75BF1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38.5</w:t>
                  </w:r>
                </w:p>
              </w:tc>
              <w:tc>
                <w:tcPr>
                  <w:tcW w:w="795" w:type="pct"/>
                  <w:tcBorders>
                    <w:top w:val="single" w:color="auto" w:sz="4" w:space="0"/>
                    <w:left w:val="single" w:color="auto" w:sz="4" w:space="0"/>
                    <w:bottom w:val="single" w:color="auto" w:sz="4" w:space="0"/>
                    <w:right w:val="single" w:color="auto" w:sz="4" w:space="0"/>
                  </w:tcBorders>
                  <w:vAlign w:val="center"/>
                </w:tcPr>
                <w:p w14:paraId="6DB9A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39.2</w:t>
                  </w:r>
                </w:p>
              </w:tc>
              <w:tc>
                <w:tcPr>
                  <w:tcW w:w="707" w:type="pct"/>
                  <w:tcBorders>
                    <w:top w:val="single" w:color="auto" w:sz="4" w:space="0"/>
                    <w:left w:val="single" w:color="auto" w:sz="4" w:space="0"/>
                    <w:bottom w:val="single" w:color="auto" w:sz="4" w:space="0"/>
                    <w:right w:val="single" w:color="auto" w:sz="4" w:space="0"/>
                  </w:tcBorders>
                  <w:vAlign w:val="center"/>
                </w:tcPr>
                <w:p w14:paraId="12B01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38.1</w:t>
                  </w:r>
                </w:p>
              </w:tc>
              <w:tc>
                <w:tcPr>
                  <w:tcW w:w="442" w:type="pct"/>
                  <w:tcBorders>
                    <w:top w:val="single" w:color="auto" w:sz="4" w:space="0"/>
                    <w:left w:val="single" w:color="auto" w:sz="4" w:space="0"/>
                    <w:bottom w:val="single" w:color="auto" w:sz="4" w:space="0"/>
                    <w:right w:val="single" w:color="auto" w:sz="4" w:space="0"/>
                  </w:tcBorders>
                  <w:vAlign w:val="center"/>
                </w:tcPr>
                <w:p w14:paraId="27831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tcBorders>
                    <w:top w:val="single" w:color="auto" w:sz="4" w:space="0"/>
                    <w:left w:val="single" w:color="auto" w:sz="4" w:space="0"/>
                    <w:bottom w:val="single" w:color="auto" w:sz="4" w:space="0"/>
                    <w:right w:val="single" w:color="auto" w:sz="4" w:space="0"/>
                  </w:tcBorders>
                  <w:vAlign w:val="center"/>
                </w:tcPr>
                <w:p w14:paraId="381EA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A2C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6CC997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6E730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tcBorders>
                    <w:top w:val="single" w:color="auto" w:sz="4" w:space="0"/>
                    <w:left w:val="single" w:color="auto" w:sz="4" w:space="0"/>
                    <w:bottom w:val="single" w:color="auto" w:sz="4" w:space="0"/>
                    <w:right w:val="single" w:color="auto" w:sz="4" w:space="0"/>
                  </w:tcBorders>
                  <w:vAlign w:val="center"/>
                </w:tcPr>
                <w:p w14:paraId="6C473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95" w:type="pct"/>
                  <w:tcBorders>
                    <w:top w:val="single" w:color="auto" w:sz="4" w:space="0"/>
                    <w:left w:val="single" w:color="auto" w:sz="4" w:space="0"/>
                    <w:bottom w:val="single" w:color="auto" w:sz="4" w:space="0"/>
                    <w:right w:val="single" w:color="auto" w:sz="4" w:space="0"/>
                  </w:tcBorders>
                  <w:vAlign w:val="center"/>
                </w:tcPr>
                <w:p w14:paraId="12C80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07" w:type="pct"/>
                  <w:tcBorders>
                    <w:top w:val="single" w:color="auto" w:sz="4" w:space="0"/>
                    <w:left w:val="single" w:color="auto" w:sz="4" w:space="0"/>
                    <w:bottom w:val="single" w:color="auto" w:sz="4" w:space="0"/>
                    <w:right w:val="single" w:color="auto" w:sz="4" w:space="0"/>
                  </w:tcBorders>
                  <w:vAlign w:val="center"/>
                </w:tcPr>
                <w:p w14:paraId="26A96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442" w:type="pct"/>
                  <w:tcBorders>
                    <w:top w:val="single" w:color="auto" w:sz="4" w:space="0"/>
                    <w:left w:val="single" w:color="auto" w:sz="4" w:space="0"/>
                    <w:bottom w:val="single" w:color="auto" w:sz="4" w:space="0"/>
                    <w:right w:val="single" w:color="auto" w:sz="4" w:space="0"/>
                  </w:tcBorders>
                  <w:vAlign w:val="center"/>
                </w:tcPr>
                <w:p w14:paraId="17D3BD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tcBorders>
                    <w:top w:val="single" w:color="auto" w:sz="4" w:space="0"/>
                    <w:left w:val="single" w:color="auto" w:sz="4" w:space="0"/>
                    <w:bottom w:val="single" w:color="auto" w:sz="4" w:space="0"/>
                    <w:right w:val="single" w:color="auto" w:sz="4" w:space="0"/>
                  </w:tcBorders>
                  <w:vAlign w:val="center"/>
                </w:tcPr>
                <w:p w14:paraId="0FF98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291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09336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24442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tcBorders>
                    <w:top w:val="single" w:color="auto" w:sz="4" w:space="0"/>
                    <w:left w:val="single" w:color="auto" w:sz="4" w:space="0"/>
                    <w:bottom w:val="single" w:color="auto" w:sz="4" w:space="0"/>
                    <w:right w:val="single" w:color="auto" w:sz="4" w:space="0"/>
                  </w:tcBorders>
                  <w:vAlign w:val="center"/>
                </w:tcPr>
                <w:p w14:paraId="5D625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w:t>
                  </w:r>
                </w:p>
              </w:tc>
              <w:tc>
                <w:tcPr>
                  <w:tcW w:w="795" w:type="pct"/>
                  <w:tcBorders>
                    <w:top w:val="single" w:color="auto" w:sz="4" w:space="0"/>
                    <w:left w:val="single" w:color="auto" w:sz="4" w:space="0"/>
                    <w:bottom w:val="single" w:color="auto" w:sz="4" w:space="0"/>
                    <w:right w:val="single" w:color="auto" w:sz="4" w:space="0"/>
                  </w:tcBorders>
                  <w:vAlign w:val="center"/>
                </w:tcPr>
                <w:p w14:paraId="3ECF9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w:t>
                  </w:r>
                </w:p>
              </w:tc>
              <w:tc>
                <w:tcPr>
                  <w:tcW w:w="707" w:type="pct"/>
                  <w:tcBorders>
                    <w:top w:val="single" w:color="auto" w:sz="4" w:space="0"/>
                    <w:left w:val="single" w:color="auto" w:sz="4" w:space="0"/>
                    <w:bottom w:val="single" w:color="auto" w:sz="4" w:space="0"/>
                    <w:right w:val="single" w:color="auto" w:sz="4" w:space="0"/>
                  </w:tcBorders>
                  <w:vAlign w:val="center"/>
                </w:tcPr>
                <w:p w14:paraId="3D147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0.29</w:t>
                  </w:r>
                </w:p>
              </w:tc>
              <w:tc>
                <w:tcPr>
                  <w:tcW w:w="442" w:type="pct"/>
                  <w:tcBorders>
                    <w:top w:val="single" w:color="auto" w:sz="4" w:space="0"/>
                    <w:left w:val="single" w:color="auto" w:sz="4" w:space="0"/>
                    <w:bottom w:val="single" w:color="auto" w:sz="4" w:space="0"/>
                    <w:right w:val="single" w:color="auto" w:sz="4" w:space="0"/>
                  </w:tcBorders>
                  <w:vAlign w:val="center"/>
                </w:tcPr>
                <w:p w14:paraId="4D7E26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tcBorders>
                    <w:top w:val="single" w:color="auto" w:sz="4" w:space="0"/>
                    <w:left w:val="single" w:color="auto" w:sz="4" w:space="0"/>
                    <w:bottom w:val="single" w:color="auto" w:sz="4" w:space="0"/>
                    <w:right w:val="single" w:color="auto" w:sz="4" w:space="0"/>
                  </w:tcBorders>
                  <w:vAlign w:val="center"/>
                </w:tcPr>
                <w:p w14:paraId="10ECB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920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70A21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6F5B4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tcBorders>
                    <w:top w:val="single" w:color="auto" w:sz="4" w:space="0"/>
                    <w:left w:val="single" w:color="auto" w:sz="4" w:space="0"/>
                    <w:bottom w:val="single" w:color="auto" w:sz="4" w:space="0"/>
                    <w:right w:val="single" w:color="auto" w:sz="4" w:space="0"/>
                  </w:tcBorders>
                  <w:vAlign w:val="center"/>
                </w:tcPr>
                <w:p w14:paraId="70FBD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tcBorders>
                    <w:top w:val="single" w:color="auto" w:sz="4" w:space="0"/>
                    <w:left w:val="single" w:color="auto" w:sz="4" w:space="0"/>
                    <w:bottom w:val="single" w:color="auto" w:sz="4" w:space="0"/>
                    <w:right w:val="single" w:color="auto" w:sz="4" w:space="0"/>
                  </w:tcBorders>
                  <w:vAlign w:val="center"/>
                </w:tcPr>
                <w:p w14:paraId="74C46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tcBorders>
                    <w:top w:val="single" w:color="auto" w:sz="4" w:space="0"/>
                    <w:left w:val="single" w:color="auto" w:sz="4" w:space="0"/>
                    <w:bottom w:val="single" w:color="auto" w:sz="4" w:space="0"/>
                    <w:right w:val="single" w:color="auto" w:sz="4" w:space="0"/>
                  </w:tcBorders>
                  <w:vAlign w:val="center"/>
                </w:tcPr>
                <w:p w14:paraId="5F6A0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tcBorders>
                    <w:top w:val="single" w:color="auto" w:sz="4" w:space="0"/>
                    <w:left w:val="single" w:color="auto" w:sz="4" w:space="0"/>
                    <w:bottom w:val="single" w:color="auto" w:sz="4" w:space="0"/>
                    <w:right w:val="single" w:color="auto" w:sz="4" w:space="0"/>
                  </w:tcBorders>
                  <w:vAlign w:val="center"/>
                </w:tcPr>
                <w:p w14:paraId="3FF42E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tcBorders>
                    <w:top w:val="single" w:color="auto" w:sz="4" w:space="0"/>
                    <w:left w:val="single" w:color="auto" w:sz="4" w:space="0"/>
                    <w:bottom w:val="single" w:color="auto" w:sz="4" w:space="0"/>
                    <w:right w:val="single" w:color="auto" w:sz="4" w:space="0"/>
                  </w:tcBorders>
                  <w:vAlign w:val="center"/>
                </w:tcPr>
                <w:p w14:paraId="4FB44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96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8C70F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3BFD8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tcBorders>
                    <w:top w:val="single" w:color="auto" w:sz="4" w:space="0"/>
                    <w:left w:val="single" w:color="auto" w:sz="4" w:space="0"/>
                    <w:bottom w:val="single" w:color="auto" w:sz="4" w:space="0"/>
                    <w:right w:val="single" w:color="auto" w:sz="4" w:space="0"/>
                  </w:tcBorders>
                  <w:vAlign w:val="center"/>
                </w:tcPr>
                <w:p w14:paraId="607DF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795" w:type="pct"/>
                  <w:tcBorders>
                    <w:top w:val="single" w:color="auto" w:sz="4" w:space="0"/>
                    <w:left w:val="single" w:color="auto" w:sz="4" w:space="0"/>
                    <w:bottom w:val="single" w:color="auto" w:sz="4" w:space="0"/>
                    <w:right w:val="single" w:color="auto" w:sz="4" w:space="0"/>
                  </w:tcBorders>
                  <w:vAlign w:val="center"/>
                </w:tcPr>
                <w:p w14:paraId="03329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707" w:type="pct"/>
                  <w:tcBorders>
                    <w:top w:val="single" w:color="auto" w:sz="4" w:space="0"/>
                    <w:left w:val="single" w:color="auto" w:sz="4" w:space="0"/>
                    <w:bottom w:val="single" w:color="auto" w:sz="4" w:space="0"/>
                    <w:right w:val="single" w:color="auto" w:sz="4" w:space="0"/>
                  </w:tcBorders>
                  <w:vAlign w:val="center"/>
                </w:tcPr>
                <w:p w14:paraId="20CB25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442" w:type="pct"/>
                  <w:tcBorders>
                    <w:top w:val="single" w:color="auto" w:sz="4" w:space="0"/>
                    <w:left w:val="single" w:color="auto" w:sz="4" w:space="0"/>
                    <w:bottom w:val="single" w:color="auto" w:sz="4" w:space="0"/>
                    <w:right w:val="single" w:color="auto" w:sz="4" w:space="0"/>
                  </w:tcBorders>
                  <w:vAlign w:val="center"/>
                </w:tcPr>
                <w:p w14:paraId="067A2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tcBorders>
                    <w:top w:val="single" w:color="auto" w:sz="4" w:space="0"/>
                    <w:left w:val="single" w:color="auto" w:sz="4" w:space="0"/>
                    <w:bottom w:val="single" w:color="auto" w:sz="4" w:space="0"/>
                    <w:right w:val="single" w:color="auto" w:sz="4" w:space="0"/>
                  </w:tcBorders>
                  <w:vAlign w:val="center"/>
                </w:tcPr>
                <w:p w14:paraId="4D9F2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F35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38381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5EF1EA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tcBorders>
                    <w:top w:val="single" w:color="auto" w:sz="4" w:space="0"/>
                    <w:left w:val="single" w:color="auto" w:sz="4" w:space="0"/>
                    <w:bottom w:val="single" w:color="auto" w:sz="4" w:space="0"/>
                    <w:right w:val="single" w:color="auto" w:sz="4" w:space="0"/>
                  </w:tcBorders>
                  <w:vAlign w:val="center"/>
                </w:tcPr>
                <w:p w14:paraId="7B6207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tcBorders>
                    <w:top w:val="single" w:color="auto" w:sz="4" w:space="0"/>
                    <w:left w:val="single" w:color="auto" w:sz="4" w:space="0"/>
                    <w:bottom w:val="single" w:color="auto" w:sz="4" w:space="0"/>
                    <w:right w:val="single" w:color="auto" w:sz="4" w:space="0"/>
                  </w:tcBorders>
                  <w:vAlign w:val="center"/>
                </w:tcPr>
                <w:p w14:paraId="61F4C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tcBorders>
                    <w:top w:val="single" w:color="auto" w:sz="4" w:space="0"/>
                    <w:left w:val="single" w:color="auto" w:sz="4" w:space="0"/>
                    <w:bottom w:val="single" w:color="auto" w:sz="4" w:space="0"/>
                    <w:right w:val="single" w:color="auto" w:sz="4" w:space="0"/>
                  </w:tcBorders>
                  <w:vAlign w:val="center"/>
                </w:tcPr>
                <w:p w14:paraId="7CC17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tcBorders>
                    <w:top w:val="single" w:color="auto" w:sz="4" w:space="0"/>
                    <w:left w:val="single" w:color="auto" w:sz="4" w:space="0"/>
                    <w:bottom w:val="single" w:color="auto" w:sz="4" w:space="0"/>
                    <w:right w:val="single" w:color="auto" w:sz="4" w:space="0"/>
                  </w:tcBorders>
                  <w:vAlign w:val="center"/>
                </w:tcPr>
                <w:p w14:paraId="306DD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tcBorders>
                    <w:top w:val="single" w:color="auto" w:sz="4" w:space="0"/>
                    <w:left w:val="single" w:color="auto" w:sz="4" w:space="0"/>
                    <w:bottom w:val="single" w:color="auto" w:sz="4" w:space="0"/>
                    <w:right w:val="single" w:color="auto" w:sz="4" w:space="0"/>
                  </w:tcBorders>
                  <w:vAlign w:val="center"/>
                </w:tcPr>
                <w:p w14:paraId="3420D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E06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6D7910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69F9E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tcBorders>
                    <w:top w:val="single" w:color="auto" w:sz="4" w:space="0"/>
                    <w:left w:val="single" w:color="auto" w:sz="4" w:space="0"/>
                    <w:bottom w:val="single" w:color="auto" w:sz="4" w:space="0"/>
                    <w:right w:val="single" w:color="auto" w:sz="4" w:space="0"/>
                  </w:tcBorders>
                  <w:vAlign w:val="center"/>
                </w:tcPr>
                <w:p w14:paraId="211C21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tcBorders>
                    <w:top w:val="single" w:color="auto" w:sz="4" w:space="0"/>
                    <w:left w:val="single" w:color="auto" w:sz="4" w:space="0"/>
                    <w:bottom w:val="single" w:color="auto" w:sz="4" w:space="0"/>
                    <w:right w:val="single" w:color="auto" w:sz="4" w:space="0"/>
                  </w:tcBorders>
                  <w:vAlign w:val="center"/>
                </w:tcPr>
                <w:p w14:paraId="52559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tcBorders>
                    <w:top w:val="single" w:color="auto" w:sz="4" w:space="0"/>
                    <w:left w:val="single" w:color="auto" w:sz="4" w:space="0"/>
                    <w:bottom w:val="single" w:color="auto" w:sz="4" w:space="0"/>
                    <w:right w:val="single" w:color="auto" w:sz="4" w:space="0"/>
                  </w:tcBorders>
                  <w:vAlign w:val="center"/>
                </w:tcPr>
                <w:p w14:paraId="04657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tcBorders>
                    <w:top w:val="single" w:color="auto" w:sz="4" w:space="0"/>
                    <w:left w:val="single" w:color="auto" w:sz="4" w:space="0"/>
                    <w:bottom w:val="single" w:color="auto" w:sz="4" w:space="0"/>
                    <w:right w:val="single" w:color="auto" w:sz="4" w:space="0"/>
                  </w:tcBorders>
                  <w:vAlign w:val="center"/>
                </w:tcPr>
                <w:p w14:paraId="09D5B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tcBorders>
                    <w:top w:val="single" w:color="auto" w:sz="4" w:space="0"/>
                    <w:left w:val="single" w:color="auto" w:sz="4" w:space="0"/>
                    <w:bottom w:val="single" w:color="auto" w:sz="4" w:space="0"/>
                    <w:right w:val="single" w:color="auto" w:sz="4" w:space="0"/>
                  </w:tcBorders>
                  <w:vAlign w:val="center"/>
                </w:tcPr>
                <w:p w14:paraId="63F7F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5F2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3220C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01953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tcBorders>
                    <w:top w:val="single" w:color="auto" w:sz="4" w:space="0"/>
                    <w:left w:val="single" w:color="auto" w:sz="4" w:space="0"/>
                    <w:bottom w:val="single" w:color="auto" w:sz="4" w:space="0"/>
                    <w:right w:val="single" w:color="auto" w:sz="4" w:space="0"/>
                  </w:tcBorders>
                  <w:vAlign w:val="center"/>
                </w:tcPr>
                <w:p w14:paraId="7C26B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95" w:type="pct"/>
                  <w:tcBorders>
                    <w:top w:val="single" w:color="auto" w:sz="4" w:space="0"/>
                    <w:left w:val="single" w:color="auto" w:sz="4" w:space="0"/>
                    <w:bottom w:val="single" w:color="auto" w:sz="4" w:space="0"/>
                    <w:right w:val="single" w:color="auto" w:sz="4" w:space="0"/>
                  </w:tcBorders>
                  <w:vAlign w:val="center"/>
                </w:tcPr>
                <w:p w14:paraId="3FC6F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9.0×10</w:t>
                  </w:r>
                  <w:r>
                    <w:rPr>
                      <w:rFonts w:hint="default" w:ascii="Times New Roman" w:hAnsi="Times New Roman" w:cs="Times New Roman"/>
                      <w:color w:val="auto"/>
                      <w:sz w:val="21"/>
                      <w:szCs w:val="21"/>
                      <w:vertAlign w:val="superscript"/>
                    </w:rPr>
                    <w:t>-5</w:t>
                  </w:r>
                </w:p>
              </w:tc>
              <w:tc>
                <w:tcPr>
                  <w:tcW w:w="707" w:type="pct"/>
                  <w:tcBorders>
                    <w:top w:val="single" w:color="auto" w:sz="4" w:space="0"/>
                    <w:left w:val="single" w:color="auto" w:sz="4" w:space="0"/>
                    <w:bottom w:val="single" w:color="auto" w:sz="4" w:space="0"/>
                    <w:right w:val="single" w:color="auto" w:sz="4" w:space="0"/>
                  </w:tcBorders>
                  <w:vAlign w:val="center"/>
                </w:tcPr>
                <w:p w14:paraId="3F3728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442" w:type="pct"/>
                  <w:tcBorders>
                    <w:top w:val="single" w:color="auto" w:sz="4" w:space="0"/>
                    <w:left w:val="single" w:color="auto" w:sz="4" w:space="0"/>
                    <w:bottom w:val="single" w:color="auto" w:sz="4" w:space="0"/>
                    <w:right w:val="single" w:color="auto" w:sz="4" w:space="0"/>
                  </w:tcBorders>
                  <w:vAlign w:val="center"/>
                </w:tcPr>
                <w:p w14:paraId="14D4A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tcBorders>
                    <w:top w:val="single" w:color="auto" w:sz="4" w:space="0"/>
                    <w:left w:val="single" w:color="auto" w:sz="4" w:space="0"/>
                    <w:bottom w:val="single" w:color="auto" w:sz="4" w:space="0"/>
                    <w:right w:val="single" w:color="auto" w:sz="4" w:space="0"/>
                  </w:tcBorders>
                  <w:vAlign w:val="center"/>
                </w:tcPr>
                <w:p w14:paraId="7354A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F22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12095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21F833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tcBorders>
                    <w:top w:val="single" w:color="auto" w:sz="4" w:space="0"/>
                    <w:left w:val="single" w:color="auto" w:sz="4" w:space="0"/>
                    <w:bottom w:val="single" w:color="auto" w:sz="4" w:space="0"/>
                    <w:right w:val="single" w:color="auto" w:sz="4" w:space="0"/>
                  </w:tcBorders>
                  <w:vAlign w:val="center"/>
                </w:tcPr>
                <w:p w14:paraId="7FF9E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tcBorders>
                    <w:top w:val="single" w:color="auto" w:sz="4" w:space="0"/>
                    <w:left w:val="single" w:color="auto" w:sz="4" w:space="0"/>
                    <w:bottom w:val="single" w:color="auto" w:sz="4" w:space="0"/>
                    <w:right w:val="single" w:color="auto" w:sz="4" w:space="0"/>
                  </w:tcBorders>
                  <w:vAlign w:val="center"/>
                </w:tcPr>
                <w:p w14:paraId="3A7E10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07" w:type="pct"/>
                  <w:tcBorders>
                    <w:top w:val="single" w:color="auto" w:sz="4" w:space="0"/>
                    <w:left w:val="single" w:color="auto" w:sz="4" w:space="0"/>
                    <w:bottom w:val="single" w:color="auto" w:sz="4" w:space="0"/>
                    <w:right w:val="single" w:color="auto" w:sz="4" w:space="0"/>
                  </w:tcBorders>
                  <w:vAlign w:val="center"/>
                </w:tcPr>
                <w:p w14:paraId="2CD98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tcBorders>
                    <w:top w:val="single" w:color="auto" w:sz="4" w:space="0"/>
                    <w:left w:val="single" w:color="auto" w:sz="4" w:space="0"/>
                    <w:bottom w:val="single" w:color="auto" w:sz="4" w:space="0"/>
                    <w:right w:val="single" w:color="auto" w:sz="4" w:space="0"/>
                  </w:tcBorders>
                  <w:vAlign w:val="center"/>
                </w:tcPr>
                <w:p w14:paraId="7B9EA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tcBorders>
                    <w:top w:val="single" w:color="auto" w:sz="4" w:space="0"/>
                    <w:left w:val="single" w:color="auto" w:sz="4" w:space="0"/>
                    <w:bottom w:val="single" w:color="auto" w:sz="4" w:space="0"/>
                    <w:right w:val="single" w:color="auto" w:sz="4" w:space="0"/>
                  </w:tcBorders>
                  <w:vAlign w:val="center"/>
                </w:tcPr>
                <w:p w14:paraId="1913A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FEB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7B014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38FC5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tcBorders>
                    <w:top w:val="single" w:color="auto" w:sz="4" w:space="0"/>
                    <w:left w:val="single" w:color="auto" w:sz="4" w:space="0"/>
                    <w:bottom w:val="single" w:color="auto" w:sz="4" w:space="0"/>
                    <w:right w:val="single" w:color="auto" w:sz="4" w:space="0"/>
                  </w:tcBorders>
                  <w:vAlign w:val="center"/>
                </w:tcPr>
                <w:p w14:paraId="0A65C1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tcBorders>
                    <w:top w:val="single" w:color="auto" w:sz="4" w:space="0"/>
                    <w:left w:val="single" w:color="auto" w:sz="4" w:space="0"/>
                    <w:bottom w:val="single" w:color="auto" w:sz="4" w:space="0"/>
                    <w:right w:val="single" w:color="auto" w:sz="4" w:space="0"/>
                  </w:tcBorders>
                  <w:vAlign w:val="center"/>
                </w:tcPr>
                <w:p w14:paraId="72A8B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tcBorders>
                    <w:top w:val="single" w:color="auto" w:sz="4" w:space="0"/>
                    <w:left w:val="single" w:color="auto" w:sz="4" w:space="0"/>
                    <w:bottom w:val="single" w:color="auto" w:sz="4" w:space="0"/>
                    <w:right w:val="single" w:color="auto" w:sz="4" w:space="0"/>
                  </w:tcBorders>
                  <w:vAlign w:val="center"/>
                </w:tcPr>
                <w:p w14:paraId="2E257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tcBorders>
                    <w:top w:val="single" w:color="auto" w:sz="4" w:space="0"/>
                    <w:left w:val="single" w:color="auto" w:sz="4" w:space="0"/>
                    <w:bottom w:val="single" w:color="auto" w:sz="4" w:space="0"/>
                    <w:right w:val="single" w:color="auto" w:sz="4" w:space="0"/>
                  </w:tcBorders>
                  <w:vAlign w:val="center"/>
                </w:tcPr>
                <w:p w14:paraId="65C91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tcBorders>
                    <w:top w:val="single" w:color="auto" w:sz="4" w:space="0"/>
                    <w:left w:val="single" w:color="auto" w:sz="4" w:space="0"/>
                    <w:bottom w:val="single" w:color="auto" w:sz="4" w:space="0"/>
                    <w:right w:val="single" w:color="auto" w:sz="4" w:space="0"/>
                  </w:tcBorders>
                  <w:vAlign w:val="center"/>
                </w:tcPr>
                <w:p w14:paraId="3A5D2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526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47EF70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7D52F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tcBorders>
                    <w:top w:val="single" w:color="auto" w:sz="4" w:space="0"/>
                    <w:left w:val="single" w:color="auto" w:sz="4" w:space="0"/>
                    <w:bottom w:val="single" w:color="auto" w:sz="4" w:space="0"/>
                    <w:right w:val="single" w:color="auto" w:sz="4" w:space="0"/>
                  </w:tcBorders>
                  <w:vAlign w:val="center"/>
                </w:tcPr>
                <w:p w14:paraId="336EF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95" w:type="pct"/>
                  <w:tcBorders>
                    <w:top w:val="single" w:color="auto" w:sz="4" w:space="0"/>
                    <w:left w:val="single" w:color="auto" w:sz="4" w:space="0"/>
                    <w:bottom w:val="single" w:color="auto" w:sz="4" w:space="0"/>
                    <w:right w:val="single" w:color="auto" w:sz="4" w:space="0"/>
                  </w:tcBorders>
                  <w:vAlign w:val="center"/>
                </w:tcPr>
                <w:p w14:paraId="588C7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07" w:type="pct"/>
                  <w:tcBorders>
                    <w:top w:val="single" w:color="auto" w:sz="4" w:space="0"/>
                    <w:left w:val="single" w:color="auto" w:sz="4" w:space="0"/>
                    <w:bottom w:val="single" w:color="auto" w:sz="4" w:space="0"/>
                    <w:right w:val="single" w:color="auto" w:sz="4" w:space="0"/>
                  </w:tcBorders>
                  <w:vAlign w:val="center"/>
                </w:tcPr>
                <w:p w14:paraId="6EF1F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442" w:type="pct"/>
                  <w:tcBorders>
                    <w:top w:val="single" w:color="auto" w:sz="4" w:space="0"/>
                    <w:left w:val="single" w:color="auto" w:sz="4" w:space="0"/>
                    <w:bottom w:val="single" w:color="auto" w:sz="4" w:space="0"/>
                    <w:right w:val="single" w:color="auto" w:sz="4" w:space="0"/>
                  </w:tcBorders>
                  <w:vAlign w:val="center"/>
                </w:tcPr>
                <w:p w14:paraId="288733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tcBorders>
                    <w:top w:val="single" w:color="auto" w:sz="4" w:space="0"/>
                    <w:left w:val="single" w:color="auto" w:sz="4" w:space="0"/>
                    <w:bottom w:val="single" w:color="auto" w:sz="4" w:space="0"/>
                    <w:right w:val="single" w:color="auto" w:sz="4" w:space="0"/>
                  </w:tcBorders>
                  <w:vAlign w:val="center"/>
                </w:tcPr>
                <w:p w14:paraId="55469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259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446141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3BE3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tcBorders>
                    <w:top w:val="single" w:color="auto" w:sz="4" w:space="0"/>
                    <w:left w:val="single" w:color="auto" w:sz="4" w:space="0"/>
                    <w:bottom w:val="single" w:color="auto" w:sz="4" w:space="0"/>
                    <w:right w:val="single" w:color="auto" w:sz="4" w:space="0"/>
                  </w:tcBorders>
                  <w:vAlign w:val="center"/>
                </w:tcPr>
                <w:p w14:paraId="14C046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795" w:type="pct"/>
                  <w:tcBorders>
                    <w:top w:val="single" w:color="auto" w:sz="4" w:space="0"/>
                    <w:left w:val="single" w:color="auto" w:sz="4" w:space="0"/>
                    <w:bottom w:val="single" w:color="auto" w:sz="4" w:space="0"/>
                    <w:right w:val="single" w:color="auto" w:sz="4" w:space="0"/>
                  </w:tcBorders>
                  <w:vAlign w:val="center"/>
                </w:tcPr>
                <w:p w14:paraId="394103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707" w:type="pct"/>
                  <w:tcBorders>
                    <w:top w:val="single" w:color="auto" w:sz="4" w:space="0"/>
                    <w:left w:val="single" w:color="auto" w:sz="4" w:space="0"/>
                    <w:bottom w:val="single" w:color="auto" w:sz="4" w:space="0"/>
                    <w:right w:val="single" w:color="auto" w:sz="4" w:space="0"/>
                  </w:tcBorders>
                  <w:vAlign w:val="center"/>
                </w:tcPr>
                <w:p w14:paraId="23370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442" w:type="pct"/>
                  <w:tcBorders>
                    <w:top w:val="single" w:color="auto" w:sz="4" w:space="0"/>
                    <w:left w:val="single" w:color="auto" w:sz="4" w:space="0"/>
                    <w:bottom w:val="single" w:color="auto" w:sz="4" w:space="0"/>
                    <w:right w:val="single" w:color="auto" w:sz="4" w:space="0"/>
                  </w:tcBorders>
                  <w:vAlign w:val="center"/>
                </w:tcPr>
                <w:p w14:paraId="6844A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tcBorders>
                    <w:top w:val="single" w:color="auto" w:sz="4" w:space="0"/>
                    <w:left w:val="single" w:color="auto" w:sz="4" w:space="0"/>
                    <w:bottom w:val="single" w:color="auto" w:sz="4" w:space="0"/>
                    <w:right w:val="single" w:color="auto" w:sz="4" w:space="0"/>
                  </w:tcBorders>
                  <w:vAlign w:val="center"/>
                </w:tcPr>
                <w:p w14:paraId="6B8A4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3E9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6BDC40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1799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tcBorders>
                    <w:top w:val="single" w:color="auto" w:sz="4" w:space="0"/>
                    <w:left w:val="single" w:color="auto" w:sz="4" w:space="0"/>
                    <w:bottom w:val="single" w:color="auto" w:sz="4" w:space="0"/>
                    <w:right w:val="single" w:color="auto" w:sz="4" w:space="0"/>
                  </w:tcBorders>
                  <w:vAlign w:val="center"/>
                </w:tcPr>
                <w:p w14:paraId="57CC26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w:t>
                  </w:r>
                </w:p>
              </w:tc>
              <w:tc>
                <w:tcPr>
                  <w:tcW w:w="795" w:type="pct"/>
                  <w:tcBorders>
                    <w:top w:val="single" w:color="auto" w:sz="4" w:space="0"/>
                    <w:left w:val="single" w:color="auto" w:sz="4" w:space="0"/>
                    <w:bottom w:val="single" w:color="auto" w:sz="4" w:space="0"/>
                    <w:right w:val="single" w:color="auto" w:sz="4" w:space="0"/>
                  </w:tcBorders>
                  <w:vAlign w:val="center"/>
                </w:tcPr>
                <w:p w14:paraId="3FBD6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707" w:type="pct"/>
                  <w:tcBorders>
                    <w:top w:val="single" w:color="auto" w:sz="4" w:space="0"/>
                    <w:left w:val="single" w:color="auto" w:sz="4" w:space="0"/>
                    <w:bottom w:val="single" w:color="auto" w:sz="4" w:space="0"/>
                    <w:right w:val="single" w:color="auto" w:sz="4" w:space="0"/>
                  </w:tcBorders>
                  <w:vAlign w:val="center"/>
                </w:tcPr>
                <w:p w14:paraId="6885F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442" w:type="pct"/>
                  <w:tcBorders>
                    <w:top w:val="single" w:color="auto" w:sz="4" w:space="0"/>
                    <w:left w:val="single" w:color="auto" w:sz="4" w:space="0"/>
                    <w:bottom w:val="single" w:color="auto" w:sz="4" w:space="0"/>
                    <w:right w:val="single" w:color="auto" w:sz="4" w:space="0"/>
                  </w:tcBorders>
                  <w:vAlign w:val="center"/>
                </w:tcPr>
                <w:p w14:paraId="79CB0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79F25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AC8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09F5C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2ED93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tcBorders>
                    <w:top w:val="single" w:color="auto" w:sz="4" w:space="0"/>
                    <w:left w:val="single" w:color="auto" w:sz="4" w:space="0"/>
                    <w:bottom w:val="single" w:color="auto" w:sz="4" w:space="0"/>
                    <w:right w:val="single" w:color="auto" w:sz="4" w:space="0"/>
                  </w:tcBorders>
                  <w:vAlign w:val="center"/>
                </w:tcPr>
                <w:p w14:paraId="08C45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23.1</w:t>
                  </w:r>
                </w:p>
              </w:tc>
              <w:tc>
                <w:tcPr>
                  <w:tcW w:w="795" w:type="pct"/>
                  <w:tcBorders>
                    <w:top w:val="single" w:color="auto" w:sz="4" w:space="0"/>
                    <w:left w:val="single" w:color="auto" w:sz="4" w:space="0"/>
                    <w:bottom w:val="single" w:color="auto" w:sz="4" w:space="0"/>
                    <w:right w:val="single" w:color="auto" w:sz="4" w:space="0"/>
                  </w:tcBorders>
                  <w:vAlign w:val="center"/>
                </w:tcPr>
                <w:p w14:paraId="18E1B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w:t>
                  </w:r>
                </w:p>
              </w:tc>
              <w:tc>
                <w:tcPr>
                  <w:tcW w:w="707" w:type="pct"/>
                  <w:tcBorders>
                    <w:top w:val="single" w:color="auto" w:sz="4" w:space="0"/>
                    <w:left w:val="single" w:color="auto" w:sz="4" w:space="0"/>
                    <w:bottom w:val="single" w:color="auto" w:sz="4" w:space="0"/>
                    <w:right w:val="single" w:color="auto" w:sz="4" w:space="0"/>
                  </w:tcBorders>
                  <w:vAlign w:val="center"/>
                </w:tcPr>
                <w:p w14:paraId="06C2E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w:t>
                  </w:r>
                </w:p>
              </w:tc>
              <w:tc>
                <w:tcPr>
                  <w:tcW w:w="442" w:type="pct"/>
                  <w:tcBorders>
                    <w:top w:val="single" w:color="auto" w:sz="4" w:space="0"/>
                    <w:left w:val="single" w:color="auto" w:sz="4" w:space="0"/>
                    <w:bottom w:val="single" w:color="auto" w:sz="4" w:space="0"/>
                    <w:right w:val="single" w:color="auto" w:sz="4" w:space="0"/>
                  </w:tcBorders>
                  <w:vAlign w:val="center"/>
                </w:tcPr>
                <w:p w14:paraId="62212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7B178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967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6FC61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AF6F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tcBorders>
                    <w:top w:val="single" w:color="auto" w:sz="4" w:space="0"/>
                    <w:left w:val="single" w:color="auto" w:sz="4" w:space="0"/>
                    <w:bottom w:val="single" w:color="auto" w:sz="4" w:space="0"/>
                    <w:right w:val="single" w:color="auto" w:sz="4" w:space="0"/>
                  </w:tcBorders>
                  <w:vAlign w:val="center"/>
                </w:tcPr>
                <w:p w14:paraId="6623D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91.5</w:t>
                  </w:r>
                </w:p>
              </w:tc>
              <w:tc>
                <w:tcPr>
                  <w:tcW w:w="795" w:type="pct"/>
                  <w:tcBorders>
                    <w:top w:val="single" w:color="auto" w:sz="4" w:space="0"/>
                    <w:left w:val="single" w:color="auto" w:sz="4" w:space="0"/>
                    <w:bottom w:val="single" w:color="auto" w:sz="4" w:space="0"/>
                    <w:right w:val="single" w:color="auto" w:sz="4" w:space="0"/>
                  </w:tcBorders>
                  <w:vAlign w:val="center"/>
                </w:tcPr>
                <w:p w14:paraId="25F40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92.5</w:t>
                  </w:r>
                </w:p>
              </w:tc>
              <w:tc>
                <w:tcPr>
                  <w:tcW w:w="707" w:type="pct"/>
                  <w:tcBorders>
                    <w:top w:val="single" w:color="auto" w:sz="4" w:space="0"/>
                    <w:left w:val="single" w:color="auto" w:sz="4" w:space="0"/>
                    <w:bottom w:val="single" w:color="auto" w:sz="4" w:space="0"/>
                    <w:right w:val="single" w:color="auto" w:sz="4" w:space="0"/>
                  </w:tcBorders>
                  <w:vAlign w:val="center"/>
                </w:tcPr>
                <w:p w14:paraId="1C59B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93.7</w:t>
                  </w:r>
                </w:p>
              </w:tc>
              <w:tc>
                <w:tcPr>
                  <w:tcW w:w="442" w:type="pct"/>
                  <w:tcBorders>
                    <w:top w:val="single" w:color="auto" w:sz="4" w:space="0"/>
                    <w:left w:val="single" w:color="auto" w:sz="4" w:space="0"/>
                    <w:bottom w:val="single" w:color="auto" w:sz="4" w:space="0"/>
                    <w:right w:val="single" w:color="auto" w:sz="4" w:space="0"/>
                  </w:tcBorders>
                  <w:vAlign w:val="center"/>
                </w:tcPr>
                <w:p w14:paraId="4EC63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5B991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9E7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54171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5696EC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tcBorders>
                    <w:top w:val="single" w:color="auto" w:sz="4" w:space="0"/>
                    <w:left w:val="single" w:color="auto" w:sz="4" w:space="0"/>
                    <w:bottom w:val="single" w:color="auto" w:sz="4" w:space="0"/>
                    <w:right w:val="single" w:color="auto" w:sz="4" w:space="0"/>
                  </w:tcBorders>
                  <w:vAlign w:val="center"/>
                </w:tcPr>
                <w:p w14:paraId="798F0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795" w:type="pct"/>
                  <w:tcBorders>
                    <w:top w:val="single" w:color="auto" w:sz="4" w:space="0"/>
                    <w:left w:val="single" w:color="auto" w:sz="4" w:space="0"/>
                    <w:bottom w:val="single" w:color="auto" w:sz="4" w:space="0"/>
                    <w:right w:val="single" w:color="auto" w:sz="4" w:space="0"/>
                  </w:tcBorders>
                  <w:vAlign w:val="center"/>
                </w:tcPr>
                <w:p w14:paraId="2ABD2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w:t>
                  </w:r>
                </w:p>
              </w:tc>
              <w:tc>
                <w:tcPr>
                  <w:tcW w:w="707" w:type="pct"/>
                  <w:tcBorders>
                    <w:top w:val="single" w:color="auto" w:sz="4" w:space="0"/>
                    <w:left w:val="single" w:color="auto" w:sz="4" w:space="0"/>
                    <w:bottom w:val="single" w:color="auto" w:sz="4" w:space="0"/>
                    <w:right w:val="single" w:color="auto" w:sz="4" w:space="0"/>
                  </w:tcBorders>
                  <w:vAlign w:val="center"/>
                </w:tcPr>
                <w:p w14:paraId="7C7D0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442" w:type="pct"/>
                  <w:tcBorders>
                    <w:top w:val="single" w:color="auto" w:sz="4" w:space="0"/>
                    <w:left w:val="single" w:color="auto" w:sz="4" w:space="0"/>
                    <w:bottom w:val="single" w:color="auto" w:sz="4" w:space="0"/>
                    <w:right w:val="single" w:color="auto" w:sz="4" w:space="0"/>
                  </w:tcBorders>
                  <w:vAlign w:val="center"/>
                </w:tcPr>
                <w:p w14:paraId="3D6F0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10105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DB5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5F81B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413B8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tcBorders>
                    <w:top w:val="single" w:color="auto" w:sz="4" w:space="0"/>
                    <w:left w:val="single" w:color="auto" w:sz="4" w:space="0"/>
                    <w:bottom w:val="single" w:color="auto" w:sz="4" w:space="0"/>
                    <w:right w:val="single" w:color="auto" w:sz="4" w:space="0"/>
                  </w:tcBorders>
                  <w:vAlign w:val="center"/>
                </w:tcPr>
                <w:p w14:paraId="21B74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795" w:type="pct"/>
                  <w:tcBorders>
                    <w:top w:val="single" w:color="auto" w:sz="4" w:space="0"/>
                    <w:left w:val="single" w:color="auto" w:sz="4" w:space="0"/>
                    <w:bottom w:val="single" w:color="auto" w:sz="4" w:space="0"/>
                    <w:right w:val="single" w:color="auto" w:sz="4" w:space="0"/>
                  </w:tcBorders>
                  <w:vAlign w:val="center"/>
                </w:tcPr>
                <w:p w14:paraId="62471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276</w:t>
                  </w:r>
                </w:p>
              </w:tc>
              <w:tc>
                <w:tcPr>
                  <w:tcW w:w="707" w:type="pct"/>
                  <w:tcBorders>
                    <w:top w:val="single" w:color="auto" w:sz="4" w:space="0"/>
                    <w:left w:val="single" w:color="auto" w:sz="4" w:space="0"/>
                    <w:bottom w:val="single" w:color="auto" w:sz="4" w:space="0"/>
                    <w:right w:val="single" w:color="auto" w:sz="4" w:space="0"/>
                  </w:tcBorders>
                  <w:vAlign w:val="center"/>
                </w:tcPr>
                <w:p w14:paraId="4A390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286</w:t>
                  </w:r>
                </w:p>
              </w:tc>
              <w:tc>
                <w:tcPr>
                  <w:tcW w:w="442" w:type="pct"/>
                  <w:tcBorders>
                    <w:top w:val="single" w:color="auto" w:sz="4" w:space="0"/>
                    <w:left w:val="single" w:color="auto" w:sz="4" w:space="0"/>
                    <w:bottom w:val="single" w:color="auto" w:sz="4" w:space="0"/>
                    <w:right w:val="single" w:color="auto" w:sz="4" w:space="0"/>
                  </w:tcBorders>
                  <w:vAlign w:val="center"/>
                </w:tcPr>
                <w:p w14:paraId="06A05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7931BB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8A2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22FE8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21D3C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tcBorders>
                    <w:top w:val="single" w:color="auto" w:sz="4" w:space="0"/>
                    <w:left w:val="single" w:color="auto" w:sz="4" w:space="0"/>
                    <w:bottom w:val="single" w:color="auto" w:sz="4" w:space="0"/>
                    <w:right w:val="single" w:color="auto" w:sz="4" w:space="0"/>
                  </w:tcBorders>
                  <w:vAlign w:val="center"/>
                </w:tcPr>
                <w:p w14:paraId="29AEB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289</w:t>
                  </w:r>
                </w:p>
              </w:tc>
              <w:tc>
                <w:tcPr>
                  <w:tcW w:w="795" w:type="pct"/>
                  <w:tcBorders>
                    <w:top w:val="single" w:color="auto" w:sz="4" w:space="0"/>
                    <w:left w:val="single" w:color="auto" w:sz="4" w:space="0"/>
                    <w:bottom w:val="single" w:color="auto" w:sz="4" w:space="0"/>
                    <w:right w:val="single" w:color="auto" w:sz="4" w:space="0"/>
                  </w:tcBorders>
                  <w:vAlign w:val="center"/>
                </w:tcPr>
                <w:p w14:paraId="4A120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276</w:t>
                  </w:r>
                </w:p>
              </w:tc>
              <w:tc>
                <w:tcPr>
                  <w:tcW w:w="707" w:type="pct"/>
                  <w:tcBorders>
                    <w:top w:val="single" w:color="auto" w:sz="4" w:space="0"/>
                    <w:left w:val="single" w:color="auto" w:sz="4" w:space="0"/>
                    <w:bottom w:val="single" w:color="auto" w:sz="4" w:space="0"/>
                    <w:right w:val="single" w:color="auto" w:sz="4" w:space="0"/>
                  </w:tcBorders>
                  <w:vAlign w:val="center"/>
                </w:tcPr>
                <w:p w14:paraId="7BC0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286</w:t>
                  </w:r>
                </w:p>
              </w:tc>
              <w:tc>
                <w:tcPr>
                  <w:tcW w:w="442" w:type="pct"/>
                  <w:tcBorders>
                    <w:top w:val="single" w:color="auto" w:sz="4" w:space="0"/>
                    <w:left w:val="single" w:color="auto" w:sz="4" w:space="0"/>
                    <w:bottom w:val="single" w:color="auto" w:sz="4" w:space="0"/>
                    <w:right w:val="single" w:color="auto" w:sz="4" w:space="0"/>
                  </w:tcBorders>
                  <w:vAlign w:val="center"/>
                </w:tcPr>
                <w:p w14:paraId="171CCA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748DD1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D53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right w:val="single" w:color="auto" w:sz="4" w:space="0"/>
                  </w:tcBorders>
                  <w:vAlign w:val="center"/>
                </w:tcPr>
                <w:p w14:paraId="583FF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5BAD8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tcBorders>
                    <w:top w:val="single" w:color="auto" w:sz="4" w:space="0"/>
                    <w:left w:val="single" w:color="auto" w:sz="4" w:space="0"/>
                    <w:bottom w:val="single" w:color="auto" w:sz="4" w:space="0"/>
                    <w:right w:val="single" w:color="auto" w:sz="4" w:space="0"/>
                  </w:tcBorders>
                  <w:vAlign w:val="center"/>
                </w:tcPr>
                <w:p w14:paraId="71BCF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52.7</w:t>
                  </w:r>
                </w:p>
              </w:tc>
              <w:tc>
                <w:tcPr>
                  <w:tcW w:w="795" w:type="pct"/>
                  <w:tcBorders>
                    <w:top w:val="single" w:color="auto" w:sz="4" w:space="0"/>
                    <w:left w:val="single" w:color="auto" w:sz="4" w:space="0"/>
                    <w:bottom w:val="single" w:color="auto" w:sz="4" w:space="0"/>
                    <w:right w:val="single" w:color="auto" w:sz="4" w:space="0"/>
                  </w:tcBorders>
                  <w:vAlign w:val="center"/>
                </w:tcPr>
                <w:p w14:paraId="00900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52.9</w:t>
                  </w:r>
                </w:p>
              </w:tc>
              <w:tc>
                <w:tcPr>
                  <w:tcW w:w="707" w:type="pct"/>
                  <w:tcBorders>
                    <w:top w:val="single" w:color="auto" w:sz="4" w:space="0"/>
                    <w:left w:val="single" w:color="auto" w:sz="4" w:space="0"/>
                    <w:bottom w:val="single" w:color="auto" w:sz="4" w:space="0"/>
                    <w:right w:val="single" w:color="auto" w:sz="4" w:space="0"/>
                  </w:tcBorders>
                  <w:vAlign w:val="center"/>
                </w:tcPr>
                <w:p w14:paraId="218B0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42" w:type="pct"/>
                  <w:tcBorders>
                    <w:top w:val="single" w:color="auto" w:sz="4" w:space="0"/>
                    <w:left w:val="single" w:color="auto" w:sz="4" w:space="0"/>
                    <w:bottom w:val="single" w:color="auto" w:sz="4" w:space="0"/>
                    <w:right w:val="single" w:color="auto" w:sz="4" w:space="0"/>
                  </w:tcBorders>
                  <w:vAlign w:val="center"/>
                </w:tcPr>
                <w:p w14:paraId="08E03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19901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857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tcBorders>
                    <w:left w:val="single" w:color="auto" w:sz="4" w:space="0"/>
                    <w:bottom w:val="single" w:color="auto" w:sz="4" w:space="0"/>
                    <w:right w:val="single" w:color="auto" w:sz="4" w:space="0"/>
                  </w:tcBorders>
                  <w:vAlign w:val="center"/>
                </w:tcPr>
                <w:p w14:paraId="10E72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tcBorders>
                    <w:top w:val="single" w:color="auto" w:sz="4" w:space="0"/>
                    <w:left w:val="single" w:color="auto" w:sz="4" w:space="0"/>
                    <w:bottom w:val="single" w:color="auto" w:sz="4" w:space="0"/>
                    <w:right w:val="single" w:color="auto" w:sz="4" w:space="0"/>
                  </w:tcBorders>
                  <w:vAlign w:val="center"/>
                </w:tcPr>
                <w:p w14:paraId="003C2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tcBorders>
                    <w:top w:val="single" w:color="auto" w:sz="4" w:space="0"/>
                    <w:left w:val="single" w:color="auto" w:sz="4" w:space="0"/>
                    <w:bottom w:val="single" w:color="auto" w:sz="4" w:space="0"/>
                    <w:right w:val="single" w:color="auto" w:sz="4" w:space="0"/>
                  </w:tcBorders>
                  <w:vAlign w:val="center"/>
                </w:tcPr>
                <w:p w14:paraId="6E8086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27.7</w:t>
                  </w:r>
                </w:p>
              </w:tc>
              <w:tc>
                <w:tcPr>
                  <w:tcW w:w="795" w:type="pct"/>
                  <w:tcBorders>
                    <w:top w:val="single" w:color="auto" w:sz="4" w:space="0"/>
                    <w:left w:val="single" w:color="auto" w:sz="4" w:space="0"/>
                    <w:bottom w:val="single" w:color="auto" w:sz="4" w:space="0"/>
                    <w:right w:val="single" w:color="auto" w:sz="4" w:space="0"/>
                  </w:tcBorders>
                  <w:vAlign w:val="center"/>
                </w:tcPr>
                <w:p w14:paraId="424CA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27.8</w:t>
                  </w:r>
                </w:p>
              </w:tc>
              <w:tc>
                <w:tcPr>
                  <w:tcW w:w="707" w:type="pct"/>
                  <w:tcBorders>
                    <w:top w:val="single" w:color="auto" w:sz="4" w:space="0"/>
                    <w:left w:val="single" w:color="auto" w:sz="4" w:space="0"/>
                    <w:bottom w:val="single" w:color="auto" w:sz="4" w:space="0"/>
                    <w:right w:val="single" w:color="auto" w:sz="4" w:space="0"/>
                  </w:tcBorders>
                  <w:vAlign w:val="center"/>
                </w:tcPr>
                <w:p w14:paraId="6902D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27.8</w:t>
                  </w:r>
                </w:p>
              </w:tc>
              <w:tc>
                <w:tcPr>
                  <w:tcW w:w="442" w:type="pct"/>
                  <w:tcBorders>
                    <w:top w:val="single" w:color="auto" w:sz="4" w:space="0"/>
                    <w:left w:val="single" w:color="auto" w:sz="4" w:space="0"/>
                    <w:bottom w:val="single" w:color="auto" w:sz="4" w:space="0"/>
                    <w:right w:val="single" w:color="auto" w:sz="4" w:space="0"/>
                  </w:tcBorders>
                  <w:vAlign w:val="center"/>
                </w:tcPr>
                <w:p w14:paraId="0F196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tcBorders>
                    <w:top w:val="single" w:color="auto" w:sz="4" w:space="0"/>
                    <w:left w:val="single" w:color="auto" w:sz="4" w:space="0"/>
                    <w:bottom w:val="single" w:color="auto" w:sz="4" w:space="0"/>
                    <w:right w:val="single" w:color="auto" w:sz="4" w:space="0"/>
                  </w:tcBorders>
                  <w:vAlign w:val="center"/>
                </w:tcPr>
                <w:p w14:paraId="7917B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0A1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vAlign w:val="center"/>
                </w:tcPr>
                <w:p w14:paraId="623D5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Q2项目区东侧老渡河村地下水井（103.2005830，25.5560670）</w:t>
                  </w:r>
                </w:p>
              </w:tc>
              <w:tc>
                <w:tcPr>
                  <w:tcW w:w="964" w:type="pct"/>
                  <w:vAlign w:val="center"/>
                </w:tcPr>
                <w:p w14:paraId="0E045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vAlign w:val="center"/>
                </w:tcPr>
                <w:p w14:paraId="1BEE58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795" w:type="pct"/>
                  <w:vAlign w:val="center"/>
                </w:tcPr>
                <w:p w14:paraId="06593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707" w:type="pct"/>
                  <w:vAlign w:val="center"/>
                </w:tcPr>
                <w:p w14:paraId="58FD4C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442" w:type="pct"/>
                  <w:vAlign w:val="center"/>
                </w:tcPr>
                <w:p w14:paraId="5295D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vAlign w:val="center"/>
                </w:tcPr>
                <w:p w14:paraId="166BF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AE5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2E71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BAC8D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vAlign w:val="center"/>
                </w:tcPr>
                <w:p w14:paraId="20C00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0.448</w:t>
                  </w:r>
                </w:p>
              </w:tc>
              <w:tc>
                <w:tcPr>
                  <w:tcW w:w="795" w:type="pct"/>
                  <w:vAlign w:val="center"/>
                </w:tcPr>
                <w:p w14:paraId="7B6C90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0.453</w:t>
                  </w:r>
                </w:p>
              </w:tc>
              <w:tc>
                <w:tcPr>
                  <w:tcW w:w="707" w:type="pct"/>
                  <w:vAlign w:val="center"/>
                </w:tcPr>
                <w:p w14:paraId="26F30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0.468</w:t>
                  </w:r>
                </w:p>
              </w:tc>
              <w:tc>
                <w:tcPr>
                  <w:tcW w:w="442" w:type="pct"/>
                  <w:vAlign w:val="center"/>
                </w:tcPr>
                <w:p w14:paraId="3A47D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vAlign w:val="center"/>
                </w:tcPr>
                <w:p w14:paraId="3ED28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3B4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FAB8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AB63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vAlign w:val="center"/>
                </w:tcPr>
                <w:p w14:paraId="4D1A1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w:t>
                  </w:r>
                </w:p>
              </w:tc>
              <w:tc>
                <w:tcPr>
                  <w:tcW w:w="795" w:type="pct"/>
                  <w:vAlign w:val="center"/>
                </w:tcPr>
                <w:p w14:paraId="0C3E4F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0.56</w:t>
                  </w:r>
                </w:p>
              </w:tc>
              <w:tc>
                <w:tcPr>
                  <w:tcW w:w="707" w:type="pct"/>
                  <w:vAlign w:val="center"/>
                </w:tcPr>
                <w:p w14:paraId="3C8CC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w:t>
                  </w:r>
                </w:p>
              </w:tc>
              <w:tc>
                <w:tcPr>
                  <w:tcW w:w="442" w:type="pct"/>
                  <w:vAlign w:val="center"/>
                </w:tcPr>
                <w:p w14:paraId="571B2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vAlign w:val="center"/>
                </w:tcPr>
                <w:p w14:paraId="62CB0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C67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BC89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2D9A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vAlign w:val="center"/>
                </w:tcPr>
                <w:p w14:paraId="6AF5F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0.104</w:t>
                  </w:r>
                </w:p>
              </w:tc>
              <w:tc>
                <w:tcPr>
                  <w:tcW w:w="795" w:type="pct"/>
                  <w:vAlign w:val="center"/>
                </w:tcPr>
                <w:p w14:paraId="33006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0.103</w:t>
                  </w:r>
                </w:p>
              </w:tc>
              <w:tc>
                <w:tcPr>
                  <w:tcW w:w="707" w:type="pct"/>
                  <w:vAlign w:val="center"/>
                </w:tcPr>
                <w:p w14:paraId="0E906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0.104</w:t>
                  </w:r>
                </w:p>
              </w:tc>
              <w:tc>
                <w:tcPr>
                  <w:tcW w:w="442" w:type="pct"/>
                  <w:vAlign w:val="center"/>
                </w:tcPr>
                <w:p w14:paraId="646B0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60BB9C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50E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FE10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5639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vAlign w:val="center"/>
                </w:tcPr>
                <w:p w14:paraId="6F30F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vAlign w:val="center"/>
                </w:tcPr>
                <w:p w14:paraId="1C386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vAlign w:val="center"/>
                </w:tcPr>
                <w:p w14:paraId="2FA57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vAlign w:val="center"/>
                </w:tcPr>
                <w:p w14:paraId="6E8B4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vAlign w:val="center"/>
                </w:tcPr>
                <w:p w14:paraId="157B1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C48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DEC4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44A1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vAlign w:val="center"/>
                </w:tcPr>
                <w:p w14:paraId="0E0F2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62F93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vAlign w:val="center"/>
                </w:tcPr>
                <w:p w14:paraId="37585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vAlign w:val="center"/>
                </w:tcPr>
                <w:p w14:paraId="5EFC0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51228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13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BECC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C484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vAlign w:val="center"/>
                </w:tcPr>
                <w:p w14:paraId="5F837B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398</w:t>
                  </w:r>
                </w:p>
              </w:tc>
              <w:tc>
                <w:tcPr>
                  <w:tcW w:w="795" w:type="pct"/>
                  <w:vAlign w:val="center"/>
                </w:tcPr>
                <w:p w14:paraId="285C3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391</w:t>
                  </w:r>
                </w:p>
              </w:tc>
              <w:tc>
                <w:tcPr>
                  <w:tcW w:w="707" w:type="pct"/>
                  <w:vAlign w:val="center"/>
                </w:tcPr>
                <w:p w14:paraId="21DAD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396</w:t>
                  </w:r>
                </w:p>
              </w:tc>
              <w:tc>
                <w:tcPr>
                  <w:tcW w:w="442" w:type="pct"/>
                  <w:vAlign w:val="center"/>
                </w:tcPr>
                <w:p w14:paraId="43A21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vAlign w:val="center"/>
                </w:tcPr>
                <w:p w14:paraId="623E7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5E9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0119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4F11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vAlign w:val="center"/>
                </w:tcPr>
                <w:p w14:paraId="22AAF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c>
                <w:tcPr>
                  <w:tcW w:w="795" w:type="pct"/>
                  <w:vAlign w:val="center"/>
                </w:tcPr>
                <w:p w14:paraId="0684A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553</w:t>
                  </w:r>
                </w:p>
              </w:tc>
              <w:tc>
                <w:tcPr>
                  <w:tcW w:w="707" w:type="pct"/>
                  <w:vAlign w:val="center"/>
                </w:tcPr>
                <w:p w14:paraId="38790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551</w:t>
                  </w:r>
                </w:p>
              </w:tc>
              <w:tc>
                <w:tcPr>
                  <w:tcW w:w="442" w:type="pct"/>
                  <w:vAlign w:val="center"/>
                </w:tcPr>
                <w:p w14:paraId="171301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vAlign w:val="center"/>
                </w:tcPr>
                <w:p w14:paraId="6F382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E1C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DFDC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D955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vAlign w:val="center"/>
                </w:tcPr>
                <w:p w14:paraId="217B8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795" w:type="pct"/>
                  <w:vAlign w:val="center"/>
                </w:tcPr>
                <w:p w14:paraId="44374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707" w:type="pct"/>
                  <w:vAlign w:val="center"/>
                </w:tcPr>
                <w:p w14:paraId="6469B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42" w:type="pct"/>
                  <w:vAlign w:val="center"/>
                </w:tcPr>
                <w:p w14:paraId="616DC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4B6AF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68A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8A21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C489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vAlign w:val="center"/>
                </w:tcPr>
                <w:p w14:paraId="55903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141</w:t>
                  </w:r>
                </w:p>
              </w:tc>
              <w:tc>
                <w:tcPr>
                  <w:tcW w:w="795" w:type="pct"/>
                  <w:vAlign w:val="center"/>
                </w:tcPr>
                <w:p w14:paraId="3F169B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w:t>
                  </w:r>
                </w:p>
              </w:tc>
              <w:tc>
                <w:tcPr>
                  <w:tcW w:w="707" w:type="pct"/>
                  <w:vAlign w:val="center"/>
                </w:tcPr>
                <w:p w14:paraId="504126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w:t>
                  </w:r>
                </w:p>
              </w:tc>
              <w:tc>
                <w:tcPr>
                  <w:tcW w:w="442" w:type="pct"/>
                  <w:vAlign w:val="center"/>
                </w:tcPr>
                <w:p w14:paraId="09A13F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0232E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960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FC1D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6FDE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vAlign w:val="center"/>
                </w:tcPr>
                <w:p w14:paraId="77397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795" w:type="pct"/>
                  <w:vAlign w:val="center"/>
                </w:tcPr>
                <w:p w14:paraId="25B3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707" w:type="pct"/>
                  <w:vAlign w:val="center"/>
                </w:tcPr>
                <w:p w14:paraId="0219A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442" w:type="pct"/>
                  <w:vAlign w:val="center"/>
                </w:tcPr>
                <w:p w14:paraId="0A2C4F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4D898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A69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7234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21819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vAlign w:val="center"/>
                </w:tcPr>
                <w:p w14:paraId="5E96B7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0.95</w:t>
                  </w:r>
                </w:p>
              </w:tc>
              <w:tc>
                <w:tcPr>
                  <w:tcW w:w="795" w:type="pct"/>
                  <w:vAlign w:val="center"/>
                </w:tcPr>
                <w:p w14:paraId="05A2B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0.93</w:t>
                  </w:r>
                </w:p>
              </w:tc>
              <w:tc>
                <w:tcPr>
                  <w:tcW w:w="707" w:type="pct"/>
                  <w:vAlign w:val="center"/>
                </w:tcPr>
                <w:p w14:paraId="5CD96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0.95</w:t>
                  </w:r>
                </w:p>
              </w:tc>
              <w:tc>
                <w:tcPr>
                  <w:tcW w:w="442" w:type="pct"/>
                  <w:vAlign w:val="center"/>
                </w:tcPr>
                <w:p w14:paraId="7C693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3A9B35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772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1A5B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D926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vAlign w:val="center"/>
                </w:tcPr>
                <w:p w14:paraId="61F4D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vAlign w:val="center"/>
                </w:tcPr>
                <w:p w14:paraId="38FC8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vAlign w:val="center"/>
                </w:tcPr>
                <w:p w14:paraId="58260E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vAlign w:val="center"/>
                </w:tcPr>
                <w:p w14:paraId="1786C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7814BB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0D9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40CD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4398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vAlign w:val="center"/>
                </w:tcPr>
                <w:p w14:paraId="7FE26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795" w:type="pct"/>
                  <w:vAlign w:val="center"/>
                </w:tcPr>
                <w:p w14:paraId="30B90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707" w:type="pct"/>
                  <w:vAlign w:val="center"/>
                </w:tcPr>
                <w:p w14:paraId="2DD3C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442" w:type="pct"/>
                  <w:vAlign w:val="center"/>
                </w:tcPr>
                <w:p w14:paraId="18AC8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vAlign w:val="center"/>
                </w:tcPr>
                <w:p w14:paraId="1DBA8C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665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BBF0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E6CDA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vAlign w:val="center"/>
                </w:tcPr>
                <w:p w14:paraId="2A132E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50895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707" w:type="pct"/>
                  <w:vAlign w:val="center"/>
                </w:tcPr>
                <w:p w14:paraId="70BDA0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442" w:type="pct"/>
                  <w:vAlign w:val="center"/>
                </w:tcPr>
                <w:p w14:paraId="37B89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63D25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B39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83EE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C9B7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vAlign w:val="center"/>
                </w:tcPr>
                <w:p w14:paraId="06FE3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6.2×10</w:t>
                  </w:r>
                  <w:r>
                    <w:rPr>
                      <w:rFonts w:hint="default" w:ascii="Times New Roman" w:hAnsi="Times New Roman" w:cs="Times New Roman"/>
                      <w:color w:val="auto"/>
                      <w:sz w:val="21"/>
                      <w:szCs w:val="21"/>
                      <w:vertAlign w:val="superscript"/>
                    </w:rPr>
                    <w:t>-4</w:t>
                  </w:r>
                </w:p>
              </w:tc>
              <w:tc>
                <w:tcPr>
                  <w:tcW w:w="795" w:type="pct"/>
                  <w:vAlign w:val="center"/>
                </w:tcPr>
                <w:p w14:paraId="377904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6.4×10</w:t>
                  </w:r>
                  <w:r>
                    <w:rPr>
                      <w:rFonts w:hint="default" w:ascii="Times New Roman" w:hAnsi="Times New Roman" w:cs="Times New Roman"/>
                      <w:color w:val="auto"/>
                      <w:sz w:val="21"/>
                      <w:szCs w:val="21"/>
                      <w:vertAlign w:val="superscript"/>
                    </w:rPr>
                    <w:t>-4</w:t>
                  </w:r>
                </w:p>
              </w:tc>
              <w:tc>
                <w:tcPr>
                  <w:tcW w:w="707" w:type="pct"/>
                  <w:vAlign w:val="center"/>
                </w:tcPr>
                <w:p w14:paraId="7309C8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7.0×10</w:t>
                  </w:r>
                  <w:r>
                    <w:rPr>
                      <w:rFonts w:hint="default" w:ascii="Times New Roman" w:hAnsi="Times New Roman" w:cs="Times New Roman"/>
                      <w:color w:val="auto"/>
                      <w:sz w:val="21"/>
                      <w:szCs w:val="21"/>
                      <w:vertAlign w:val="superscript"/>
                    </w:rPr>
                    <w:t>-4</w:t>
                  </w:r>
                </w:p>
              </w:tc>
              <w:tc>
                <w:tcPr>
                  <w:tcW w:w="442" w:type="pct"/>
                  <w:vAlign w:val="center"/>
                </w:tcPr>
                <w:p w14:paraId="61CBF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2AFD35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AE6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CF84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4CB5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vAlign w:val="center"/>
                </w:tcPr>
                <w:p w14:paraId="7B1F9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p>
              </w:tc>
              <w:tc>
                <w:tcPr>
                  <w:tcW w:w="795" w:type="pct"/>
                  <w:vAlign w:val="center"/>
                </w:tcPr>
                <w:p w14:paraId="20BE3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07" w:type="pct"/>
                  <w:vAlign w:val="center"/>
                </w:tcPr>
                <w:p w14:paraId="7F96E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442" w:type="pct"/>
                  <w:vAlign w:val="center"/>
                </w:tcPr>
                <w:p w14:paraId="7EC0E6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vAlign w:val="center"/>
                </w:tcPr>
                <w:p w14:paraId="3556C5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F30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95856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1001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vAlign w:val="center"/>
                </w:tcPr>
                <w:p w14:paraId="06D61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vAlign w:val="center"/>
                </w:tcPr>
                <w:p w14:paraId="3C7B59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07" w:type="pct"/>
                  <w:vAlign w:val="center"/>
                </w:tcPr>
                <w:p w14:paraId="46A919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vAlign w:val="center"/>
                </w:tcPr>
                <w:p w14:paraId="5EA17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7FFB7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53A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091D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240C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vAlign w:val="center"/>
                </w:tcPr>
                <w:p w14:paraId="7A251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70732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356E9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27A81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vAlign w:val="center"/>
                </w:tcPr>
                <w:p w14:paraId="676DD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563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4BA6F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6F33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vAlign w:val="center"/>
                </w:tcPr>
                <w:p w14:paraId="34630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795" w:type="pct"/>
                  <w:vAlign w:val="center"/>
                </w:tcPr>
                <w:p w14:paraId="48822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707" w:type="pct"/>
                  <w:vAlign w:val="center"/>
                </w:tcPr>
                <w:p w14:paraId="086F4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442" w:type="pct"/>
                  <w:vAlign w:val="center"/>
                </w:tcPr>
                <w:p w14:paraId="37DC4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vAlign w:val="center"/>
                </w:tcPr>
                <w:p w14:paraId="07BA9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69F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A725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6BE2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vAlign w:val="center"/>
                </w:tcPr>
                <w:p w14:paraId="1AC08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795" w:type="pct"/>
                  <w:vAlign w:val="center"/>
                </w:tcPr>
                <w:p w14:paraId="4D661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707" w:type="pct"/>
                  <w:vAlign w:val="center"/>
                </w:tcPr>
                <w:p w14:paraId="5FB94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442" w:type="pct"/>
                  <w:vAlign w:val="center"/>
                </w:tcPr>
                <w:p w14:paraId="68602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vAlign w:val="center"/>
                </w:tcPr>
                <w:p w14:paraId="40CE3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F58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01A6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EF2D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vAlign w:val="center"/>
                </w:tcPr>
                <w:p w14:paraId="04F46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24.2</w:t>
                  </w:r>
                </w:p>
              </w:tc>
              <w:tc>
                <w:tcPr>
                  <w:tcW w:w="795" w:type="pct"/>
                  <w:vAlign w:val="center"/>
                </w:tcPr>
                <w:p w14:paraId="07EBC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w:t>
                  </w:r>
                </w:p>
              </w:tc>
              <w:tc>
                <w:tcPr>
                  <w:tcW w:w="707" w:type="pct"/>
                  <w:vAlign w:val="center"/>
                </w:tcPr>
                <w:p w14:paraId="07A945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25.2</w:t>
                  </w:r>
                </w:p>
              </w:tc>
              <w:tc>
                <w:tcPr>
                  <w:tcW w:w="442" w:type="pct"/>
                  <w:vAlign w:val="center"/>
                </w:tcPr>
                <w:p w14:paraId="45878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393AE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00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6477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AEC7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vAlign w:val="center"/>
                </w:tcPr>
                <w:p w14:paraId="3FD00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30.9</w:t>
                  </w:r>
                </w:p>
              </w:tc>
              <w:tc>
                <w:tcPr>
                  <w:tcW w:w="795" w:type="pct"/>
                  <w:vAlign w:val="center"/>
                </w:tcPr>
                <w:p w14:paraId="6E6A0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31.0</w:t>
                  </w:r>
                </w:p>
              </w:tc>
              <w:tc>
                <w:tcPr>
                  <w:tcW w:w="707" w:type="pct"/>
                  <w:vAlign w:val="center"/>
                </w:tcPr>
                <w:p w14:paraId="50EA55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31.5</w:t>
                  </w:r>
                </w:p>
              </w:tc>
              <w:tc>
                <w:tcPr>
                  <w:tcW w:w="442" w:type="pct"/>
                  <w:vAlign w:val="center"/>
                </w:tcPr>
                <w:p w14:paraId="2762B2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88431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22A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9AC91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5B0BF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vAlign w:val="center"/>
                </w:tcPr>
                <w:p w14:paraId="13298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93.7</w:t>
                  </w:r>
                </w:p>
              </w:tc>
              <w:tc>
                <w:tcPr>
                  <w:tcW w:w="795" w:type="pct"/>
                  <w:vAlign w:val="center"/>
                </w:tcPr>
                <w:p w14:paraId="28B9E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93.8</w:t>
                  </w:r>
                </w:p>
              </w:tc>
              <w:tc>
                <w:tcPr>
                  <w:tcW w:w="707" w:type="pct"/>
                  <w:vAlign w:val="center"/>
                </w:tcPr>
                <w:p w14:paraId="1E4E1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94.1</w:t>
                  </w:r>
                </w:p>
              </w:tc>
              <w:tc>
                <w:tcPr>
                  <w:tcW w:w="442" w:type="pct"/>
                  <w:vAlign w:val="center"/>
                </w:tcPr>
                <w:p w14:paraId="39FF8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E2A4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12F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6C6C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B27D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vAlign w:val="center"/>
                </w:tcPr>
                <w:p w14:paraId="63F80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w:t>
                  </w:r>
                </w:p>
              </w:tc>
              <w:tc>
                <w:tcPr>
                  <w:tcW w:w="795" w:type="pct"/>
                  <w:vAlign w:val="center"/>
                </w:tcPr>
                <w:p w14:paraId="1F8A0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w:t>
                  </w:r>
                </w:p>
              </w:tc>
              <w:tc>
                <w:tcPr>
                  <w:tcW w:w="707" w:type="pct"/>
                  <w:vAlign w:val="center"/>
                </w:tcPr>
                <w:p w14:paraId="0C5EB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442" w:type="pct"/>
                  <w:vAlign w:val="center"/>
                </w:tcPr>
                <w:p w14:paraId="36201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717C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72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A99B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CB51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vAlign w:val="center"/>
                </w:tcPr>
                <w:p w14:paraId="26B10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795" w:type="pct"/>
                  <w:vAlign w:val="center"/>
                </w:tcPr>
                <w:p w14:paraId="12DFF2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w:t>
                  </w:r>
                </w:p>
              </w:tc>
              <w:tc>
                <w:tcPr>
                  <w:tcW w:w="707" w:type="pct"/>
                  <w:vAlign w:val="center"/>
                </w:tcPr>
                <w:p w14:paraId="4786F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442" w:type="pct"/>
                  <w:vAlign w:val="center"/>
                </w:tcPr>
                <w:p w14:paraId="5204CA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6A347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CF4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C772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0C5BE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vAlign w:val="center"/>
                </w:tcPr>
                <w:p w14:paraId="38560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w:t>
                  </w:r>
                </w:p>
              </w:tc>
              <w:tc>
                <w:tcPr>
                  <w:tcW w:w="795" w:type="pct"/>
                  <w:vAlign w:val="center"/>
                </w:tcPr>
                <w:p w14:paraId="7EF2F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707" w:type="pct"/>
                  <w:vAlign w:val="center"/>
                </w:tcPr>
                <w:p w14:paraId="21A21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w:t>
                  </w:r>
                </w:p>
              </w:tc>
              <w:tc>
                <w:tcPr>
                  <w:tcW w:w="442" w:type="pct"/>
                  <w:vAlign w:val="center"/>
                </w:tcPr>
                <w:p w14:paraId="7B986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AE33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6CF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2F16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E1CC2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vAlign w:val="center"/>
                </w:tcPr>
                <w:p w14:paraId="379CF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50.4</w:t>
                  </w:r>
                </w:p>
              </w:tc>
              <w:tc>
                <w:tcPr>
                  <w:tcW w:w="795" w:type="pct"/>
                  <w:vAlign w:val="center"/>
                </w:tcPr>
                <w:p w14:paraId="3C494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50.4</w:t>
                  </w:r>
                </w:p>
              </w:tc>
              <w:tc>
                <w:tcPr>
                  <w:tcW w:w="707" w:type="pct"/>
                  <w:vAlign w:val="center"/>
                </w:tcPr>
                <w:p w14:paraId="6D8D9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50.5</w:t>
                  </w:r>
                </w:p>
              </w:tc>
              <w:tc>
                <w:tcPr>
                  <w:tcW w:w="442" w:type="pct"/>
                  <w:vAlign w:val="center"/>
                </w:tcPr>
                <w:p w14:paraId="098CD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9F0A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7E5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FF9A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0374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vAlign w:val="center"/>
                </w:tcPr>
                <w:p w14:paraId="30BD2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795" w:type="pct"/>
                  <w:vAlign w:val="center"/>
                </w:tcPr>
                <w:p w14:paraId="078EB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707" w:type="pct"/>
                  <w:vAlign w:val="center"/>
                </w:tcPr>
                <w:p w14:paraId="1C82B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442" w:type="pct"/>
                  <w:vAlign w:val="center"/>
                </w:tcPr>
                <w:p w14:paraId="43351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1FF4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33A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vAlign w:val="center"/>
                </w:tcPr>
                <w:p w14:paraId="0E798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Q3项目西侧麦冲村地下水井（103.1691671，25.5641590）</w:t>
                  </w:r>
                </w:p>
              </w:tc>
              <w:tc>
                <w:tcPr>
                  <w:tcW w:w="964" w:type="pct"/>
                  <w:vAlign w:val="center"/>
                </w:tcPr>
                <w:p w14:paraId="6D6B5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vAlign w:val="center"/>
                </w:tcPr>
                <w:p w14:paraId="01BAD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795" w:type="pct"/>
                  <w:vAlign w:val="center"/>
                </w:tcPr>
                <w:p w14:paraId="44DFDB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707" w:type="pct"/>
                  <w:vAlign w:val="center"/>
                </w:tcPr>
                <w:p w14:paraId="61EFC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442" w:type="pct"/>
                  <w:vAlign w:val="center"/>
                </w:tcPr>
                <w:p w14:paraId="022893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vAlign w:val="center"/>
                </w:tcPr>
                <w:p w14:paraId="52BC6B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D35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7836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3037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vAlign w:val="center"/>
                </w:tcPr>
                <w:p w14:paraId="107F9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0.025L</w:t>
                  </w:r>
                </w:p>
              </w:tc>
              <w:tc>
                <w:tcPr>
                  <w:tcW w:w="795" w:type="pct"/>
                  <w:vAlign w:val="center"/>
                </w:tcPr>
                <w:p w14:paraId="52D3E5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0.025L</w:t>
                  </w:r>
                </w:p>
              </w:tc>
              <w:tc>
                <w:tcPr>
                  <w:tcW w:w="707" w:type="pct"/>
                  <w:vAlign w:val="center"/>
                </w:tcPr>
                <w:p w14:paraId="5CC134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0.025L</w:t>
                  </w:r>
                </w:p>
              </w:tc>
              <w:tc>
                <w:tcPr>
                  <w:tcW w:w="442" w:type="pct"/>
                  <w:vAlign w:val="center"/>
                </w:tcPr>
                <w:p w14:paraId="4689E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vAlign w:val="center"/>
                </w:tcPr>
                <w:p w14:paraId="230D1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0C3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4A5A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0A39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vAlign w:val="center"/>
                </w:tcPr>
                <w:p w14:paraId="53155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2.17</w:t>
                  </w:r>
                </w:p>
              </w:tc>
              <w:tc>
                <w:tcPr>
                  <w:tcW w:w="795" w:type="pct"/>
                  <w:vAlign w:val="center"/>
                </w:tcPr>
                <w:p w14:paraId="6CDF0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2.17</w:t>
                  </w:r>
                </w:p>
              </w:tc>
              <w:tc>
                <w:tcPr>
                  <w:tcW w:w="707" w:type="pct"/>
                  <w:vAlign w:val="center"/>
                </w:tcPr>
                <w:p w14:paraId="5FC07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2.18</w:t>
                  </w:r>
                </w:p>
              </w:tc>
              <w:tc>
                <w:tcPr>
                  <w:tcW w:w="442" w:type="pct"/>
                  <w:vAlign w:val="center"/>
                </w:tcPr>
                <w:p w14:paraId="4F087F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vAlign w:val="center"/>
                </w:tcPr>
                <w:p w14:paraId="4F2A9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2F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FEF5B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544D8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vAlign w:val="center"/>
                </w:tcPr>
                <w:p w14:paraId="64891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795" w:type="pct"/>
                  <w:vAlign w:val="center"/>
                </w:tcPr>
                <w:p w14:paraId="02F64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707" w:type="pct"/>
                  <w:vAlign w:val="center"/>
                </w:tcPr>
                <w:p w14:paraId="275EC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442" w:type="pct"/>
                  <w:vAlign w:val="center"/>
                </w:tcPr>
                <w:p w14:paraId="7DB75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0816D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220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7A5E1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6A78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vAlign w:val="center"/>
                </w:tcPr>
                <w:p w14:paraId="4A8E2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vAlign w:val="center"/>
                </w:tcPr>
                <w:p w14:paraId="51B0E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vAlign w:val="center"/>
                </w:tcPr>
                <w:p w14:paraId="0A3BB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vAlign w:val="center"/>
                </w:tcPr>
                <w:p w14:paraId="2C45F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vAlign w:val="center"/>
                </w:tcPr>
                <w:p w14:paraId="0DDF56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226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3A80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AEB2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vAlign w:val="center"/>
                </w:tcPr>
                <w:p w14:paraId="04DE6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17DA38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vAlign w:val="center"/>
                </w:tcPr>
                <w:p w14:paraId="3CDC3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vAlign w:val="center"/>
                </w:tcPr>
                <w:p w14:paraId="25007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0BC47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A3C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892D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F182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vAlign w:val="center"/>
                </w:tcPr>
                <w:p w14:paraId="22248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795" w:type="pct"/>
                  <w:vAlign w:val="center"/>
                </w:tcPr>
                <w:p w14:paraId="2D018E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707" w:type="pct"/>
                  <w:vAlign w:val="center"/>
                </w:tcPr>
                <w:p w14:paraId="665BC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442" w:type="pct"/>
                  <w:vAlign w:val="center"/>
                </w:tcPr>
                <w:p w14:paraId="0A045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vAlign w:val="center"/>
                </w:tcPr>
                <w:p w14:paraId="7E669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14C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B37E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26C8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vAlign w:val="center"/>
                </w:tcPr>
                <w:p w14:paraId="4EC5A2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505</w:t>
                  </w:r>
                </w:p>
              </w:tc>
              <w:tc>
                <w:tcPr>
                  <w:tcW w:w="795" w:type="pct"/>
                  <w:vAlign w:val="center"/>
                </w:tcPr>
                <w:p w14:paraId="2D6258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p>
              </w:tc>
              <w:tc>
                <w:tcPr>
                  <w:tcW w:w="707" w:type="pct"/>
                  <w:vAlign w:val="center"/>
                </w:tcPr>
                <w:p w14:paraId="7D745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533</w:t>
                  </w:r>
                </w:p>
              </w:tc>
              <w:tc>
                <w:tcPr>
                  <w:tcW w:w="442" w:type="pct"/>
                  <w:vAlign w:val="center"/>
                </w:tcPr>
                <w:p w14:paraId="2FF895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vAlign w:val="center"/>
                </w:tcPr>
                <w:p w14:paraId="6FCCC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8E3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FE51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02CE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vAlign w:val="center"/>
                </w:tcPr>
                <w:p w14:paraId="4745A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795" w:type="pct"/>
                  <w:vAlign w:val="center"/>
                </w:tcPr>
                <w:p w14:paraId="1FD4E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707" w:type="pct"/>
                  <w:vAlign w:val="center"/>
                </w:tcPr>
                <w:p w14:paraId="39717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42" w:type="pct"/>
                  <w:vAlign w:val="center"/>
                </w:tcPr>
                <w:p w14:paraId="37111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0336F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A5B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B901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B4B8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vAlign w:val="center"/>
                </w:tcPr>
                <w:p w14:paraId="3895A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795" w:type="pct"/>
                  <w:vAlign w:val="center"/>
                </w:tcPr>
                <w:p w14:paraId="3C35B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20.4</w:t>
                  </w:r>
                </w:p>
              </w:tc>
              <w:tc>
                <w:tcPr>
                  <w:tcW w:w="707" w:type="pct"/>
                  <w:vAlign w:val="center"/>
                </w:tcPr>
                <w:p w14:paraId="5A66E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20.8</w:t>
                  </w:r>
                </w:p>
              </w:tc>
              <w:tc>
                <w:tcPr>
                  <w:tcW w:w="442" w:type="pct"/>
                  <w:vAlign w:val="center"/>
                </w:tcPr>
                <w:p w14:paraId="1DC6F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7B494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98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EA4C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DA00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vAlign w:val="center"/>
                </w:tcPr>
                <w:p w14:paraId="2BC7F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795" w:type="pct"/>
                  <w:vAlign w:val="center"/>
                </w:tcPr>
                <w:p w14:paraId="3AA74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707" w:type="pct"/>
                  <w:vAlign w:val="center"/>
                </w:tcPr>
                <w:p w14:paraId="3BC28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442" w:type="pct"/>
                  <w:vAlign w:val="center"/>
                </w:tcPr>
                <w:p w14:paraId="622516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5AB06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DBC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A88C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D40C9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vAlign w:val="center"/>
                </w:tcPr>
                <w:p w14:paraId="7BAFA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c>
                <w:tcPr>
                  <w:tcW w:w="795" w:type="pct"/>
                  <w:vAlign w:val="center"/>
                </w:tcPr>
                <w:p w14:paraId="3C1D4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w:t>
                  </w:r>
                </w:p>
              </w:tc>
              <w:tc>
                <w:tcPr>
                  <w:tcW w:w="707" w:type="pct"/>
                  <w:vAlign w:val="center"/>
                </w:tcPr>
                <w:p w14:paraId="1EC219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c>
                <w:tcPr>
                  <w:tcW w:w="442" w:type="pct"/>
                  <w:vAlign w:val="center"/>
                </w:tcPr>
                <w:p w14:paraId="76F00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64300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5B0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AC81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5776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vAlign w:val="center"/>
                </w:tcPr>
                <w:p w14:paraId="6E831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vAlign w:val="center"/>
                </w:tcPr>
                <w:p w14:paraId="227D9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vAlign w:val="center"/>
                </w:tcPr>
                <w:p w14:paraId="06424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vAlign w:val="center"/>
                </w:tcPr>
                <w:p w14:paraId="352C1B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7121D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0AD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77A4B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35890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vAlign w:val="center"/>
                </w:tcPr>
                <w:p w14:paraId="6CEED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95" w:type="pct"/>
                  <w:vAlign w:val="center"/>
                </w:tcPr>
                <w:p w14:paraId="4E04A7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707" w:type="pct"/>
                  <w:vAlign w:val="center"/>
                </w:tcPr>
                <w:p w14:paraId="7292A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442" w:type="pct"/>
                  <w:vAlign w:val="center"/>
                </w:tcPr>
                <w:p w14:paraId="7F4E5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vAlign w:val="center"/>
                </w:tcPr>
                <w:p w14:paraId="30E6C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288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FA5DE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A6CD5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vAlign w:val="center"/>
                </w:tcPr>
                <w:p w14:paraId="14F09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5F7BB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707" w:type="pct"/>
                  <w:vAlign w:val="center"/>
                </w:tcPr>
                <w:p w14:paraId="3CE2B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442" w:type="pct"/>
                  <w:vAlign w:val="center"/>
                </w:tcPr>
                <w:p w14:paraId="4CF289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7F016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81B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0EB6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02407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vAlign w:val="center"/>
                </w:tcPr>
                <w:p w14:paraId="3B0077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74DB5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3B0E3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5826D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59EAD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8BE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A37B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24D1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vAlign w:val="center"/>
                </w:tcPr>
                <w:p w14:paraId="45F06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9.0×10</w:t>
                  </w:r>
                  <w:r>
                    <w:rPr>
                      <w:rFonts w:hint="default" w:ascii="Times New Roman" w:hAnsi="Times New Roman" w:cs="Times New Roman"/>
                      <w:color w:val="auto"/>
                      <w:sz w:val="21"/>
                      <w:szCs w:val="21"/>
                      <w:vertAlign w:val="superscript"/>
                    </w:rPr>
                    <w:t>-5</w:t>
                  </w:r>
                </w:p>
              </w:tc>
              <w:tc>
                <w:tcPr>
                  <w:tcW w:w="795" w:type="pct"/>
                  <w:vAlign w:val="center"/>
                </w:tcPr>
                <w:p w14:paraId="741E7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07" w:type="pct"/>
                  <w:vAlign w:val="center"/>
                </w:tcPr>
                <w:p w14:paraId="3A402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9.0×10</w:t>
                  </w:r>
                  <w:r>
                    <w:rPr>
                      <w:rFonts w:hint="default" w:ascii="Times New Roman" w:hAnsi="Times New Roman" w:cs="Times New Roman"/>
                      <w:color w:val="auto"/>
                      <w:sz w:val="21"/>
                      <w:szCs w:val="21"/>
                      <w:vertAlign w:val="superscript"/>
                    </w:rPr>
                    <w:t>-5</w:t>
                  </w:r>
                </w:p>
              </w:tc>
              <w:tc>
                <w:tcPr>
                  <w:tcW w:w="442" w:type="pct"/>
                  <w:vAlign w:val="center"/>
                </w:tcPr>
                <w:p w14:paraId="440F0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vAlign w:val="center"/>
                </w:tcPr>
                <w:p w14:paraId="57874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4A2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01CA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9F6D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vAlign w:val="center"/>
                </w:tcPr>
                <w:p w14:paraId="608BF6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vAlign w:val="center"/>
                </w:tcPr>
                <w:p w14:paraId="5F0D7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07" w:type="pct"/>
                  <w:vAlign w:val="center"/>
                </w:tcPr>
                <w:p w14:paraId="4DC980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vAlign w:val="center"/>
                </w:tcPr>
                <w:p w14:paraId="59FA8D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3C375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9B4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1DFA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9A8B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vAlign w:val="center"/>
                </w:tcPr>
                <w:p w14:paraId="07E3D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0031EB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58BE9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693BA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vAlign w:val="center"/>
                </w:tcPr>
                <w:p w14:paraId="6A691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328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94BC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1D866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vAlign w:val="center"/>
                </w:tcPr>
                <w:p w14:paraId="7DCD48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95" w:type="pct"/>
                  <w:vAlign w:val="center"/>
                </w:tcPr>
                <w:p w14:paraId="3337A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07" w:type="pct"/>
                  <w:vAlign w:val="center"/>
                </w:tcPr>
                <w:p w14:paraId="59BE98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442" w:type="pct"/>
                  <w:vAlign w:val="center"/>
                </w:tcPr>
                <w:p w14:paraId="5BE07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vAlign w:val="center"/>
                </w:tcPr>
                <w:p w14:paraId="1131EB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F44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A09F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3B37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vAlign w:val="center"/>
                </w:tcPr>
                <w:p w14:paraId="058A3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795" w:type="pct"/>
                  <w:vAlign w:val="center"/>
                </w:tcPr>
                <w:p w14:paraId="6A8CC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707" w:type="pct"/>
                  <w:vAlign w:val="center"/>
                </w:tcPr>
                <w:p w14:paraId="6EB75E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442" w:type="pct"/>
                  <w:vAlign w:val="center"/>
                </w:tcPr>
                <w:p w14:paraId="7CCCD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vAlign w:val="center"/>
                </w:tcPr>
                <w:p w14:paraId="482BD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CBA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26372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B19F1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vAlign w:val="center"/>
                </w:tcPr>
                <w:p w14:paraId="6040D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795" w:type="pct"/>
                  <w:vAlign w:val="center"/>
                </w:tcPr>
                <w:p w14:paraId="1A162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707" w:type="pct"/>
                  <w:vAlign w:val="center"/>
                </w:tcPr>
                <w:p w14:paraId="30B2B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13.2</w:t>
                  </w:r>
                </w:p>
              </w:tc>
              <w:tc>
                <w:tcPr>
                  <w:tcW w:w="442" w:type="pct"/>
                  <w:vAlign w:val="center"/>
                </w:tcPr>
                <w:p w14:paraId="5D184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171B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B5C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882B8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1D70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vAlign w:val="center"/>
                </w:tcPr>
                <w:p w14:paraId="274458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w:t>
                  </w:r>
                </w:p>
              </w:tc>
              <w:tc>
                <w:tcPr>
                  <w:tcW w:w="795" w:type="pct"/>
                  <w:vAlign w:val="center"/>
                </w:tcPr>
                <w:p w14:paraId="2A77D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15.5</w:t>
                  </w:r>
                </w:p>
              </w:tc>
              <w:tc>
                <w:tcPr>
                  <w:tcW w:w="707" w:type="pct"/>
                  <w:vAlign w:val="center"/>
                </w:tcPr>
                <w:p w14:paraId="7F778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16.6</w:t>
                  </w:r>
                </w:p>
              </w:tc>
              <w:tc>
                <w:tcPr>
                  <w:tcW w:w="442" w:type="pct"/>
                  <w:vAlign w:val="center"/>
                </w:tcPr>
                <w:p w14:paraId="07D8C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AF35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088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5770E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C4BB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vAlign w:val="center"/>
                </w:tcPr>
                <w:p w14:paraId="06F8F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w:t>
                  </w:r>
                </w:p>
              </w:tc>
              <w:tc>
                <w:tcPr>
                  <w:tcW w:w="795" w:type="pct"/>
                  <w:vAlign w:val="center"/>
                </w:tcPr>
                <w:p w14:paraId="3DB0A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31.4</w:t>
                  </w:r>
                </w:p>
              </w:tc>
              <w:tc>
                <w:tcPr>
                  <w:tcW w:w="707" w:type="pct"/>
                  <w:vAlign w:val="center"/>
                </w:tcPr>
                <w:p w14:paraId="3EC3CF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34.4</w:t>
                  </w:r>
                </w:p>
              </w:tc>
              <w:tc>
                <w:tcPr>
                  <w:tcW w:w="442" w:type="pct"/>
                  <w:vAlign w:val="center"/>
                </w:tcPr>
                <w:p w14:paraId="0B32D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42A3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F9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CF173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2E6D0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vAlign w:val="center"/>
                </w:tcPr>
                <w:p w14:paraId="446E9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12.4</w:t>
                  </w:r>
                </w:p>
              </w:tc>
              <w:tc>
                <w:tcPr>
                  <w:tcW w:w="795" w:type="pct"/>
                  <w:vAlign w:val="center"/>
                </w:tcPr>
                <w:p w14:paraId="7E383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w:t>
                  </w:r>
                </w:p>
              </w:tc>
              <w:tc>
                <w:tcPr>
                  <w:tcW w:w="707" w:type="pct"/>
                  <w:vAlign w:val="center"/>
                </w:tcPr>
                <w:p w14:paraId="668847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12.6</w:t>
                  </w:r>
                </w:p>
              </w:tc>
              <w:tc>
                <w:tcPr>
                  <w:tcW w:w="442" w:type="pct"/>
                  <w:vAlign w:val="center"/>
                </w:tcPr>
                <w:p w14:paraId="5259B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2E29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6E1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9E1F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F496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vAlign w:val="center"/>
                </w:tcPr>
                <w:p w14:paraId="174E7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795" w:type="pct"/>
                  <w:vAlign w:val="center"/>
                </w:tcPr>
                <w:p w14:paraId="29513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10.9</w:t>
                  </w:r>
                </w:p>
              </w:tc>
              <w:tc>
                <w:tcPr>
                  <w:tcW w:w="707" w:type="pct"/>
                  <w:vAlign w:val="center"/>
                </w:tcPr>
                <w:p w14:paraId="34DA8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442" w:type="pct"/>
                  <w:vAlign w:val="center"/>
                </w:tcPr>
                <w:p w14:paraId="5A777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F93E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3F4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AF55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51BA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vAlign w:val="center"/>
                </w:tcPr>
                <w:p w14:paraId="40D67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109</w:t>
                  </w:r>
                </w:p>
              </w:tc>
              <w:tc>
                <w:tcPr>
                  <w:tcW w:w="795" w:type="pct"/>
                  <w:vAlign w:val="center"/>
                </w:tcPr>
                <w:p w14:paraId="499D9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w:t>
                  </w:r>
                </w:p>
              </w:tc>
              <w:tc>
                <w:tcPr>
                  <w:tcW w:w="707" w:type="pct"/>
                  <w:vAlign w:val="center"/>
                </w:tcPr>
                <w:p w14:paraId="718EB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123</w:t>
                  </w:r>
                </w:p>
              </w:tc>
              <w:tc>
                <w:tcPr>
                  <w:tcW w:w="442" w:type="pct"/>
                  <w:vAlign w:val="center"/>
                </w:tcPr>
                <w:p w14:paraId="3D20A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7ABF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55C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EFD9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9926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vAlign w:val="center"/>
                </w:tcPr>
                <w:p w14:paraId="1B09F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28.8</w:t>
                  </w:r>
                </w:p>
              </w:tc>
              <w:tc>
                <w:tcPr>
                  <w:tcW w:w="795" w:type="pct"/>
                  <w:vAlign w:val="center"/>
                </w:tcPr>
                <w:p w14:paraId="76AA1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707" w:type="pct"/>
                  <w:vAlign w:val="center"/>
                </w:tcPr>
                <w:p w14:paraId="65239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442" w:type="pct"/>
                  <w:vAlign w:val="center"/>
                </w:tcPr>
                <w:p w14:paraId="0E66B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42AD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B40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A858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9EF5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vAlign w:val="center"/>
                </w:tcPr>
                <w:p w14:paraId="1903D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795" w:type="pct"/>
                  <w:vAlign w:val="center"/>
                </w:tcPr>
                <w:p w14:paraId="0E8AF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w:t>
                  </w:r>
                </w:p>
              </w:tc>
              <w:tc>
                <w:tcPr>
                  <w:tcW w:w="707" w:type="pct"/>
                  <w:vAlign w:val="center"/>
                </w:tcPr>
                <w:p w14:paraId="43068E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w:t>
                  </w:r>
                </w:p>
              </w:tc>
              <w:tc>
                <w:tcPr>
                  <w:tcW w:w="442" w:type="pct"/>
                  <w:vAlign w:val="center"/>
                </w:tcPr>
                <w:p w14:paraId="467AC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0655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163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vAlign w:val="center"/>
                </w:tcPr>
                <w:p w14:paraId="0F3F1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Q4厂区内下游3#地下水监测井（103.1909250，25.5543210）</w:t>
                  </w:r>
                </w:p>
              </w:tc>
              <w:tc>
                <w:tcPr>
                  <w:tcW w:w="964" w:type="pct"/>
                  <w:vAlign w:val="center"/>
                </w:tcPr>
                <w:p w14:paraId="401C4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vAlign w:val="center"/>
                </w:tcPr>
                <w:p w14:paraId="047F4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795" w:type="pct"/>
                  <w:vAlign w:val="center"/>
                </w:tcPr>
                <w:p w14:paraId="15DEA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707" w:type="pct"/>
                  <w:vAlign w:val="center"/>
                </w:tcPr>
                <w:p w14:paraId="3F70D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442" w:type="pct"/>
                  <w:vAlign w:val="center"/>
                </w:tcPr>
                <w:p w14:paraId="34365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vAlign w:val="center"/>
                </w:tcPr>
                <w:p w14:paraId="67D92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AF0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0C34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B5FD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vAlign w:val="center"/>
                </w:tcPr>
                <w:p w14:paraId="4A929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0.165</w:t>
                  </w:r>
                </w:p>
              </w:tc>
              <w:tc>
                <w:tcPr>
                  <w:tcW w:w="795" w:type="pct"/>
                  <w:vAlign w:val="center"/>
                </w:tcPr>
                <w:p w14:paraId="59A87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0.173</w:t>
                  </w:r>
                </w:p>
              </w:tc>
              <w:tc>
                <w:tcPr>
                  <w:tcW w:w="707" w:type="pct"/>
                  <w:vAlign w:val="center"/>
                </w:tcPr>
                <w:p w14:paraId="126BB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0.170</w:t>
                  </w:r>
                </w:p>
              </w:tc>
              <w:tc>
                <w:tcPr>
                  <w:tcW w:w="442" w:type="pct"/>
                  <w:vAlign w:val="center"/>
                </w:tcPr>
                <w:p w14:paraId="4079F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vAlign w:val="center"/>
                </w:tcPr>
                <w:p w14:paraId="3AAFF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A1C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7DFC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FAB22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vAlign w:val="center"/>
                </w:tcPr>
                <w:p w14:paraId="77926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2.17</w:t>
                  </w:r>
                </w:p>
              </w:tc>
              <w:tc>
                <w:tcPr>
                  <w:tcW w:w="795" w:type="pct"/>
                  <w:vAlign w:val="center"/>
                </w:tcPr>
                <w:p w14:paraId="79F82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2.15</w:t>
                  </w:r>
                </w:p>
              </w:tc>
              <w:tc>
                <w:tcPr>
                  <w:tcW w:w="707" w:type="pct"/>
                  <w:vAlign w:val="center"/>
                </w:tcPr>
                <w:p w14:paraId="6E5BA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w:t>
                  </w:r>
                </w:p>
              </w:tc>
              <w:tc>
                <w:tcPr>
                  <w:tcW w:w="442" w:type="pct"/>
                  <w:vAlign w:val="center"/>
                </w:tcPr>
                <w:p w14:paraId="3F0267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vAlign w:val="center"/>
                </w:tcPr>
                <w:p w14:paraId="2D299C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1AE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E742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A5B6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vAlign w:val="center"/>
                </w:tcPr>
                <w:p w14:paraId="13E1FD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w:t>
                  </w:r>
                </w:p>
              </w:tc>
              <w:tc>
                <w:tcPr>
                  <w:tcW w:w="795" w:type="pct"/>
                  <w:vAlign w:val="center"/>
                </w:tcPr>
                <w:p w14:paraId="24615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0.018</w:t>
                  </w:r>
                </w:p>
              </w:tc>
              <w:tc>
                <w:tcPr>
                  <w:tcW w:w="707" w:type="pct"/>
                  <w:vAlign w:val="center"/>
                </w:tcPr>
                <w:p w14:paraId="0ABD3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w:t>
                  </w:r>
                </w:p>
              </w:tc>
              <w:tc>
                <w:tcPr>
                  <w:tcW w:w="442" w:type="pct"/>
                  <w:vAlign w:val="center"/>
                </w:tcPr>
                <w:p w14:paraId="7A3FD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2F27C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0B8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A04A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F5CF1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vAlign w:val="center"/>
                </w:tcPr>
                <w:p w14:paraId="0B22BA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vAlign w:val="center"/>
                </w:tcPr>
                <w:p w14:paraId="1767F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vAlign w:val="center"/>
                </w:tcPr>
                <w:p w14:paraId="41F4A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vAlign w:val="center"/>
                </w:tcPr>
                <w:p w14:paraId="53202F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vAlign w:val="center"/>
                </w:tcPr>
                <w:p w14:paraId="433651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295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1337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ED25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vAlign w:val="center"/>
                </w:tcPr>
                <w:p w14:paraId="2825B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0307D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vAlign w:val="center"/>
                </w:tcPr>
                <w:p w14:paraId="66E92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vAlign w:val="center"/>
                </w:tcPr>
                <w:p w14:paraId="71D07D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489EFC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4C1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A052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22EE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vAlign w:val="center"/>
                </w:tcPr>
                <w:p w14:paraId="218A6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291</w:t>
                  </w:r>
                </w:p>
              </w:tc>
              <w:tc>
                <w:tcPr>
                  <w:tcW w:w="795" w:type="pct"/>
                  <w:vAlign w:val="center"/>
                </w:tcPr>
                <w:p w14:paraId="68D89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308</w:t>
                  </w:r>
                </w:p>
              </w:tc>
              <w:tc>
                <w:tcPr>
                  <w:tcW w:w="707" w:type="pct"/>
                  <w:vAlign w:val="center"/>
                </w:tcPr>
                <w:p w14:paraId="6D9291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293</w:t>
                  </w:r>
                </w:p>
              </w:tc>
              <w:tc>
                <w:tcPr>
                  <w:tcW w:w="442" w:type="pct"/>
                  <w:vAlign w:val="center"/>
                </w:tcPr>
                <w:p w14:paraId="309D8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vAlign w:val="center"/>
                </w:tcPr>
                <w:p w14:paraId="27D263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4E5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0A72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284FD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vAlign w:val="center"/>
                </w:tcPr>
                <w:p w14:paraId="4CA4C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481</w:t>
                  </w:r>
                </w:p>
              </w:tc>
              <w:tc>
                <w:tcPr>
                  <w:tcW w:w="795" w:type="pct"/>
                  <w:vAlign w:val="center"/>
                </w:tcPr>
                <w:p w14:paraId="08E3A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480</w:t>
                  </w:r>
                </w:p>
              </w:tc>
              <w:tc>
                <w:tcPr>
                  <w:tcW w:w="707" w:type="pct"/>
                  <w:vAlign w:val="center"/>
                </w:tcPr>
                <w:p w14:paraId="029D1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468</w:t>
                  </w:r>
                </w:p>
              </w:tc>
              <w:tc>
                <w:tcPr>
                  <w:tcW w:w="442" w:type="pct"/>
                  <w:vAlign w:val="center"/>
                </w:tcPr>
                <w:p w14:paraId="35EC3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vAlign w:val="center"/>
                </w:tcPr>
                <w:p w14:paraId="5CB67A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339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29066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9A43F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vAlign w:val="center"/>
                </w:tcPr>
                <w:p w14:paraId="579B5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95" w:type="pct"/>
                  <w:vAlign w:val="center"/>
                </w:tcPr>
                <w:p w14:paraId="1EECDA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707" w:type="pct"/>
                  <w:vAlign w:val="center"/>
                </w:tcPr>
                <w:p w14:paraId="71508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442" w:type="pct"/>
                  <w:vAlign w:val="center"/>
                </w:tcPr>
                <w:p w14:paraId="2146B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48C88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E8A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77437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6AC9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vAlign w:val="center"/>
                </w:tcPr>
                <w:p w14:paraId="60491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44.8</w:t>
                  </w:r>
                </w:p>
              </w:tc>
              <w:tc>
                <w:tcPr>
                  <w:tcW w:w="795" w:type="pct"/>
                  <w:vAlign w:val="center"/>
                </w:tcPr>
                <w:p w14:paraId="6807D5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47.8</w:t>
                  </w:r>
                </w:p>
              </w:tc>
              <w:tc>
                <w:tcPr>
                  <w:tcW w:w="707" w:type="pct"/>
                  <w:vAlign w:val="center"/>
                </w:tcPr>
                <w:p w14:paraId="77EAD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47.9</w:t>
                  </w:r>
                </w:p>
              </w:tc>
              <w:tc>
                <w:tcPr>
                  <w:tcW w:w="442" w:type="pct"/>
                  <w:vAlign w:val="center"/>
                </w:tcPr>
                <w:p w14:paraId="0CDF24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249DB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C71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C898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467E4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vAlign w:val="center"/>
                </w:tcPr>
                <w:p w14:paraId="4D093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795" w:type="pct"/>
                  <w:vAlign w:val="center"/>
                </w:tcPr>
                <w:p w14:paraId="3BE00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707" w:type="pct"/>
                  <w:vAlign w:val="center"/>
                </w:tcPr>
                <w:p w14:paraId="44E29D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442" w:type="pct"/>
                  <w:vAlign w:val="center"/>
                </w:tcPr>
                <w:p w14:paraId="2FE83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75946E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B5F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BCF5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DBAE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vAlign w:val="center"/>
                </w:tcPr>
                <w:p w14:paraId="68472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c>
                <w:tcPr>
                  <w:tcW w:w="795" w:type="pct"/>
                  <w:vAlign w:val="center"/>
                </w:tcPr>
                <w:p w14:paraId="1745B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w:t>
                  </w:r>
                </w:p>
              </w:tc>
              <w:tc>
                <w:tcPr>
                  <w:tcW w:w="707" w:type="pct"/>
                  <w:vAlign w:val="center"/>
                </w:tcPr>
                <w:p w14:paraId="24C10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0.63</w:t>
                  </w:r>
                </w:p>
              </w:tc>
              <w:tc>
                <w:tcPr>
                  <w:tcW w:w="442" w:type="pct"/>
                  <w:vAlign w:val="center"/>
                </w:tcPr>
                <w:p w14:paraId="53D55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20F0E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1E4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C89F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32EF5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vAlign w:val="center"/>
                </w:tcPr>
                <w:p w14:paraId="17C70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vAlign w:val="center"/>
                </w:tcPr>
                <w:p w14:paraId="5B794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vAlign w:val="center"/>
                </w:tcPr>
                <w:p w14:paraId="40626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vAlign w:val="center"/>
                </w:tcPr>
                <w:p w14:paraId="2B33C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3BB0B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1BC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2CFC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356CD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vAlign w:val="center"/>
                </w:tcPr>
                <w:p w14:paraId="09C93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95" w:type="pct"/>
                  <w:vAlign w:val="center"/>
                </w:tcPr>
                <w:p w14:paraId="6C612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707" w:type="pct"/>
                  <w:vAlign w:val="center"/>
                </w:tcPr>
                <w:p w14:paraId="5A211D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442" w:type="pct"/>
                  <w:vAlign w:val="center"/>
                </w:tcPr>
                <w:p w14:paraId="6D8AA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vAlign w:val="center"/>
                </w:tcPr>
                <w:p w14:paraId="3552B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9EE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1F61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2E38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vAlign w:val="center"/>
                </w:tcPr>
                <w:p w14:paraId="2468A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795" w:type="pct"/>
                  <w:vAlign w:val="center"/>
                </w:tcPr>
                <w:p w14:paraId="7362A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707" w:type="pct"/>
                  <w:vAlign w:val="center"/>
                </w:tcPr>
                <w:p w14:paraId="6D278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442" w:type="pct"/>
                  <w:vAlign w:val="center"/>
                </w:tcPr>
                <w:p w14:paraId="1B6A8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574EED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54B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BE39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6B48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vAlign w:val="center"/>
                </w:tcPr>
                <w:p w14:paraId="46194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9.0×10</w:t>
                  </w:r>
                  <w:r>
                    <w:rPr>
                      <w:rFonts w:hint="default" w:ascii="Times New Roman" w:hAnsi="Times New Roman" w:cs="Times New Roman"/>
                      <w:color w:val="auto"/>
                      <w:sz w:val="21"/>
                      <w:szCs w:val="21"/>
                      <w:vertAlign w:val="superscript"/>
                    </w:rPr>
                    <w:t>-4</w:t>
                  </w:r>
                </w:p>
              </w:tc>
              <w:tc>
                <w:tcPr>
                  <w:tcW w:w="795" w:type="pct"/>
                  <w:vAlign w:val="center"/>
                </w:tcPr>
                <w:p w14:paraId="65E48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9.6×10</w:t>
                  </w:r>
                  <w:r>
                    <w:rPr>
                      <w:rFonts w:hint="default" w:ascii="Times New Roman" w:hAnsi="Times New Roman" w:cs="Times New Roman"/>
                      <w:color w:val="auto"/>
                      <w:sz w:val="21"/>
                      <w:szCs w:val="21"/>
                      <w:vertAlign w:val="superscript"/>
                    </w:rPr>
                    <w:t>-4</w:t>
                  </w:r>
                </w:p>
              </w:tc>
              <w:tc>
                <w:tcPr>
                  <w:tcW w:w="707" w:type="pct"/>
                  <w:vAlign w:val="center"/>
                </w:tcPr>
                <w:p w14:paraId="1C7BB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9.1×10</w:t>
                  </w:r>
                  <w:r>
                    <w:rPr>
                      <w:rFonts w:hint="default" w:ascii="Times New Roman" w:hAnsi="Times New Roman" w:cs="Times New Roman"/>
                      <w:color w:val="auto"/>
                      <w:sz w:val="21"/>
                      <w:szCs w:val="21"/>
                      <w:vertAlign w:val="superscript"/>
                    </w:rPr>
                    <w:t>-4</w:t>
                  </w:r>
                </w:p>
              </w:tc>
              <w:tc>
                <w:tcPr>
                  <w:tcW w:w="442" w:type="pct"/>
                  <w:vAlign w:val="center"/>
                </w:tcPr>
                <w:p w14:paraId="4CD724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6936A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16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823EF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40BE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vAlign w:val="center"/>
                </w:tcPr>
                <w:p w14:paraId="66433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95" w:type="pct"/>
                  <w:vAlign w:val="center"/>
                </w:tcPr>
                <w:p w14:paraId="0555D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07" w:type="pct"/>
                  <w:vAlign w:val="center"/>
                </w:tcPr>
                <w:p w14:paraId="2EEE8F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p>
              </w:tc>
              <w:tc>
                <w:tcPr>
                  <w:tcW w:w="442" w:type="pct"/>
                  <w:vAlign w:val="center"/>
                </w:tcPr>
                <w:p w14:paraId="72FF6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vAlign w:val="center"/>
                </w:tcPr>
                <w:p w14:paraId="38B8C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09D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F533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E547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vAlign w:val="center"/>
                </w:tcPr>
                <w:p w14:paraId="014C4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vAlign w:val="center"/>
                </w:tcPr>
                <w:p w14:paraId="645885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07" w:type="pct"/>
                  <w:vAlign w:val="center"/>
                </w:tcPr>
                <w:p w14:paraId="4048F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vAlign w:val="center"/>
                </w:tcPr>
                <w:p w14:paraId="10C14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7B891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F21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085D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C63CF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vAlign w:val="center"/>
                </w:tcPr>
                <w:p w14:paraId="60AAE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25CFE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0661B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25FCA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vAlign w:val="center"/>
                </w:tcPr>
                <w:p w14:paraId="61C76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024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3A3B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E045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vAlign w:val="center"/>
                </w:tcPr>
                <w:p w14:paraId="114FA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c>
                <w:tcPr>
                  <w:tcW w:w="795" w:type="pct"/>
                  <w:vAlign w:val="center"/>
                </w:tcPr>
                <w:p w14:paraId="1AFA6E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707" w:type="pct"/>
                  <w:vAlign w:val="center"/>
                </w:tcPr>
                <w:p w14:paraId="03F29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442" w:type="pct"/>
                  <w:vAlign w:val="center"/>
                </w:tcPr>
                <w:p w14:paraId="31B1F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vAlign w:val="center"/>
                </w:tcPr>
                <w:p w14:paraId="0D937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BD3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E0FA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7A6F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vAlign w:val="center"/>
                </w:tcPr>
                <w:p w14:paraId="469C1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795" w:type="pct"/>
                  <w:vAlign w:val="center"/>
                </w:tcPr>
                <w:p w14:paraId="03C19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707" w:type="pct"/>
                  <w:vAlign w:val="center"/>
                </w:tcPr>
                <w:p w14:paraId="395A0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442" w:type="pct"/>
                  <w:vAlign w:val="center"/>
                </w:tcPr>
                <w:p w14:paraId="467805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vAlign w:val="center"/>
                </w:tcPr>
                <w:p w14:paraId="66507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09C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BB14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A89B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vAlign w:val="center"/>
                </w:tcPr>
                <w:p w14:paraId="49A5E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2.59</w:t>
                  </w:r>
                </w:p>
              </w:tc>
              <w:tc>
                <w:tcPr>
                  <w:tcW w:w="795" w:type="pct"/>
                  <w:vAlign w:val="center"/>
                </w:tcPr>
                <w:p w14:paraId="125B1B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w:t>
                  </w:r>
                </w:p>
              </w:tc>
              <w:tc>
                <w:tcPr>
                  <w:tcW w:w="707" w:type="pct"/>
                  <w:vAlign w:val="center"/>
                </w:tcPr>
                <w:p w14:paraId="1869AA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2.64</w:t>
                  </w:r>
                </w:p>
              </w:tc>
              <w:tc>
                <w:tcPr>
                  <w:tcW w:w="442" w:type="pct"/>
                  <w:vAlign w:val="center"/>
                </w:tcPr>
                <w:p w14:paraId="0ADE4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4C488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30E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731C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6598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vAlign w:val="center"/>
                </w:tcPr>
                <w:p w14:paraId="2F0DD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31.0</w:t>
                  </w:r>
                </w:p>
              </w:tc>
              <w:tc>
                <w:tcPr>
                  <w:tcW w:w="795" w:type="pct"/>
                  <w:vAlign w:val="center"/>
                </w:tcPr>
                <w:p w14:paraId="5EC6A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30.9</w:t>
                  </w:r>
                </w:p>
              </w:tc>
              <w:tc>
                <w:tcPr>
                  <w:tcW w:w="707" w:type="pct"/>
                  <w:vAlign w:val="center"/>
                </w:tcPr>
                <w:p w14:paraId="013B0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31.4</w:t>
                  </w:r>
                </w:p>
              </w:tc>
              <w:tc>
                <w:tcPr>
                  <w:tcW w:w="442" w:type="pct"/>
                  <w:vAlign w:val="center"/>
                </w:tcPr>
                <w:p w14:paraId="001AB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41E45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937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E83E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BA2B4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vAlign w:val="center"/>
                </w:tcPr>
                <w:p w14:paraId="1358B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67.5</w:t>
                  </w:r>
                </w:p>
              </w:tc>
              <w:tc>
                <w:tcPr>
                  <w:tcW w:w="795" w:type="pct"/>
                  <w:vAlign w:val="center"/>
                </w:tcPr>
                <w:p w14:paraId="1D3CA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68.1</w:t>
                  </w:r>
                </w:p>
              </w:tc>
              <w:tc>
                <w:tcPr>
                  <w:tcW w:w="707" w:type="pct"/>
                  <w:vAlign w:val="center"/>
                </w:tcPr>
                <w:p w14:paraId="3FFC6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65.7</w:t>
                  </w:r>
                </w:p>
              </w:tc>
              <w:tc>
                <w:tcPr>
                  <w:tcW w:w="442" w:type="pct"/>
                  <w:vAlign w:val="center"/>
                </w:tcPr>
                <w:p w14:paraId="301E2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4D0E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E79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B0305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9908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vAlign w:val="center"/>
                </w:tcPr>
                <w:p w14:paraId="4E2249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w:t>
                  </w:r>
                </w:p>
              </w:tc>
              <w:tc>
                <w:tcPr>
                  <w:tcW w:w="795" w:type="pct"/>
                  <w:vAlign w:val="center"/>
                </w:tcPr>
                <w:p w14:paraId="06DBE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19.7</w:t>
                  </w:r>
                </w:p>
              </w:tc>
              <w:tc>
                <w:tcPr>
                  <w:tcW w:w="707" w:type="pct"/>
                  <w:vAlign w:val="center"/>
                </w:tcPr>
                <w:p w14:paraId="2F4745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w:t>
                  </w:r>
                </w:p>
              </w:tc>
              <w:tc>
                <w:tcPr>
                  <w:tcW w:w="442" w:type="pct"/>
                  <w:vAlign w:val="center"/>
                </w:tcPr>
                <w:p w14:paraId="64756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D2625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8DA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67EB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A5A5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vAlign w:val="center"/>
                </w:tcPr>
                <w:p w14:paraId="40F5F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w:t>
                  </w:r>
                </w:p>
              </w:tc>
              <w:tc>
                <w:tcPr>
                  <w:tcW w:w="795" w:type="pct"/>
                  <w:vAlign w:val="center"/>
                </w:tcPr>
                <w:p w14:paraId="4F09D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707" w:type="pct"/>
                  <w:vAlign w:val="center"/>
                </w:tcPr>
                <w:p w14:paraId="338927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442" w:type="pct"/>
                  <w:vAlign w:val="center"/>
                </w:tcPr>
                <w:p w14:paraId="52AC1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62E1E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62C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F5E6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681F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vAlign w:val="center"/>
                </w:tcPr>
                <w:p w14:paraId="10D54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795" w:type="pct"/>
                  <w:vAlign w:val="center"/>
                </w:tcPr>
                <w:p w14:paraId="18AB84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285</w:t>
                  </w:r>
                </w:p>
              </w:tc>
              <w:tc>
                <w:tcPr>
                  <w:tcW w:w="707" w:type="pct"/>
                  <w:vAlign w:val="center"/>
                </w:tcPr>
                <w:p w14:paraId="60747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442" w:type="pct"/>
                  <w:vAlign w:val="center"/>
                </w:tcPr>
                <w:p w14:paraId="70A96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6D08E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03A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863D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5B4C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vAlign w:val="center"/>
                </w:tcPr>
                <w:p w14:paraId="5D499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795" w:type="pct"/>
                  <w:vAlign w:val="center"/>
                </w:tcPr>
                <w:p w14:paraId="60115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707" w:type="pct"/>
                  <w:vAlign w:val="center"/>
                </w:tcPr>
                <w:p w14:paraId="27A18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442" w:type="pct"/>
                  <w:vAlign w:val="center"/>
                </w:tcPr>
                <w:p w14:paraId="67291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9041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8C1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3FA2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959F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vAlign w:val="center"/>
                </w:tcPr>
                <w:p w14:paraId="020CB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42.8</w:t>
                  </w:r>
                </w:p>
              </w:tc>
              <w:tc>
                <w:tcPr>
                  <w:tcW w:w="795" w:type="pct"/>
                  <w:vAlign w:val="center"/>
                </w:tcPr>
                <w:p w14:paraId="52DE4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44.8</w:t>
                  </w:r>
                </w:p>
              </w:tc>
              <w:tc>
                <w:tcPr>
                  <w:tcW w:w="707" w:type="pct"/>
                  <w:vAlign w:val="center"/>
                </w:tcPr>
                <w:p w14:paraId="44C4D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44.6</w:t>
                  </w:r>
                </w:p>
              </w:tc>
              <w:tc>
                <w:tcPr>
                  <w:tcW w:w="442" w:type="pct"/>
                  <w:vAlign w:val="center"/>
                </w:tcPr>
                <w:p w14:paraId="065AF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CF70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FF5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vAlign w:val="center"/>
                </w:tcPr>
                <w:p w14:paraId="48F43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Q5项目下游金所村地下水井（103.1956039，25.5331591）</w:t>
                  </w:r>
                </w:p>
              </w:tc>
              <w:tc>
                <w:tcPr>
                  <w:tcW w:w="964" w:type="pct"/>
                  <w:vAlign w:val="center"/>
                </w:tcPr>
                <w:p w14:paraId="44ACF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vAlign w:val="center"/>
                </w:tcPr>
                <w:p w14:paraId="2389D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795" w:type="pct"/>
                  <w:vAlign w:val="center"/>
                </w:tcPr>
                <w:p w14:paraId="0EEE5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707" w:type="pct"/>
                  <w:vAlign w:val="center"/>
                </w:tcPr>
                <w:p w14:paraId="08143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442" w:type="pct"/>
                  <w:vAlign w:val="center"/>
                </w:tcPr>
                <w:p w14:paraId="7EB10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vAlign w:val="center"/>
                </w:tcPr>
                <w:p w14:paraId="5B5FE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9DF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ADA8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195C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vAlign w:val="center"/>
                </w:tcPr>
                <w:p w14:paraId="14C92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0.331</w:t>
                  </w:r>
                </w:p>
              </w:tc>
              <w:tc>
                <w:tcPr>
                  <w:tcW w:w="795" w:type="pct"/>
                  <w:vAlign w:val="center"/>
                </w:tcPr>
                <w:p w14:paraId="2FD463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0.336</w:t>
                  </w:r>
                </w:p>
              </w:tc>
              <w:tc>
                <w:tcPr>
                  <w:tcW w:w="707" w:type="pct"/>
                  <w:vAlign w:val="center"/>
                </w:tcPr>
                <w:p w14:paraId="0861B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0.326</w:t>
                  </w:r>
                </w:p>
              </w:tc>
              <w:tc>
                <w:tcPr>
                  <w:tcW w:w="442" w:type="pct"/>
                  <w:vAlign w:val="center"/>
                </w:tcPr>
                <w:p w14:paraId="77C26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vAlign w:val="center"/>
                </w:tcPr>
                <w:p w14:paraId="131AAF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2B9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B859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7095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vAlign w:val="center"/>
                </w:tcPr>
                <w:p w14:paraId="53B78D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w:t>
                  </w:r>
                </w:p>
              </w:tc>
              <w:tc>
                <w:tcPr>
                  <w:tcW w:w="795" w:type="pct"/>
                  <w:vAlign w:val="center"/>
                </w:tcPr>
                <w:p w14:paraId="112C9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707" w:type="pct"/>
                  <w:vAlign w:val="center"/>
                </w:tcPr>
                <w:p w14:paraId="0D4FE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442" w:type="pct"/>
                  <w:vAlign w:val="center"/>
                </w:tcPr>
                <w:p w14:paraId="542B78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vAlign w:val="center"/>
                </w:tcPr>
                <w:p w14:paraId="76E727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8EC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0045B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4E5F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vAlign w:val="center"/>
                </w:tcPr>
                <w:p w14:paraId="272F92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795" w:type="pct"/>
                  <w:vAlign w:val="center"/>
                </w:tcPr>
                <w:p w14:paraId="7A094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w:t>
                  </w:r>
                </w:p>
              </w:tc>
              <w:tc>
                <w:tcPr>
                  <w:tcW w:w="707" w:type="pct"/>
                  <w:vAlign w:val="center"/>
                </w:tcPr>
                <w:p w14:paraId="1C965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w:t>
                  </w:r>
                </w:p>
              </w:tc>
              <w:tc>
                <w:tcPr>
                  <w:tcW w:w="442" w:type="pct"/>
                  <w:vAlign w:val="center"/>
                </w:tcPr>
                <w:p w14:paraId="1DBED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632C0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392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9E38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A79F3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vAlign w:val="center"/>
                </w:tcPr>
                <w:p w14:paraId="6ABA54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vAlign w:val="center"/>
                </w:tcPr>
                <w:p w14:paraId="6FB0A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vAlign w:val="center"/>
                </w:tcPr>
                <w:p w14:paraId="4C272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vAlign w:val="center"/>
                </w:tcPr>
                <w:p w14:paraId="009F1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vAlign w:val="center"/>
                </w:tcPr>
                <w:p w14:paraId="32481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130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B96F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1B67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vAlign w:val="center"/>
                </w:tcPr>
                <w:p w14:paraId="0751D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19629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vAlign w:val="center"/>
                </w:tcPr>
                <w:p w14:paraId="2A36A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vAlign w:val="center"/>
                </w:tcPr>
                <w:p w14:paraId="77F74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2F8BA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43F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063B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425C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vAlign w:val="center"/>
                </w:tcPr>
                <w:p w14:paraId="60E52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309</w:t>
                  </w:r>
                </w:p>
              </w:tc>
              <w:tc>
                <w:tcPr>
                  <w:tcW w:w="795" w:type="pct"/>
                  <w:vAlign w:val="center"/>
                </w:tcPr>
                <w:p w14:paraId="41090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321</w:t>
                  </w:r>
                </w:p>
              </w:tc>
              <w:tc>
                <w:tcPr>
                  <w:tcW w:w="707" w:type="pct"/>
                  <w:vAlign w:val="center"/>
                </w:tcPr>
                <w:p w14:paraId="03CA8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317</w:t>
                  </w:r>
                </w:p>
              </w:tc>
              <w:tc>
                <w:tcPr>
                  <w:tcW w:w="442" w:type="pct"/>
                  <w:vAlign w:val="center"/>
                </w:tcPr>
                <w:p w14:paraId="2C774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vAlign w:val="center"/>
                </w:tcPr>
                <w:p w14:paraId="2B9C9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9C4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0FA7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8D51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vAlign w:val="center"/>
                </w:tcPr>
                <w:p w14:paraId="62E6A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991</w:t>
                  </w:r>
                </w:p>
              </w:tc>
              <w:tc>
                <w:tcPr>
                  <w:tcW w:w="795" w:type="pct"/>
                  <w:vAlign w:val="center"/>
                </w:tcPr>
                <w:p w14:paraId="733B7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989</w:t>
                  </w:r>
                </w:p>
              </w:tc>
              <w:tc>
                <w:tcPr>
                  <w:tcW w:w="707" w:type="pct"/>
                  <w:vAlign w:val="center"/>
                </w:tcPr>
                <w:p w14:paraId="2A6FC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988</w:t>
                  </w:r>
                </w:p>
              </w:tc>
              <w:tc>
                <w:tcPr>
                  <w:tcW w:w="442" w:type="pct"/>
                  <w:vAlign w:val="center"/>
                </w:tcPr>
                <w:p w14:paraId="6E296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vAlign w:val="center"/>
                </w:tcPr>
                <w:p w14:paraId="25050C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1CC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9B16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1E8F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vAlign w:val="center"/>
                </w:tcPr>
                <w:p w14:paraId="52471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795" w:type="pct"/>
                  <w:vAlign w:val="center"/>
                </w:tcPr>
                <w:p w14:paraId="31E7D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707" w:type="pct"/>
                  <w:vAlign w:val="center"/>
                </w:tcPr>
                <w:p w14:paraId="71786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442" w:type="pct"/>
                  <w:vAlign w:val="center"/>
                </w:tcPr>
                <w:p w14:paraId="2B419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51761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2A9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8C9DB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ACFF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vAlign w:val="center"/>
                </w:tcPr>
                <w:p w14:paraId="67B3A6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165</w:t>
                  </w:r>
                </w:p>
              </w:tc>
              <w:tc>
                <w:tcPr>
                  <w:tcW w:w="795" w:type="pct"/>
                  <w:vAlign w:val="center"/>
                </w:tcPr>
                <w:p w14:paraId="50732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168</w:t>
                  </w:r>
                </w:p>
              </w:tc>
              <w:tc>
                <w:tcPr>
                  <w:tcW w:w="707" w:type="pct"/>
                  <w:vAlign w:val="center"/>
                </w:tcPr>
                <w:p w14:paraId="027D3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442" w:type="pct"/>
                  <w:vAlign w:val="center"/>
                </w:tcPr>
                <w:p w14:paraId="401AE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4A44C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C47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4D8FD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8F61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vAlign w:val="center"/>
                </w:tcPr>
                <w:p w14:paraId="33000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127</w:t>
                  </w:r>
                </w:p>
              </w:tc>
              <w:tc>
                <w:tcPr>
                  <w:tcW w:w="795" w:type="pct"/>
                  <w:vAlign w:val="center"/>
                </w:tcPr>
                <w:p w14:paraId="2A32B6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707" w:type="pct"/>
                  <w:vAlign w:val="center"/>
                </w:tcPr>
                <w:p w14:paraId="28A49F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442" w:type="pct"/>
                  <w:vAlign w:val="center"/>
                </w:tcPr>
                <w:p w14:paraId="27FB17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7BD57D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C67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98E6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BD86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vAlign w:val="center"/>
                </w:tcPr>
                <w:p w14:paraId="54D79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0.29</w:t>
                  </w:r>
                </w:p>
              </w:tc>
              <w:tc>
                <w:tcPr>
                  <w:tcW w:w="795" w:type="pct"/>
                  <w:vAlign w:val="center"/>
                </w:tcPr>
                <w:p w14:paraId="7E4FD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0.26</w:t>
                  </w:r>
                </w:p>
              </w:tc>
              <w:tc>
                <w:tcPr>
                  <w:tcW w:w="707" w:type="pct"/>
                  <w:vAlign w:val="center"/>
                </w:tcPr>
                <w:p w14:paraId="078F1B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0.27</w:t>
                  </w:r>
                </w:p>
              </w:tc>
              <w:tc>
                <w:tcPr>
                  <w:tcW w:w="442" w:type="pct"/>
                  <w:vAlign w:val="center"/>
                </w:tcPr>
                <w:p w14:paraId="3E475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42A30A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41A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EB7E7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D2B3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vAlign w:val="center"/>
                </w:tcPr>
                <w:p w14:paraId="73E0E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vAlign w:val="center"/>
                </w:tcPr>
                <w:p w14:paraId="3E11A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vAlign w:val="center"/>
                </w:tcPr>
                <w:p w14:paraId="15CD5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vAlign w:val="center"/>
                </w:tcPr>
                <w:p w14:paraId="5970C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382C5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7C7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5F8B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4875D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vAlign w:val="center"/>
                </w:tcPr>
                <w:p w14:paraId="10346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95" w:type="pct"/>
                  <w:vAlign w:val="center"/>
                </w:tcPr>
                <w:p w14:paraId="47D9C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707" w:type="pct"/>
                  <w:vAlign w:val="center"/>
                </w:tcPr>
                <w:p w14:paraId="1F987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vAlign w:val="center"/>
                </w:tcPr>
                <w:p w14:paraId="3F17D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vAlign w:val="center"/>
                </w:tcPr>
                <w:p w14:paraId="2A3A7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38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328BB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5CDE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vAlign w:val="center"/>
                </w:tcPr>
                <w:p w14:paraId="6CD44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6712F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707" w:type="pct"/>
                  <w:vAlign w:val="center"/>
                </w:tcPr>
                <w:p w14:paraId="79145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442" w:type="pct"/>
                  <w:vAlign w:val="center"/>
                </w:tcPr>
                <w:p w14:paraId="1F3B9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12C05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8EC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D0A4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52E5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vAlign w:val="center"/>
                </w:tcPr>
                <w:p w14:paraId="69699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2EFDB7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7C1FF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64201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5B1CE1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9EF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00C2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4175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vAlign w:val="center"/>
                </w:tcPr>
                <w:p w14:paraId="4091D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95" w:type="pct"/>
                  <w:vAlign w:val="center"/>
                </w:tcPr>
                <w:p w14:paraId="5A9A5F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07" w:type="pct"/>
                  <w:vAlign w:val="center"/>
                </w:tcPr>
                <w:p w14:paraId="0565E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442" w:type="pct"/>
                  <w:vAlign w:val="center"/>
                </w:tcPr>
                <w:p w14:paraId="50C32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vAlign w:val="center"/>
                </w:tcPr>
                <w:p w14:paraId="487DE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EC8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5A59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902F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vAlign w:val="center"/>
                </w:tcPr>
                <w:p w14:paraId="341B6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vAlign w:val="center"/>
                </w:tcPr>
                <w:p w14:paraId="4D624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07" w:type="pct"/>
                  <w:vAlign w:val="center"/>
                </w:tcPr>
                <w:p w14:paraId="0C949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vAlign w:val="center"/>
                </w:tcPr>
                <w:p w14:paraId="1725D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4FDEA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06C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360A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4AFC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vAlign w:val="center"/>
                </w:tcPr>
                <w:p w14:paraId="3AB39D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51956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6CB91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7717B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vAlign w:val="center"/>
                </w:tcPr>
                <w:p w14:paraId="11AA1A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9BD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9064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AF3E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vAlign w:val="center"/>
                </w:tcPr>
                <w:p w14:paraId="26144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95" w:type="pct"/>
                  <w:vAlign w:val="center"/>
                </w:tcPr>
                <w:p w14:paraId="6D35E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07" w:type="pct"/>
                  <w:vAlign w:val="center"/>
                </w:tcPr>
                <w:p w14:paraId="62E10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442" w:type="pct"/>
                  <w:vAlign w:val="center"/>
                </w:tcPr>
                <w:p w14:paraId="6CCC2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vAlign w:val="center"/>
                </w:tcPr>
                <w:p w14:paraId="389E4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5B3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F5CB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C4434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vAlign w:val="center"/>
                </w:tcPr>
                <w:p w14:paraId="70978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795" w:type="pct"/>
                  <w:vAlign w:val="center"/>
                </w:tcPr>
                <w:p w14:paraId="33C52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707" w:type="pct"/>
                  <w:vAlign w:val="center"/>
                </w:tcPr>
                <w:p w14:paraId="247AD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442" w:type="pct"/>
                  <w:vAlign w:val="center"/>
                </w:tcPr>
                <w:p w14:paraId="2D9A2E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vAlign w:val="center"/>
                </w:tcPr>
                <w:p w14:paraId="008D4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3CA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054E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845F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vAlign w:val="center"/>
                </w:tcPr>
                <w:p w14:paraId="783F2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67.3</w:t>
                  </w:r>
                </w:p>
              </w:tc>
              <w:tc>
                <w:tcPr>
                  <w:tcW w:w="795" w:type="pct"/>
                  <w:vAlign w:val="center"/>
                </w:tcPr>
                <w:p w14:paraId="26CEC1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67.5</w:t>
                  </w:r>
                </w:p>
              </w:tc>
              <w:tc>
                <w:tcPr>
                  <w:tcW w:w="707" w:type="pct"/>
                  <w:vAlign w:val="center"/>
                </w:tcPr>
                <w:p w14:paraId="40C07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67.8</w:t>
                  </w:r>
                </w:p>
              </w:tc>
              <w:tc>
                <w:tcPr>
                  <w:tcW w:w="442" w:type="pct"/>
                  <w:vAlign w:val="center"/>
                </w:tcPr>
                <w:p w14:paraId="04A1F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3E3B1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A3A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EF0E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9F35A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vAlign w:val="center"/>
                </w:tcPr>
                <w:p w14:paraId="529FE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795" w:type="pct"/>
                  <w:vAlign w:val="center"/>
                </w:tcPr>
                <w:p w14:paraId="7B5C5E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w:t>
                  </w:r>
                </w:p>
              </w:tc>
              <w:tc>
                <w:tcPr>
                  <w:tcW w:w="707" w:type="pct"/>
                  <w:vAlign w:val="center"/>
                </w:tcPr>
                <w:p w14:paraId="2FFA1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40.2</w:t>
                  </w:r>
                </w:p>
              </w:tc>
              <w:tc>
                <w:tcPr>
                  <w:tcW w:w="442" w:type="pct"/>
                  <w:vAlign w:val="center"/>
                </w:tcPr>
                <w:p w14:paraId="46830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F292B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7DE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5944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0B8A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vAlign w:val="center"/>
                </w:tcPr>
                <w:p w14:paraId="3CE10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795" w:type="pct"/>
                  <w:vAlign w:val="center"/>
                </w:tcPr>
                <w:p w14:paraId="7C82D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121</w:t>
                  </w:r>
                </w:p>
              </w:tc>
              <w:tc>
                <w:tcPr>
                  <w:tcW w:w="707" w:type="pct"/>
                  <w:vAlign w:val="center"/>
                </w:tcPr>
                <w:p w14:paraId="271DF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w:t>
                  </w:r>
                </w:p>
              </w:tc>
              <w:tc>
                <w:tcPr>
                  <w:tcW w:w="442" w:type="pct"/>
                  <w:vAlign w:val="center"/>
                </w:tcPr>
                <w:p w14:paraId="04120E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61BFB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E1B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15C92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8175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vAlign w:val="center"/>
                </w:tcPr>
                <w:p w14:paraId="2B9CE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34.6</w:t>
                  </w:r>
                </w:p>
              </w:tc>
              <w:tc>
                <w:tcPr>
                  <w:tcW w:w="795" w:type="pct"/>
                  <w:vAlign w:val="center"/>
                </w:tcPr>
                <w:p w14:paraId="4D3C7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34.7</w:t>
                  </w:r>
                </w:p>
              </w:tc>
              <w:tc>
                <w:tcPr>
                  <w:tcW w:w="707" w:type="pct"/>
                  <w:vAlign w:val="center"/>
                </w:tcPr>
                <w:p w14:paraId="3AECA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42" w:type="pct"/>
                  <w:vAlign w:val="center"/>
                </w:tcPr>
                <w:p w14:paraId="6384D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42787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2BB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DB38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8ED9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vAlign w:val="center"/>
                </w:tcPr>
                <w:p w14:paraId="7D924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795" w:type="pct"/>
                  <w:vAlign w:val="center"/>
                </w:tcPr>
                <w:p w14:paraId="424A2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12.1</w:t>
                  </w:r>
                </w:p>
              </w:tc>
              <w:tc>
                <w:tcPr>
                  <w:tcW w:w="707" w:type="pct"/>
                  <w:vAlign w:val="center"/>
                </w:tcPr>
                <w:p w14:paraId="0D4FC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w:t>
                  </w:r>
                </w:p>
              </w:tc>
              <w:tc>
                <w:tcPr>
                  <w:tcW w:w="442" w:type="pct"/>
                  <w:vAlign w:val="center"/>
                </w:tcPr>
                <w:p w14:paraId="77764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44A65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650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A7B3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2D63E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vAlign w:val="center"/>
                </w:tcPr>
                <w:p w14:paraId="253FA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285</w:t>
                  </w:r>
                </w:p>
              </w:tc>
              <w:tc>
                <w:tcPr>
                  <w:tcW w:w="795" w:type="pct"/>
                  <w:vAlign w:val="center"/>
                </w:tcPr>
                <w:p w14:paraId="29E90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304</w:t>
                  </w:r>
                </w:p>
              </w:tc>
              <w:tc>
                <w:tcPr>
                  <w:tcW w:w="707" w:type="pct"/>
                  <w:vAlign w:val="center"/>
                </w:tcPr>
                <w:p w14:paraId="0242E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290</w:t>
                  </w:r>
                </w:p>
              </w:tc>
              <w:tc>
                <w:tcPr>
                  <w:tcW w:w="442" w:type="pct"/>
                  <w:vAlign w:val="center"/>
                </w:tcPr>
                <w:p w14:paraId="3EB30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44CE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36F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C105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E0CE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vAlign w:val="center"/>
                </w:tcPr>
                <w:p w14:paraId="11B8F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795" w:type="pct"/>
                  <w:vAlign w:val="center"/>
                </w:tcPr>
                <w:p w14:paraId="3AAE0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w:t>
                  </w:r>
                </w:p>
              </w:tc>
              <w:tc>
                <w:tcPr>
                  <w:tcW w:w="707" w:type="pct"/>
                  <w:vAlign w:val="center"/>
                </w:tcPr>
                <w:p w14:paraId="1D71F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w:t>
                  </w:r>
                </w:p>
              </w:tc>
              <w:tc>
                <w:tcPr>
                  <w:tcW w:w="442" w:type="pct"/>
                  <w:vAlign w:val="center"/>
                </w:tcPr>
                <w:p w14:paraId="3B78C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3E6E3A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02B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410E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5B0E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vAlign w:val="center"/>
                </w:tcPr>
                <w:p w14:paraId="0FBDE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795" w:type="pct"/>
                  <w:vAlign w:val="center"/>
                </w:tcPr>
                <w:p w14:paraId="6F0E5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707" w:type="pct"/>
                  <w:vAlign w:val="center"/>
                </w:tcPr>
                <w:p w14:paraId="19DF3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442" w:type="pct"/>
                  <w:vAlign w:val="center"/>
                </w:tcPr>
                <w:p w14:paraId="151CC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2D2C13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75F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restart"/>
                  <w:vAlign w:val="center"/>
                </w:tcPr>
                <w:p w14:paraId="2ED24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Q6渣场下游地下水监测井（103.1849620，25.5676050）</w:t>
                  </w:r>
                </w:p>
              </w:tc>
              <w:tc>
                <w:tcPr>
                  <w:tcW w:w="964" w:type="pct"/>
                  <w:vAlign w:val="center"/>
                </w:tcPr>
                <w:p w14:paraId="5BFCA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pH值（无量纲）</w:t>
                  </w:r>
                </w:p>
              </w:tc>
              <w:tc>
                <w:tcPr>
                  <w:tcW w:w="707" w:type="pct"/>
                  <w:vAlign w:val="center"/>
                </w:tcPr>
                <w:p w14:paraId="657A8F1E">
                  <w:pPr>
                    <w:keepNext w:val="0"/>
                    <w:keepLines w:val="0"/>
                    <w:pageBreakBefore w:val="0"/>
                    <w:widowControl w:val="0"/>
                    <w:tabs>
                      <w:tab w:val="left" w:pos="466"/>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795" w:type="pct"/>
                  <w:vAlign w:val="center"/>
                </w:tcPr>
                <w:p w14:paraId="289151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707" w:type="pct"/>
                  <w:vAlign w:val="center"/>
                </w:tcPr>
                <w:p w14:paraId="33A48E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442" w:type="pct"/>
                  <w:vAlign w:val="center"/>
                </w:tcPr>
                <w:p w14:paraId="43A27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464" w:type="pct"/>
                  <w:vAlign w:val="center"/>
                </w:tcPr>
                <w:p w14:paraId="2270F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25A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A0D5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41CD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707" w:type="pct"/>
                  <w:vAlign w:val="center"/>
                </w:tcPr>
                <w:p w14:paraId="27949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0.419</w:t>
                  </w:r>
                </w:p>
              </w:tc>
              <w:tc>
                <w:tcPr>
                  <w:tcW w:w="795" w:type="pct"/>
                  <w:vAlign w:val="center"/>
                </w:tcPr>
                <w:p w14:paraId="1AAD0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0.407</w:t>
                  </w:r>
                </w:p>
              </w:tc>
              <w:tc>
                <w:tcPr>
                  <w:tcW w:w="707" w:type="pct"/>
                  <w:vAlign w:val="center"/>
                </w:tcPr>
                <w:p w14:paraId="48AE6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0.400</w:t>
                  </w:r>
                </w:p>
              </w:tc>
              <w:tc>
                <w:tcPr>
                  <w:tcW w:w="442" w:type="pct"/>
                  <w:vAlign w:val="center"/>
                </w:tcPr>
                <w:p w14:paraId="63330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464" w:type="pct"/>
                  <w:vAlign w:val="center"/>
                </w:tcPr>
                <w:p w14:paraId="56938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F2D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8C8E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B4377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707" w:type="pct"/>
                  <w:vAlign w:val="center"/>
                </w:tcPr>
                <w:p w14:paraId="2C4D8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w:t>
                  </w:r>
                </w:p>
              </w:tc>
              <w:tc>
                <w:tcPr>
                  <w:tcW w:w="795" w:type="pct"/>
                  <w:vAlign w:val="center"/>
                </w:tcPr>
                <w:p w14:paraId="790B7B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2.15</w:t>
                  </w:r>
                </w:p>
              </w:tc>
              <w:tc>
                <w:tcPr>
                  <w:tcW w:w="707" w:type="pct"/>
                  <w:vAlign w:val="center"/>
                </w:tcPr>
                <w:p w14:paraId="02E3E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2.16</w:t>
                  </w:r>
                </w:p>
              </w:tc>
              <w:tc>
                <w:tcPr>
                  <w:tcW w:w="442" w:type="pct"/>
                  <w:vAlign w:val="center"/>
                </w:tcPr>
                <w:p w14:paraId="04699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20.0</w:t>
                  </w:r>
                </w:p>
              </w:tc>
              <w:tc>
                <w:tcPr>
                  <w:tcW w:w="464" w:type="pct"/>
                  <w:vAlign w:val="center"/>
                </w:tcPr>
                <w:p w14:paraId="55911C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082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8F12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B91B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707" w:type="pct"/>
                  <w:vAlign w:val="center"/>
                </w:tcPr>
                <w:p w14:paraId="0ACE2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795" w:type="pct"/>
                  <w:vAlign w:val="center"/>
                </w:tcPr>
                <w:p w14:paraId="1BB67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707" w:type="pct"/>
                  <w:vAlign w:val="center"/>
                </w:tcPr>
                <w:p w14:paraId="35F4B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442" w:type="pct"/>
                  <w:vAlign w:val="center"/>
                </w:tcPr>
                <w:p w14:paraId="4ED69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5736DB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E2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7472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7E4A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707" w:type="pct"/>
                  <w:vAlign w:val="center"/>
                </w:tcPr>
                <w:p w14:paraId="25980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95" w:type="pct"/>
                  <w:vAlign w:val="center"/>
                </w:tcPr>
                <w:p w14:paraId="115DC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707" w:type="pct"/>
                  <w:vAlign w:val="center"/>
                </w:tcPr>
                <w:p w14:paraId="1DCCF8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442" w:type="pct"/>
                  <w:vAlign w:val="center"/>
                </w:tcPr>
                <w:p w14:paraId="344D0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0.002</w:t>
                  </w:r>
                </w:p>
              </w:tc>
              <w:tc>
                <w:tcPr>
                  <w:tcW w:w="464" w:type="pct"/>
                  <w:vAlign w:val="center"/>
                </w:tcPr>
                <w:p w14:paraId="39998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56E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60816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1AEB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707" w:type="pct"/>
                  <w:vAlign w:val="center"/>
                </w:tcPr>
                <w:p w14:paraId="1AA6A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05D63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07" w:type="pct"/>
                  <w:vAlign w:val="center"/>
                </w:tcPr>
                <w:p w14:paraId="40AEE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442" w:type="pct"/>
                  <w:vAlign w:val="center"/>
                </w:tcPr>
                <w:p w14:paraId="56C64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26DBD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D6A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4758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E72F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707" w:type="pct"/>
                  <w:vAlign w:val="center"/>
                </w:tcPr>
                <w:p w14:paraId="5D978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390</w:t>
                  </w:r>
                </w:p>
              </w:tc>
              <w:tc>
                <w:tcPr>
                  <w:tcW w:w="795" w:type="pct"/>
                  <w:vAlign w:val="center"/>
                </w:tcPr>
                <w:p w14:paraId="48340B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383</w:t>
                  </w:r>
                </w:p>
              </w:tc>
              <w:tc>
                <w:tcPr>
                  <w:tcW w:w="707" w:type="pct"/>
                  <w:vAlign w:val="center"/>
                </w:tcPr>
                <w:p w14:paraId="47CAD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391</w:t>
                  </w:r>
                </w:p>
              </w:tc>
              <w:tc>
                <w:tcPr>
                  <w:tcW w:w="442" w:type="pct"/>
                  <w:vAlign w:val="center"/>
                </w:tcPr>
                <w:p w14:paraId="1E0BC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450</w:t>
                  </w:r>
                </w:p>
              </w:tc>
              <w:tc>
                <w:tcPr>
                  <w:tcW w:w="464" w:type="pct"/>
                  <w:vAlign w:val="center"/>
                </w:tcPr>
                <w:p w14:paraId="2FCCB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FEB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6E89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3D28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707" w:type="pct"/>
                  <w:vAlign w:val="center"/>
                </w:tcPr>
                <w:p w14:paraId="6191C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537</w:t>
                  </w:r>
                </w:p>
              </w:tc>
              <w:tc>
                <w:tcPr>
                  <w:tcW w:w="795" w:type="pct"/>
                  <w:vAlign w:val="center"/>
                </w:tcPr>
                <w:p w14:paraId="74649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524</w:t>
                  </w:r>
                </w:p>
              </w:tc>
              <w:tc>
                <w:tcPr>
                  <w:tcW w:w="707" w:type="pct"/>
                  <w:vAlign w:val="center"/>
                </w:tcPr>
                <w:p w14:paraId="609817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521</w:t>
                  </w:r>
                </w:p>
              </w:tc>
              <w:tc>
                <w:tcPr>
                  <w:tcW w:w="442" w:type="pct"/>
                  <w:vAlign w:val="center"/>
                </w:tcPr>
                <w:p w14:paraId="29734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1000</w:t>
                  </w:r>
                </w:p>
              </w:tc>
              <w:tc>
                <w:tcPr>
                  <w:tcW w:w="464" w:type="pct"/>
                  <w:vAlign w:val="center"/>
                </w:tcPr>
                <w:p w14:paraId="649562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30C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DCB0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E8E9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高锰酸盐指数（耗氧量）</w:t>
                  </w:r>
                </w:p>
              </w:tc>
              <w:tc>
                <w:tcPr>
                  <w:tcW w:w="707" w:type="pct"/>
                  <w:vAlign w:val="center"/>
                </w:tcPr>
                <w:p w14:paraId="67D44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795" w:type="pct"/>
                  <w:vAlign w:val="center"/>
                </w:tcPr>
                <w:p w14:paraId="05718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707" w:type="pct"/>
                  <w:vAlign w:val="center"/>
                </w:tcPr>
                <w:p w14:paraId="36CBA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442" w:type="pct"/>
                  <w:vAlign w:val="center"/>
                </w:tcPr>
                <w:p w14:paraId="5D036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156B43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CD3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EEF0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BDBA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07" w:type="pct"/>
                  <w:vAlign w:val="center"/>
                </w:tcPr>
                <w:p w14:paraId="24120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165</w:t>
                  </w:r>
                </w:p>
              </w:tc>
              <w:tc>
                <w:tcPr>
                  <w:tcW w:w="795" w:type="pct"/>
                  <w:vAlign w:val="center"/>
                </w:tcPr>
                <w:p w14:paraId="79ACC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707" w:type="pct"/>
                  <w:vAlign w:val="center"/>
                </w:tcPr>
                <w:p w14:paraId="6B03C3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w:t>
                  </w:r>
                </w:p>
              </w:tc>
              <w:tc>
                <w:tcPr>
                  <w:tcW w:w="442" w:type="pct"/>
                  <w:vAlign w:val="center"/>
                </w:tcPr>
                <w:p w14:paraId="17F48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243AA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187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2703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2F8B1A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707" w:type="pct"/>
                  <w:vAlign w:val="center"/>
                </w:tcPr>
                <w:p w14:paraId="4547F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795" w:type="pct"/>
                  <w:vAlign w:val="center"/>
                </w:tcPr>
                <w:p w14:paraId="4642D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07" w:type="pct"/>
                  <w:vAlign w:val="center"/>
                </w:tcPr>
                <w:p w14:paraId="0DF68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442" w:type="pct"/>
                  <w:vAlign w:val="center"/>
                </w:tcPr>
                <w:p w14:paraId="29B4C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250</w:t>
                  </w:r>
                </w:p>
              </w:tc>
              <w:tc>
                <w:tcPr>
                  <w:tcW w:w="464" w:type="pct"/>
                  <w:vAlign w:val="center"/>
                </w:tcPr>
                <w:p w14:paraId="0DCA5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E33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D2C2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BD3AA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707" w:type="pct"/>
                  <w:vAlign w:val="center"/>
                </w:tcPr>
                <w:p w14:paraId="23190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w:t>
                  </w:r>
                </w:p>
              </w:tc>
              <w:tc>
                <w:tcPr>
                  <w:tcW w:w="795" w:type="pct"/>
                  <w:vAlign w:val="center"/>
                </w:tcPr>
                <w:p w14:paraId="0E1234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w:t>
                  </w:r>
                </w:p>
              </w:tc>
              <w:tc>
                <w:tcPr>
                  <w:tcW w:w="707" w:type="pct"/>
                  <w:vAlign w:val="center"/>
                </w:tcPr>
                <w:p w14:paraId="41CBB3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w:t>
                  </w:r>
                </w:p>
              </w:tc>
              <w:tc>
                <w:tcPr>
                  <w:tcW w:w="442" w:type="pct"/>
                  <w:vAlign w:val="center"/>
                </w:tcPr>
                <w:p w14:paraId="128A0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w:t>
                  </w:r>
                </w:p>
              </w:tc>
              <w:tc>
                <w:tcPr>
                  <w:tcW w:w="464" w:type="pct"/>
                  <w:vAlign w:val="center"/>
                </w:tcPr>
                <w:p w14:paraId="34D29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450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DB06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1C9B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总大肠菌群（MPN/L）</w:t>
                  </w:r>
                </w:p>
              </w:tc>
              <w:tc>
                <w:tcPr>
                  <w:tcW w:w="707" w:type="pct"/>
                  <w:vAlign w:val="center"/>
                </w:tcPr>
                <w:p w14:paraId="20DA0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95" w:type="pct"/>
                  <w:vAlign w:val="center"/>
                </w:tcPr>
                <w:p w14:paraId="700D12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07" w:type="pct"/>
                  <w:vAlign w:val="center"/>
                </w:tcPr>
                <w:p w14:paraId="549D0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442" w:type="pct"/>
                  <w:vAlign w:val="center"/>
                </w:tcPr>
                <w:p w14:paraId="39B904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3.0</w:t>
                  </w:r>
                </w:p>
              </w:tc>
              <w:tc>
                <w:tcPr>
                  <w:tcW w:w="464" w:type="pct"/>
                  <w:vAlign w:val="center"/>
                </w:tcPr>
                <w:p w14:paraId="7E9CD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7C1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2EF9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52E9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细菌总数（CFU/mL）</w:t>
                  </w:r>
                </w:p>
              </w:tc>
              <w:tc>
                <w:tcPr>
                  <w:tcW w:w="707" w:type="pct"/>
                  <w:vAlign w:val="center"/>
                </w:tcPr>
                <w:p w14:paraId="053C8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95" w:type="pct"/>
                  <w:vAlign w:val="center"/>
                </w:tcPr>
                <w:p w14:paraId="4D912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07" w:type="pct"/>
                  <w:vAlign w:val="center"/>
                </w:tcPr>
                <w:p w14:paraId="5B619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vAlign w:val="center"/>
                </w:tcPr>
                <w:p w14:paraId="5B117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100</w:t>
                  </w:r>
                </w:p>
              </w:tc>
              <w:tc>
                <w:tcPr>
                  <w:tcW w:w="464" w:type="pct"/>
                  <w:vAlign w:val="center"/>
                </w:tcPr>
                <w:p w14:paraId="3DD67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3E5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A4257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1213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07" w:type="pct"/>
                  <w:vAlign w:val="center"/>
                </w:tcPr>
                <w:p w14:paraId="41A2FF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0.004L</w:t>
                  </w:r>
                </w:p>
              </w:tc>
              <w:tc>
                <w:tcPr>
                  <w:tcW w:w="795" w:type="pct"/>
                  <w:vAlign w:val="center"/>
                </w:tcPr>
                <w:p w14:paraId="3CC72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707" w:type="pct"/>
                  <w:vAlign w:val="center"/>
                </w:tcPr>
                <w:p w14:paraId="7BABD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442" w:type="pct"/>
                  <w:vAlign w:val="center"/>
                </w:tcPr>
                <w:p w14:paraId="63275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0.05</w:t>
                  </w:r>
                </w:p>
              </w:tc>
              <w:tc>
                <w:tcPr>
                  <w:tcW w:w="464" w:type="pct"/>
                  <w:vAlign w:val="center"/>
                </w:tcPr>
                <w:p w14:paraId="2060C0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430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D582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B4D8E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07" w:type="pct"/>
                  <w:vAlign w:val="center"/>
                </w:tcPr>
                <w:p w14:paraId="4E0CC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77933E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5E37D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42773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0A8B7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CF3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6375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062A8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07" w:type="pct"/>
                  <w:vAlign w:val="center"/>
                </w:tcPr>
                <w:p w14:paraId="56E56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795" w:type="pct"/>
                  <w:vAlign w:val="center"/>
                </w:tcPr>
                <w:p w14:paraId="2D52D1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p>
              </w:tc>
              <w:tc>
                <w:tcPr>
                  <w:tcW w:w="707" w:type="pct"/>
                  <w:vAlign w:val="center"/>
                </w:tcPr>
                <w:p w14:paraId="30C8C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L</w:t>
                  </w:r>
                </w:p>
              </w:tc>
              <w:tc>
                <w:tcPr>
                  <w:tcW w:w="442" w:type="pct"/>
                  <w:vAlign w:val="center"/>
                </w:tcPr>
                <w:p w14:paraId="2EE35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0.001</w:t>
                  </w:r>
                </w:p>
              </w:tc>
              <w:tc>
                <w:tcPr>
                  <w:tcW w:w="464" w:type="pct"/>
                  <w:vAlign w:val="center"/>
                </w:tcPr>
                <w:p w14:paraId="0853C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530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54849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970E4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07" w:type="pct"/>
                  <w:vAlign w:val="center"/>
                </w:tcPr>
                <w:p w14:paraId="2926C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795" w:type="pct"/>
                  <w:vAlign w:val="center"/>
                </w:tcPr>
                <w:p w14:paraId="5B782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p>
              </w:tc>
              <w:tc>
                <w:tcPr>
                  <w:tcW w:w="707" w:type="pct"/>
                  <w:vAlign w:val="center"/>
                </w:tcPr>
                <w:p w14:paraId="7667BA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L</w:t>
                  </w:r>
                </w:p>
              </w:tc>
              <w:tc>
                <w:tcPr>
                  <w:tcW w:w="442" w:type="pct"/>
                  <w:vAlign w:val="center"/>
                </w:tcPr>
                <w:p w14:paraId="38E1A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0.01</w:t>
                  </w:r>
                </w:p>
              </w:tc>
              <w:tc>
                <w:tcPr>
                  <w:tcW w:w="464" w:type="pct"/>
                  <w:vAlign w:val="center"/>
                </w:tcPr>
                <w:p w14:paraId="17856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991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0CF0B5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6C65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07" w:type="pct"/>
                  <w:vAlign w:val="center"/>
                </w:tcPr>
                <w:p w14:paraId="516E1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95" w:type="pct"/>
                  <w:vAlign w:val="center"/>
                </w:tcPr>
                <w:p w14:paraId="5B47D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707" w:type="pct"/>
                  <w:vAlign w:val="center"/>
                </w:tcPr>
                <w:p w14:paraId="60645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442" w:type="pct"/>
                  <w:vAlign w:val="center"/>
                </w:tcPr>
                <w:p w14:paraId="2D61A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0.005</w:t>
                  </w:r>
                </w:p>
              </w:tc>
              <w:tc>
                <w:tcPr>
                  <w:tcW w:w="464" w:type="pct"/>
                  <w:vAlign w:val="center"/>
                </w:tcPr>
                <w:p w14:paraId="46A6C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672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4649C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8F94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707" w:type="pct"/>
                  <w:vAlign w:val="center"/>
                </w:tcPr>
                <w:p w14:paraId="51CB9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95" w:type="pct"/>
                  <w:vAlign w:val="center"/>
                </w:tcPr>
                <w:p w14:paraId="3AF85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707" w:type="pct"/>
                  <w:vAlign w:val="center"/>
                </w:tcPr>
                <w:p w14:paraId="4789C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0.03L</w:t>
                  </w:r>
                </w:p>
              </w:tc>
              <w:tc>
                <w:tcPr>
                  <w:tcW w:w="442" w:type="pct"/>
                  <w:vAlign w:val="center"/>
                </w:tcPr>
                <w:p w14:paraId="1DAA2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0.3</w:t>
                  </w:r>
                </w:p>
              </w:tc>
              <w:tc>
                <w:tcPr>
                  <w:tcW w:w="464" w:type="pct"/>
                  <w:vAlign w:val="center"/>
                </w:tcPr>
                <w:p w14:paraId="6E39DE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791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8BC1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E011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707" w:type="pct"/>
                  <w:vAlign w:val="center"/>
                </w:tcPr>
                <w:p w14:paraId="4661D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0.01L</w:t>
                  </w:r>
                </w:p>
              </w:tc>
              <w:tc>
                <w:tcPr>
                  <w:tcW w:w="795" w:type="pct"/>
                  <w:vAlign w:val="center"/>
                </w:tcPr>
                <w:p w14:paraId="76B77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707" w:type="pct"/>
                  <w:vAlign w:val="center"/>
                </w:tcPr>
                <w:p w14:paraId="608AC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442" w:type="pct"/>
                  <w:vAlign w:val="center"/>
                </w:tcPr>
                <w:p w14:paraId="61323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44"/>
                      <w:sz w:val="21"/>
                      <w:szCs w:val="21"/>
                    </w:rPr>
                    <w:t>≤</w:t>
                  </w:r>
                  <w:r>
                    <w:rPr>
                      <w:rFonts w:hint="default" w:ascii="Times New Roman" w:hAnsi="Times New Roman" w:cs="Times New Roman"/>
                      <w:color w:val="auto"/>
                      <w:sz w:val="21"/>
                      <w:szCs w:val="21"/>
                    </w:rPr>
                    <w:t>0.1</w:t>
                  </w:r>
                </w:p>
              </w:tc>
              <w:tc>
                <w:tcPr>
                  <w:tcW w:w="464" w:type="pct"/>
                  <w:vAlign w:val="center"/>
                </w:tcPr>
                <w:p w14:paraId="61557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CA4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61D536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30B666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707" w:type="pct"/>
                  <w:vAlign w:val="center"/>
                </w:tcPr>
                <w:p w14:paraId="3121F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2.09</w:t>
                  </w:r>
                </w:p>
              </w:tc>
              <w:tc>
                <w:tcPr>
                  <w:tcW w:w="795" w:type="pct"/>
                  <w:vAlign w:val="center"/>
                </w:tcPr>
                <w:p w14:paraId="09274F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2.10</w:t>
                  </w:r>
                </w:p>
              </w:tc>
              <w:tc>
                <w:tcPr>
                  <w:tcW w:w="707" w:type="pct"/>
                  <w:vAlign w:val="center"/>
                </w:tcPr>
                <w:p w14:paraId="6219B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2.10</w:t>
                  </w:r>
                </w:p>
              </w:tc>
              <w:tc>
                <w:tcPr>
                  <w:tcW w:w="442" w:type="pct"/>
                  <w:vAlign w:val="center"/>
                </w:tcPr>
                <w:p w14:paraId="15EB39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301F9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1D7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5EEF0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47C29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707" w:type="pct"/>
                  <w:vAlign w:val="center"/>
                </w:tcPr>
                <w:p w14:paraId="32E25A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w:t>
                  </w:r>
                </w:p>
              </w:tc>
              <w:tc>
                <w:tcPr>
                  <w:tcW w:w="795" w:type="pct"/>
                  <w:vAlign w:val="center"/>
                </w:tcPr>
                <w:p w14:paraId="0F6FF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w:t>
                  </w:r>
                </w:p>
              </w:tc>
              <w:tc>
                <w:tcPr>
                  <w:tcW w:w="707" w:type="pct"/>
                  <w:vAlign w:val="center"/>
                </w:tcPr>
                <w:p w14:paraId="33D05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3.14</w:t>
                  </w:r>
                </w:p>
              </w:tc>
              <w:tc>
                <w:tcPr>
                  <w:tcW w:w="442" w:type="pct"/>
                  <w:vAlign w:val="center"/>
                </w:tcPr>
                <w:p w14:paraId="68DC8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4947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003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D8E2B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4C32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707" w:type="pct"/>
                  <w:vAlign w:val="center"/>
                </w:tcPr>
                <w:p w14:paraId="7D5F6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96.6</w:t>
                  </w:r>
                </w:p>
              </w:tc>
              <w:tc>
                <w:tcPr>
                  <w:tcW w:w="795" w:type="pct"/>
                  <w:vAlign w:val="center"/>
                </w:tcPr>
                <w:p w14:paraId="1E1B7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97.2</w:t>
                  </w:r>
                </w:p>
              </w:tc>
              <w:tc>
                <w:tcPr>
                  <w:tcW w:w="707" w:type="pct"/>
                  <w:vAlign w:val="center"/>
                </w:tcPr>
                <w:p w14:paraId="48427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97.8</w:t>
                  </w:r>
                </w:p>
              </w:tc>
              <w:tc>
                <w:tcPr>
                  <w:tcW w:w="442" w:type="pct"/>
                  <w:vAlign w:val="center"/>
                </w:tcPr>
                <w:p w14:paraId="2EA0B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0B5F4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581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E6A9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4CC1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707" w:type="pct"/>
                  <w:vAlign w:val="center"/>
                </w:tcPr>
                <w:p w14:paraId="49D81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34.6</w:t>
                  </w:r>
                </w:p>
              </w:tc>
              <w:tc>
                <w:tcPr>
                  <w:tcW w:w="795" w:type="pct"/>
                  <w:vAlign w:val="center"/>
                </w:tcPr>
                <w:p w14:paraId="7A77B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34.8</w:t>
                  </w:r>
                </w:p>
              </w:tc>
              <w:tc>
                <w:tcPr>
                  <w:tcW w:w="707" w:type="pct"/>
                  <w:vAlign w:val="center"/>
                </w:tcPr>
                <w:p w14:paraId="40BC2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42" w:type="pct"/>
                  <w:vAlign w:val="center"/>
                </w:tcPr>
                <w:p w14:paraId="40417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51D40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CC0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2E792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1D5F7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707" w:type="pct"/>
                  <w:vAlign w:val="center"/>
                </w:tcPr>
                <w:p w14:paraId="5A521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795" w:type="pct"/>
                  <w:vAlign w:val="center"/>
                </w:tcPr>
                <w:p w14:paraId="4DA4B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707" w:type="pct"/>
                  <w:vAlign w:val="center"/>
                </w:tcPr>
                <w:p w14:paraId="36B0A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442" w:type="pct"/>
                  <w:vAlign w:val="center"/>
                </w:tcPr>
                <w:p w14:paraId="5E7FF1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67672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036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E2E0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58806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707" w:type="pct"/>
                  <w:vAlign w:val="center"/>
                </w:tcPr>
                <w:p w14:paraId="01630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192</w:t>
                  </w:r>
                </w:p>
              </w:tc>
              <w:tc>
                <w:tcPr>
                  <w:tcW w:w="795" w:type="pct"/>
                  <w:vAlign w:val="center"/>
                </w:tcPr>
                <w:p w14:paraId="64A70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w:t>
                  </w:r>
                </w:p>
              </w:tc>
              <w:tc>
                <w:tcPr>
                  <w:tcW w:w="707" w:type="pct"/>
                  <w:vAlign w:val="center"/>
                </w:tcPr>
                <w:p w14:paraId="3CB36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w:t>
                  </w:r>
                </w:p>
              </w:tc>
              <w:tc>
                <w:tcPr>
                  <w:tcW w:w="442" w:type="pct"/>
                  <w:vAlign w:val="center"/>
                </w:tcPr>
                <w:p w14:paraId="318E6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1EAA5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C27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38AF9D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732F0E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707" w:type="pct"/>
                  <w:vAlign w:val="center"/>
                </w:tcPr>
                <w:p w14:paraId="0B33A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795" w:type="pct"/>
                  <w:vAlign w:val="center"/>
                </w:tcPr>
                <w:p w14:paraId="1B477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707" w:type="pct"/>
                  <w:vAlign w:val="center"/>
                </w:tcPr>
                <w:p w14:paraId="08D4E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442" w:type="pct"/>
                  <w:vAlign w:val="center"/>
                </w:tcPr>
                <w:p w14:paraId="6C101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0E7D7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5FF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Merge w:val="continue"/>
                  <w:vAlign w:val="center"/>
                </w:tcPr>
                <w:p w14:paraId="75D65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64" w:type="pct"/>
                  <w:vAlign w:val="center"/>
                </w:tcPr>
                <w:p w14:paraId="623A1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707" w:type="pct"/>
                  <w:vAlign w:val="center"/>
                </w:tcPr>
                <w:p w14:paraId="56B08D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w:t>
                  </w:r>
                </w:p>
              </w:tc>
              <w:tc>
                <w:tcPr>
                  <w:tcW w:w="795" w:type="pct"/>
                  <w:vAlign w:val="center"/>
                </w:tcPr>
                <w:p w14:paraId="36B7F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w:t>
                  </w:r>
                </w:p>
              </w:tc>
              <w:tc>
                <w:tcPr>
                  <w:tcW w:w="707" w:type="pct"/>
                  <w:vAlign w:val="center"/>
                </w:tcPr>
                <w:p w14:paraId="33673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w:t>
                  </w:r>
                </w:p>
              </w:tc>
              <w:tc>
                <w:tcPr>
                  <w:tcW w:w="442" w:type="pct"/>
                  <w:vAlign w:val="center"/>
                </w:tcPr>
                <w:p w14:paraId="0A5023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4" w:type="pct"/>
                  <w:vAlign w:val="center"/>
                </w:tcPr>
                <w:p w14:paraId="7D7CC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87A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920" w:type="pct"/>
                  <w:vAlign w:val="center"/>
                </w:tcPr>
                <w:p w14:paraId="1D57A3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 注</w:t>
                  </w:r>
                </w:p>
              </w:tc>
              <w:tc>
                <w:tcPr>
                  <w:tcW w:w="4080" w:type="pct"/>
                  <w:gridSpan w:val="6"/>
                  <w:vAlign w:val="center"/>
                </w:tcPr>
                <w:p w14:paraId="4A911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1.检测结果低于检出限时，该项检测结果以“检出限+L”或“未检出”表示。</w:t>
                  </w:r>
                </w:p>
              </w:tc>
            </w:tr>
          </w:tbl>
          <w:p w14:paraId="1886DAB3">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color w:val="auto"/>
                <w:sz w:val="24"/>
              </w:rPr>
              <w:t>根据</w:t>
            </w:r>
            <w:r>
              <w:rPr>
                <w:rFonts w:hint="eastAsia"/>
                <w:color w:val="auto"/>
                <w:sz w:val="24"/>
                <w:lang w:val="en-US" w:eastAsia="zh-CN"/>
              </w:rPr>
              <w:t>引用监测数据</w:t>
            </w:r>
            <w:r>
              <w:rPr>
                <w:color w:val="auto"/>
                <w:sz w:val="24"/>
              </w:rPr>
              <w:t>，本项目所在区域地下水均能达到《地下水质量标准》（GB/T14848-2017）Ⅲ类水质标准</w:t>
            </w:r>
            <w:r>
              <w:rPr>
                <w:bCs/>
                <w:color w:val="auto"/>
                <w:sz w:val="24"/>
              </w:rPr>
              <w:t>。</w:t>
            </w:r>
          </w:p>
        </w:tc>
      </w:tr>
      <w:tr w14:paraId="76E0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2B6E3A6">
            <w:pPr>
              <w:jc w:val="center"/>
              <w:rPr>
                <w:rFonts w:hint="eastAsia"/>
                <w:color w:val="auto"/>
                <w:vertAlign w:val="baseline"/>
                <w:lang w:val="en-US" w:eastAsia="zh-CN"/>
              </w:rPr>
            </w:pPr>
            <w:r>
              <w:rPr>
                <w:rFonts w:hint="default"/>
                <w:color w:val="auto"/>
                <w:kern w:val="0"/>
              </w:rPr>
              <w:t>环境保护目标</w:t>
            </w:r>
          </w:p>
        </w:tc>
        <w:tc>
          <w:tcPr>
            <w:tcW w:w="7988" w:type="dxa"/>
            <w:vAlign w:val="top"/>
          </w:tcPr>
          <w:p w14:paraId="461BD68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rPr>
            </w:pPr>
            <w:r>
              <w:rPr>
                <w:rFonts w:hint="eastAsia"/>
                <w:color w:val="auto"/>
                <w:kern w:val="0"/>
              </w:rPr>
              <w:t>根据现场调查，区域内无自然保护区、水源保护区、文教敏感区、国家和地方级文物古迹、珍稀动植物保护物种等。</w:t>
            </w:r>
          </w:p>
          <w:p w14:paraId="67FA292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1、大气环境保护目标</w:t>
            </w:r>
          </w:p>
          <w:p w14:paraId="69A05822">
            <w:pPr>
              <w:keepNext w:val="0"/>
              <w:keepLines w:val="0"/>
              <w:suppressLineNumbers w:val="0"/>
              <w:spacing w:before="0" w:beforeAutospacing="0" w:after="0" w:afterAutospacing="0"/>
              <w:ind w:left="0" w:right="0" w:firstLine="480" w:firstLineChars="200"/>
              <w:contextualSpacing/>
              <w:rPr>
                <w:rFonts w:hint="eastAsia" w:eastAsia="宋体"/>
                <w:color w:val="auto"/>
                <w:kern w:val="0"/>
                <w:lang w:eastAsia="zh-CN"/>
              </w:rPr>
            </w:pPr>
            <w:r>
              <w:rPr>
                <w:rFonts w:hint="eastAsia"/>
                <w:color w:val="auto"/>
                <w:kern w:val="0"/>
              </w:rPr>
              <w:t>本项目厂界外500米范围内</w:t>
            </w:r>
            <w:r>
              <w:rPr>
                <w:rFonts w:hint="eastAsia"/>
                <w:color w:val="auto"/>
                <w:kern w:val="0"/>
                <w:lang w:val="en-US" w:eastAsia="zh-CN"/>
              </w:rPr>
              <w:t>主要分布</w:t>
            </w:r>
            <w:r>
              <w:rPr>
                <w:rFonts w:hint="eastAsia"/>
                <w:color w:val="auto"/>
                <w:lang w:val="en-US" w:eastAsia="zh-CN"/>
              </w:rPr>
              <w:t>化工、轮胎汽修等企业</w:t>
            </w:r>
            <w:r>
              <w:rPr>
                <w:rFonts w:hint="eastAsia"/>
                <w:color w:val="auto"/>
                <w:kern w:val="0"/>
                <w:lang w:val="en-US" w:eastAsia="zh-CN"/>
              </w:rPr>
              <w:t>，涉及</w:t>
            </w:r>
            <w:r>
              <w:rPr>
                <w:rFonts w:hint="eastAsia"/>
                <w:color w:val="auto"/>
                <w:kern w:val="0"/>
              </w:rPr>
              <w:t>大气环境保护目标</w:t>
            </w:r>
            <w:r>
              <w:rPr>
                <w:rFonts w:hint="eastAsia"/>
                <w:color w:val="auto"/>
                <w:kern w:val="0"/>
                <w:lang w:val="en-US" w:eastAsia="zh-CN"/>
              </w:rPr>
              <w:t>为西侧230m处的寻甸特色产业园区居民搬迁安置小区和项目南侧230m处的寻甸同和精神病医院</w:t>
            </w:r>
            <w:r>
              <w:rPr>
                <w:rFonts w:hint="eastAsia"/>
                <w:color w:val="auto"/>
                <w:kern w:val="0"/>
              </w:rPr>
              <w:t>。</w:t>
            </w:r>
          </w:p>
          <w:p w14:paraId="7687824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2、声环境保护目标</w:t>
            </w:r>
          </w:p>
          <w:p w14:paraId="46A89E91">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olor w:val="auto"/>
                <w:kern w:val="0"/>
              </w:rPr>
              <w:t>根据现场踏勘，项目厂界外周边</w:t>
            </w:r>
            <w:r>
              <w:rPr>
                <w:rFonts w:hint="default"/>
                <w:color w:val="auto"/>
                <w:kern w:val="0"/>
              </w:rPr>
              <w:t>50m</w:t>
            </w:r>
            <w:r>
              <w:rPr>
                <w:rFonts w:hint="eastAsia" w:ascii="宋体" w:hAnsi="宋体"/>
                <w:color w:val="auto"/>
                <w:kern w:val="0"/>
              </w:rPr>
              <w:t>范围内无声环境保护目标。</w:t>
            </w:r>
          </w:p>
          <w:p w14:paraId="2780BD80">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3、地表水环境保护目标</w:t>
            </w:r>
          </w:p>
          <w:p w14:paraId="52D80C4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本项目涉及</w:t>
            </w:r>
            <w:r>
              <w:rPr>
                <w:rFonts w:hint="default"/>
                <w:color w:val="auto"/>
                <w:kern w:val="0"/>
              </w:rPr>
              <w:t>的地表水体主要为</w:t>
            </w:r>
            <w:r>
              <w:rPr>
                <w:rFonts w:hint="default" w:ascii="Times New Roman" w:hAnsi="Times New Roman" w:eastAsia="宋体" w:cs="Times New Roman"/>
                <w:color w:val="auto"/>
                <w:spacing w:val="0"/>
                <w:kern w:val="0"/>
                <w:sz w:val="24"/>
                <w:highlight w:val="none"/>
              </w:rPr>
              <w:t>南侧</w:t>
            </w:r>
            <w:r>
              <w:rPr>
                <w:rFonts w:hint="default" w:ascii="Times New Roman" w:hAnsi="Times New Roman" w:eastAsia="宋体" w:cs="Times New Roman"/>
                <w:color w:val="auto"/>
                <w:spacing w:val="0"/>
                <w:kern w:val="0"/>
                <w:sz w:val="24"/>
                <w:highlight w:val="none"/>
                <w:lang w:val="en-US" w:eastAsia="zh-CN"/>
              </w:rPr>
              <w:t>1</w:t>
            </w:r>
            <w:r>
              <w:rPr>
                <w:rFonts w:hint="eastAsia" w:ascii="Times New Roman" w:hAnsi="Times New Roman" w:eastAsia="宋体" w:cs="Times New Roman"/>
                <w:color w:val="auto"/>
                <w:spacing w:val="0"/>
                <w:kern w:val="0"/>
                <w:sz w:val="24"/>
                <w:highlight w:val="none"/>
                <w:lang w:val="en-US" w:eastAsia="zh-CN"/>
              </w:rPr>
              <w:t>68</w:t>
            </w:r>
            <w:r>
              <w:rPr>
                <w:rFonts w:hint="default" w:ascii="Times New Roman" w:hAnsi="Times New Roman" w:eastAsia="宋体" w:cs="Times New Roman"/>
                <w:color w:val="auto"/>
                <w:spacing w:val="0"/>
                <w:kern w:val="0"/>
                <w:sz w:val="24"/>
                <w:highlight w:val="none"/>
              </w:rPr>
              <w:t>0m处的</w:t>
            </w:r>
            <w:r>
              <w:rPr>
                <w:rFonts w:hint="default" w:ascii="Times New Roman" w:hAnsi="Times New Roman" w:eastAsia="宋体" w:cs="Times New Roman"/>
                <w:color w:val="auto"/>
                <w:spacing w:val="0"/>
                <w:sz w:val="24"/>
                <w:highlight w:val="none"/>
              </w:rPr>
              <w:t>潘所海</w:t>
            </w:r>
            <w:r>
              <w:rPr>
                <w:rFonts w:hint="default"/>
                <w:color w:val="auto"/>
                <w:kern w:val="0"/>
              </w:rPr>
              <w:t>，按《地表水环境质量标准》（GB3838-2002）Ⅲ类进行保护。</w:t>
            </w:r>
          </w:p>
          <w:p w14:paraId="67B0FB18">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default"/>
                <w:b/>
                <w:color w:val="auto"/>
                <w:kern w:val="0"/>
              </w:rPr>
              <w:t>4、地下水保护目标</w:t>
            </w:r>
          </w:p>
          <w:p w14:paraId="1BBF02B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根据现场踏勘，本项目厂界外500米范围内无地下水集中式饮用水水源和热水、矿泉水、温泉等特殊地下水资源。</w:t>
            </w:r>
          </w:p>
          <w:p w14:paraId="6FBE0C8E">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5、生态环境</w:t>
            </w:r>
          </w:p>
          <w:p w14:paraId="22E32B3A">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本项目位于</w:t>
            </w:r>
            <w:r>
              <w:rPr>
                <w:rFonts w:hint="eastAsia"/>
                <w:color w:val="auto"/>
                <w:vertAlign w:val="baseline"/>
                <w:lang w:val="en-US" w:eastAsia="zh-CN"/>
              </w:rPr>
              <w:t>云南省昆明市寻甸县特色产业园区金所片区</w:t>
            </w:r>
            <w:r>
              <w:rPr>
                <w:rFonts w:hint="eastAsia"/>
                <w:color w:val="auto"/>
                <w:kern w:val="0"/>
              </w:rPr>
              <w:t>，属于规划的工业园区，不涉及园区外用地，不涉及生态保护目标。</w:t>
            </w:r>
          </w:p>
          <w:p w14:paraId="11805CF4">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项目环境保护目标见下表。</w:t>
            </w:r>
          </w:p>
          <w:p w14:paraId="64BE0943">
            <w:pPr>
              <w:jc w:val="center"/>
              <w:rPr>
                <w:rFonts w:eastAsia="Times New Roman"/>
                <w:b/>
                <w:color w:val="auto"/>
                <w:kern w:val="0"/>
                <w:sz w:val="21"/>
                <w:szCs w:val="21"/>
              </w:rPr>
            </w:pPr>
            <w:r>
              <w:rPr>
                <w:rFonts w:hint="eastAsia" w:ascii="宋体" w:hAnsi="宋体" w:eastAsia="Times New Roman"/>
                <w:b/>
                <w:color w:val="auto"/>
                <w:kern w:val="0"/>
                <w:sz w:val="21"/>
                <w:szCs w:val="21"/>
              </w:rPr>
              <w:t>表</w:t>
            </w:r>
            <w:r>
              <w:rPr>
                <w:rFonts w:hint="eastAsia" w:eastAsia="Times New Roman"/>
                <w:b/>
                <w:color w:val="auto"/>
                <w:kern w:val="0"/>
                <w:sz w:val="21"/>
                <w:szCs w:val="21"/>
              </w:rPr>
              <w:t>3-</w:t>
            </w:r>
            <w:r>
              <w:rPr>
                <w:rFonts w:hint="eastAsia" w:eastAsia="宋体"/>
                <w:b/>
                <w:color w:val="auto"/>
                <w:kern w:val="0"/>
                <w:sz w:val="21"/>
                <w:szCs w:val="21"/>
                <w:lang w:val="en-US" w:eastAsia="zh-CN"/>
              </w:rPr>
              <w:t>3</w:t>
            </w:r>
            <w:r>
              <w:rPr>
                <w:rFonts w:hint="eastAsia" w:eastAsia="Times New Roman"/>
                <w:b/>
                <w:color w:val="auto"/>
                <w:kern w:val="0"/>
                <w:sz w:val="21"/>
                <w:szCs w:val="21"/>
              </w:rPr>
              <w:t xml:space="preserve"> 大气</w:t>
            </w:r>
            <w:r>
              <w:rPr>
                <w:rFonts w:hint="eastAsia" w:ascii="宋体" w:hAnsi="宋体" w:eastAsia="Times New Roman"/>
                <w:b/>
                <w:color w:val="auto"/>
                <w:kern w:val="0"/>
                <w:sz w:val="21"/>
                <w:szCs w:val="21"/>
              </w:rPr>
              <w:t>环境保护目标一览表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03"/>
              <w:gridCol w:w="1132"/>
              <w:gridCol w:w="1094"/>
              <w:gridCol w:w="944"/>
              <w:gridCol w:w="552"/>
              <w:gridCol w:w="1838"/>
            </w:tblGrid>
            <w:tr w14:paraId="585F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bottom w:val="single" w:color="auto" w:sz="4" w:space="0"/>
                    <w:right w:val="single" w:color="auto" w:sz="4" w:space="0"/>
                  </w:tcBorders>
                  <w:vAlign w:val="center"/>
                </w:tcPr>
                <w:p w14:paraId="2B8401BF">
                  <w:pPr>
                    <w:spacing w:line="240" w:lineRule="auto"/>
                    <w:contextualSpacing/>
                    <w:jc w:val="center"/>
                    <w:rPr>
                      <w:rFonts w:eastAsia="Times New Roman"/>
                      <w:b/>
                      <w:color w:val="auto"/>
                      <w:sz w:val="21"/>
                      <w:szCs w:val="21"/>
                    </w:rPr>
                  </w:pPr>
                  <w:r>
                    <w:rPr>
                      <w:rFonts w:eastAsia="Times New Roman"/>
                      <w:b/>
                      <w:color w:val="auto"/>
                      <w:kern w:val="0"/>
                      <w:sz w:val="21"/>
                      <w:szCs w:val="21"/>
                    </w:rPr>
                    <w:t>保护类别</w:t>
                  </w:r>
                </w:p>
              </w:tc>
              <w:tc>
                <w:tcPr>
                  <w:tcW w:w="1503" w:type="dxa"/>
                  <w:vMerge w:val="restart"/>
                  <w:tcBorders>
                    <w:top w:val="single" w:color="auto" w:sz="4" w:space="0"/>
                    <w:left w:val="nil"/>
                    <w:bottom w:val="single" w:color="auto" w:sz="4" w:space="0"/>
                    <w:right w:val="single" w:color="auto" w:sz="4" w:space="0"/>
                  </w:tcBorders>
                  <w:vAlign w:val="center"/>
                </w:tcPr>
                <w:p w14:paraId="61E3E635">
                  <w:pPr>
                    <w:spacing w:line="240" w:lineRule="auto"/>
                    <w:contextualSpacing/>
                    <w:jc w:val="center"/>
                    <w:rPr>
                      <w:rFonts w:eastAsia="Times New Roman"/>
                      <w:b/>
                      <w:color w:val="auto"/>
                      <w:sz w:val="21"/>
                      <w:szCs w:val="21"/>
                    </w:rPr>
                  </w:pPr>
                  <w:r>
                    <w:rPr>
                      <w:rFonts w:eastAsia="Times New Roman"/>
                      <w:b/>
                      <w:color w:val="auto"/>
                      <w:kern w:val="0"/>
                      <w:sz w:val="21"/>
                      <w:szCs w:val="21"/>
                    </w:rPr>
                    <w:t>名称</w:t>
                  </w:r>
                </w:p>
              </w:tc>
              <w:tc>
                <w:tcPr>
                  <w:tcW w:w="2226" w:type="dxa"/>
                  <w:gridSpan w:val="2"/>
                  <w:tcBorders>
                    <w:top w:val="single" w:color="auto" w:sz="4" w:space="0"/>
                    <w:left w:val="nil"/>
                    <w:bottom w:val="single" w:color="auto" w:sz="4" w:space="0"/>
                    <w:right w:val="single" w:color="auto" w:sz="4" w:space="0"/>
                  </w:tcBorders>
                  <w:vAlign w:val="center"/>
                </w:tcPr>
                <w:p w14:paraId="33C5F2BF">
                  <w:pPr>
                    <w:spacing w:line="240" w:lineRule="auto"/>
                    <w:contextualSpacing/>
                    <w:jc w:val="center"/>
                    <w:rPr>
                      <w:rFonts w:eastAsia="Times New Roman"/>
                      <w:b/>
                      <w:color w:val="auto"/>
                      <w:sz w:val="21"/>
                      <w:szCs w:val="21"/>
                    </w:rPr>
                  </w:pPr>
                  <w:r>
                    <w:rPr>
                      <w:rFonts w:eastAsia="Times New Roman"/>
                      <w:b/>
                      <w:color w:val="auto"/>
                      <w:kern w:val="0"/>
                      <w:sz w:val="21"/>
                      <w:szCs w:val="21"/>
                    </w:rPr>
                    <w:t>坐标</w:t>
                  </w:r>
                </w:p>
              </w:tc>
              <w:tc>
                <w:tcPr>
                  <w:tcW w:w="944" w:type="dxa"/>
                  <w:vMerge w:val="restart"/>
                  <w:tcBorders>
                    <w:top w:val="single" w:color="auto" w:sz="4" w:space="0"/>
                    <w:left w:val="nil"/>
                    <w:bottom w:val="single" w:color="auto" w:sz="4" w:space="0"/>
                    <w:right w:val="single" w:color="auto" w:sz="4" w:space="0"/>
                  </w:tcBorders>
                  <w:vAlign w:val="center"/>
                </w:tcPr>
                <w:p w14:paraId="70400AF1">
                  <w:pPr>
                    <w:spacing w:line="240" w:lineRule="auto"/>
                    <w:contextualSpacing/>
                    <w:jc w:val="center"/>
                    <w:rPr>
                      <w:rFonts w:eastAsia="Times New Roman"/>
                      <w:b/>
                      <w:color w:val="auto"/>
                      <w:sz w:val="21"/>
                      <w:szCs w:val="21"/>
                    </w:rPr>
                  </w:pPr>
                  <w:r>
                    <w:rPr>
                      <w:rFonts w:eastAsia="Times New Roman"/>
                      <w:b/>
                      <w:color w:val="auto"/>
                      <w:kern w:val="0"/>
                      <w:sz w:val="21"/>
                      <w:szCs w:val="21"/>
                    </w:rPr>
                    <w:t>最近点距离</w:t>
                  </w:r>
                </w:p>
              </w:tc>
              <w:tc>
                <w:tcPr>
                  <w:tcW w:w="552" w:type="dxa"/>
                  <w:vMerge w:val="restart"/>
                  <w:tcBorders>
                    <w:top w:val="single" w:color="auto" w:sz="4" w:space="0"/>
                    <w:left w:val="nil"/>
                    <w:bottom w:val="single" w:color="auto" w:sz="4" w:space="0"/>
                    <w:right w:val="single" w:color="auto" w:sz="4" w:space="0"/>
                  </w:tcBorders>
                  <w:vAlign w:val="center"/>
                </w:tcPr>
                <w:p w14:paraId="7AFDC7DF">
                  <w:pPr>
                    <w:spacing w:line="240" w:lineRule="auto"/>
                    <w:contextualSpacing/>
                    <w:jc w:val="center"/>
                    <w:rPr>
                      <w:rFonts w:eastAsia="Times New Roman"/>
                      <w:b/>
                      <w:color w:val="auto"/>
                      <w:sz w:val="21"/>
                      <w:szCs w:val="21"/>
                    </w:rPr>
                  </w:pPr>
                  <w:r>
                    <w:rPr>
                      <w:rFonts w:eastAsia="Times New Roman"/>
                      <w:b/>
                      <w:color w:val="auto"/>
                      <w:kern w:val="0"/>
                      <w:sz w:val="21"/>
                      <w:szCs w:val="21"/>
                    </w:rPr>
                    <w:t>规模</w:t>
                  </w:r>
                </w:p>
              </w:tc>
              <w:tc>
                <w:tcPr>
                  <w:tcW w:w="1838" w:type="dxa"/>
                  <w:vMerge w:val="restart"/>
                  <w:tcBorders>
                    <w:top w:val="single" w:color="auto" w:sz="4" w:space="0"/>
                    <w:left w:val="nil"/>
                    <w:bottom w:val="single" w:color="auto" w:sz="4" w:space="0"/>
                    <w:right w:val="single" w:color="auto" w:sz="4" w:space="0"/>
                  </w:tcBorders>
                  <w:vAlign w:val="center"/>
                </w:tcPr>
                <w:p w14:paraId="3AD0968D">
                  <w:pPr>
                    <w:spacing w:line="240" w:lineRule="auto"/>
                    <w:contextualSpacing/>
                    <w:jc w:val="center"/>
                    <w:rPr>
                      <w:rFonts w:eastAsia="Times New Roman"/>
                      <w:b/>
                      <w:color w:val="auto"/>
                      <w:sz w:val="21"/>
                      <w:szCs w:val="21"/>
                    </w:rPr>
                  </w:pPr>
                  <w:r>
                    <w:rPr>
                      <w:rFonts w:eastAsia="Times New Roman"/>
                      <w:b/>
                      <w:color w:val="auto"/>
                      <w:kern w:val="0"/>
                      <w:sz w:val="21"/>
                      <w:szCs w:val="21"/>
                    </w:rPr>
                    <w:t>保护级别</w:t>
                  </w:r>
                </w:p>
              </w:tc>
            </w:tr>
            <w:tr w14:paraId="5F19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top w:val="single" w:color="auto" w:sz="4" w:space="0"/>
                    <w:left w:val="single" w:color="auto" w:sz="4" w:space="0"/>
                    <w:bottom w:val="single" w:color="auto" w:sz="4" w:space="0"/>
                    <w:right w:val="single" w:color="auto" w:sz="4" w:space="0"/>
                  </w:tcBorders>
                  <w:vAlign w:val="center"/>
                </w:tcPr>
                <w:p w14:paraId="3598F9D1">
                  <w:pPr>
                    <w:widowControl/>
                    <w:spacing w:line="240" w:lineRule="auto"/>
                    <w:contextualSpacing/>
                    <w:jc w:val="center"/>
                    <w:rPr>
                      <w:rFonts w:eastAsia="Times New Roman"/>
                      <w:b/>
                      <w:color w:val="auto"/>
                      <w:sz w:val="21"/>
                      <w:szCs w:val="21"/>
                    </w:rPr>
                  </w:pPr>
                </w:p>
              </w:tc>
              <w:tc>
                <w:tcPr>
                  <w:tcW w:w="1503" w:type="dxa"/>
                  <w:vMerge w:val="continue"/>
                  <w:tcBorders>
                    <w:top w:val="single" w:color="auto" w:sz="4" w:space="0"/>
                    <w:left w:val="nil"/>
                    <w:bottom w:val="single" w:color="auto" w:sz="4" w:space="0"/>
                    <w:right w:val="single" w:color="auto" w:sz="4" w:space="0"/>
                  </w:tcBorders>
                  <w:vAlign w:val="center"/>
                </w:tcPr>
                <w:p w14:paraId="5626FEF4">
                  <w:pPr>
                    <w:widowControl/>
                    <w:spacing w:line="240" w:lineRule="auto"/>
                    <w:contextualSpacing/>
                    <w:jc w:val="center"/>
                    <w:rPr>
                      <w:rFonts w:eastAsia="Times New Roman"/>
                      <w:b/>
                      <w:color w:val="auto"/>
                      <w:sz w:val="21"/>
                      <w:szCs w:val="21"/>
                    </w:rPr>
                  </w:pPr>
                </w:p>
              </w:tc>
              <w:tc>
                <w:tcPr>
                  <w:tcW w:w="1132" w:type="dxa"/>
                  <w:tcBorders>
                    <w:top w:val="single" w:color="auto" w:sz="4" w:space="0"/>
                    <w:left w:val="nil"/>
                    <w:bottom w:val="single" w:color="auto" w:sz="4" w:space="0"/>
                    <w:right w:val="single" w:color="auto" w:sz="4" w:space="0"/>
                  </w:tcBorders>
                  <w:vAlign w:val="center"/>
                </w:tcPr>
                <w:p w14:paraId="33328D4E">
                  <w:pPr>
                    <w:spacing w:line="240" w:lineRule="auto"/>
                    <w:contextualSpacing/>
                    <w:jc w:val="center"/>
                    <w:rPr>
                      <w:rFonts w:eastAsia="Times New Roman"/>
                      <w:b/>
                      <w:color w:val="auto"/>
                      <w:sz w:val="21"/>
                      <w:szCs w:val="21"/>
                    </w:rPr>
                  </w:pPr>
                  <w:r>
                    <w:rPr>
                      <w:rFonts w:eastAsia="Times New Roman"/>
                      <w:b/>
                      <w:color w:val="auto"/>
                      <w:kern w:val="0"/>
                      <w:sz w:val="21"/>
                      <w:szCs w:val="21"/>
                    </w:rPr>
                    <w:t>东经</w:t>
                  </w:r>
                </w:p>
              </w:tc>
              <w:tc>
                <w:tcPr>
                  <w:tcW w:w="1094" w:type="dxa"/>
                  <w:tcBorders>
                    <w:top w:val="single" w:color="auto" w:sz="4" w:space="0"/>
                    <w:left w:val="nil"/>
                    <w:bottom w:val="single" w:color="auto" w:sz="4" w:space="0"/>
                    <w:right w:val="single" w:color="auto" w:sz="4" w:space="0"/>
                  </w:tcBorders>
                  <w:vAlign w:val="center"/>
                </w:tcPr>
                <w:p w14:paraId="1FAA4EAD">
                  <w:pPr>
                    <w:spacing w:line="240" w:lineRule="auto"/>
                    <w:contextualSpacing/>
                    <w:jc w:val="center"/>
                    <w:rPr>
                      <w:rFonts w:eastAsia="Times New Roman"/>
                      <w:b/>
                      <w:color w:val="auto"/>
                      <w:sz w:val="21"/>
                      <w:szCs w:val="21"/>
                    </w:rPr>
                  </w:pPr>
                  <w:r>
                    <w:rPr>
                      <w:rFonts w:eastAsia="Times New Roman"/>
                      <w:b/>
                      <w:color w:val="auto"/>
                      <w:kern w:val="0"/>
                      <w:sz w:val="21"/>
                      <w:szCs w:val="21"/>
                    </w:rPr>
                    <w:t>北纬</w:t>
                  </w:r>
                </w:p>
              </w:tc>
              <w:tc>
                <w:tcPr>
                  <w:tcW w:w="944" w:type="dxa"/>
                  <w:vMerge w:val="continue"/>
                  <w:tcBorders>
                    <w:top w:val="single" w:color="auto" w:sz="4" w:space="0"/>
                    <w:left w:val="nil"/>
                    <w:bottom w:val="single" w:color="auto" w:sz="4" w:space="0"/>
                    <w:right w:val="single" w:color="auto" w:sz="4" w:space="0"/>
                  </w:tcBorders>
                  <w:vAlign w:val="center"/>
                </w:tcPr>
                <w:p w14:paraId="536EEAFF">
                  <w:pPr>
                    <w:widowControl/>
                    <w:spacing w:line="240" w:lineRule="auto"/>
                    <w:contextualSpacing/>
                    <w:jc w:val="center"/>
                    <w:rPr>
                      <w:rFonts w:eastAsia="Times New Roman"/>
                      <w:b/>
                      <w:color w:val="auto"/>
                      <w:sz w:val="21"/>
                      <w:szCs w:val="21"/>
                    </w:rPr>
                  </w:pPr>
                </w:p>
              </w:tc>
              <w:tc>
                <w:tcPr>
                  <w:tcW w:w="552" w:type="dxa"/>
                  <w:vMerge w:val="continue"/>
                  <w:tcBorders>
                    <w:top w:val="single" w:color="auto" w:sz="4" w:space="0"/>
                    <w:left w:val="nil"/>
                    <w:bottom w:val="single" w:color="auto" w:sz="4" w:space="0"/>
                    <w:right w:val="single" w:color="auto" w:sz="4" w:space="0"/>
                  </w:tcBorders>
                  <w:vAlign w:val="center"/>
                </w:tcPr>
                <w:p w14:paraId="5102DCC2">
                  <w:pPr>
                    <w:widowControl/>
                    <w:spacing w:line="240" w:lineRule="auto"/>
                    <w:contextualSpacing/>
                    <w:jc w:val="center"/>
                    <w:rPr>
                      <w:rFonts w:eastAsia="Times New Roman"/>
                      <w:b/>
                      <w:color w:val="auto"/>
                      <w:sz w:val="21"/>
                      <w:szCs w:val="21"/>
                    </w:rPr>
                  </w:pPr>
                </w:p>
              </w:tc>
              <w:tc>
                <w:tcPr>
                  <w:tcW w:w="1838" w:type="dxa"/>
                  <w:vMerge w:val="continue"/>
                  <w:tcBorders>
                    <w:top w:val="single" w:color="auto" w:sz="4" w:space="0"/>
                    <w:left w:val="nil"/>
                    <w:bottom w:val="single" w:color="auto" w:sz="4" w:space="0"/>
                    <w:right w:val="single" w:color="auto" w:sz="4" w:space="0"/>
                  </w:tcBorders>
                  <w:vAlign w:val="center"/>
                </w:tcPr>
                <w:p w14:paraId="3982E356">
                  <w:pPr>
                    <w:widowControl/>
                    <w:spacing w:line="240" w:lineRule="auto"/>
                    <w:contextualSpacing/>
                    <w:jc w:val="center"/>
                    <w:rPr>
                      <w:rFonts w:eastAsia="Times New Roman"/>
                      <w:b/>
                      <w:color w:val="auto"/>
                      <w:sz w:val="21"/>
                      <w:szCs w:val="21"/>
                    </w:rPr>
                  </w:pPr>
                </w:p>
              </w:tc>
            </w:tr>
            <w:tr w14:paraId="47FB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right w:val="single" w:color="auto" w:sz="4" w:space="0"/>
                  </w:tcBorders>
                  <w:vAlign w:val="center"/>
                </w:tcPr>
                <w:p w14:paraId="3785CFCE">
                  <w:pPr>
                    <w:spacing w:line="240" w:lineRule="auto"/>
                    <w:contextualSpacing/>
                    <w:jc w:val="center"/>
                    <w:rPr>
                      <w:rFonts w:eastAsia="Times New Roman"/>
                      <w:color w:val="auto"/>
                      <w:kern w:val="0"/>
                      <w:sz w:val="21"/>
                      <w:szCs w:val="21"/>
                    </w:rPr>
                  </w:pPr>
                  <w:r>
                    <w:rPr>
                      <w:rFonts w:eastAsia="Times New Roman"/>
                      <w:color w:val="auto"/>
                      <w:kern w:val="0"/>
                      <w:sz w:val="21"/>
                      <w:szCs w:val="21"/>
                    </w:rPr>
                    <w:t>大气环境</w:t>
                  </w:r>
                </w:p>
              </w:tc>
              <w:tc>
                <w:tcPr>
                  <w:tcW w:w="1503" w:type="dxa"/>
                  <w:tcBorders>
                    <w:top w:val="single" w:color="auto" w:sz="4" w:space="0"/>
                    <w:left w:val="nil"/>
                    <w:bottom w:val="single" w:color="auto" w:sz="4" w:space="0"/>
                    <w:right w:val="single" w:color="auto" w:sz="4" w:space="0"/>
                  </w:tcBorders>
                  <w:vAlign w:val="center"/>
                </w:tcPr>
                <w:p w14:paraId="65EA01F8">
                  <w:pPr>
                    <w:spacing w:line="240" w:lineRule="auto"/>
                    <w:contextualSpacing/>
                    <w:jc w:val="center"/>
                    <w:rPr>
                      <w:rFonts w:eastAsia="Times New Roman"/>
                      <w:color w:val="auto"/>
                      <w:kern w:val="0"/>
                      <w:sz w:val="21"/>
                      <w:szCs w:val="21"/>
                    </w:rPr>
                  </w:pPr>
                  <w:r>
                    <w:rPr>
                      <w:rFonts w:hint="eastAsia" w:eastAsia="Times New Roman"/>
                      <w:color w:val="auto"/>
                      <w:kern w:val="0"/>
                      <w:sz w:val="21"/>
                      <w:szCs w:val="21"/>
                    </w:rPr>
                    <w:t>寻甸特色产业园区居民搬迁安置小区</w:t>
                  </w:r>
                </w:p>
              </w:tc>
              <w:tc>
                <w:tcPr>
                  <w:tcW w:w="1132" w:type="dxa"/>
                  <w:tcBorders>
                    <w:top w:val="single" w:color="auto" w:sz="4" w:space="0"/>
                    <w:left w:val="nil"/>
                    <w:bottom w:val="single" w:color="auto" w:sz="4" w:space="0"/>
                    <w:right w:val="single" w:color="auto" w:sz="4" w:space="0"/>
                  </w:tcBorders>
                  <w:vAlign w:val="center"/>
                </w:tcPr>
                <w:p w14:paraId="76D0516C">
                  <w:pPr>
                    <w:spacing w:line="240" w:lineRule="auto"/>
                    <w:contextualSpacing/>
                    <w:jc w:val="center"/>
                    <w:rPr>
                      <w:rFonts w:eastAsia="Times New Roman"/>
                      <w:color w:val="auto"/>
                      <w:kern w:val="0"/>
                      <w:sz w:val="21"/>
                      <w:szCs w:val="21"/>
                    </w:rPr>
                  </w:pPr>
                  <w:r>
                    <w:rPr>
                      <w:rFonts w:eastAsia="Times New Roman"/>
                      <w:color w:val="auto"/>
                      <w:kern w:val="0"/>
                      <w:sz w:val="21"/>
                      <w:szCs w:val="21"/>
                    </w:rPr>
                    <w:t>10</w:t>
                  </w:r>
                  <w:r>
                    <w:rPr>
                      <w:rFonts w:hint="eastAsia" w:eastAsia="宋体"/>
                      <w:color w:val="auto"/>
                      <w:kern w:val="0"/>
                      <w:sz w:val="21"/>
                      <w:szCs w:val="21"/>
                      <w:lang w:val="en-US" w:eastAsia="zh-CN"/>
                    </w:rPr>
                    <w:t>3</w:t>
                  </w:r>
                  <w:r>
                    <w:rPr>
                      <w:rFonts w:eastAsia="Times New Roman"/>
                      <w:color w:val="auto"/>
                      <w:kern w:val="0"/>
                      <w:sz w:val="21"/>
                      <w:szCs w:val="21"/>
                    </w:rPr>
                    <w:t>°</w:t>
                  </w:r>
                  <w:r>
                    <w:rPr>
                      <w:rFonts w:hint="eastAsia" w:eastAsia="宋体"/>
                      <w:color w:val="auto"/>
                      <w:kern w:val="0"/>
                      <w:sz w:val="21"/>
                      <w:szCs w:val="21"/>
                      <w:lang w:val="en-US" w:eastAsia="zh-CN"/>
                    </w:rPr>
                    <w:t>12</w:t>
                  </w:r>
                  <w:r>
                    <w:rPr>
                      <w:rFonts w:eastAsia="Times New Roman"/>
                      <w:color w:val="auto"/>
                      <w:kern w:val="0"/>
                      <w:sz w:val="21"/>
                      <w:szCs w:val="21"/>
                    </w:rPr>
                    <w:t>′</w:t>
                  </w:r>
                  <w:r>
                    <w:rPr>
                      <w:rFonts w:hint="eastAsia" w:eastAsia="宋体"/>
                      <w:color w:val="auto"/>
                      <w:kern w:val="0"/>
                      <w:sz w:val="21"/>
                      <w:szCs w:val="21"/>
                      <w:lang w:val="en-US" w:eastAsia="zh-CN"/>
                    </w:rPr>
                    <w:t>7.053</w:t>
                  </w:r>
                  <w:r>
                    <w:rPr>
                      <w:rFonts w:eastAsia="Times New Roman"/>
                      <w:color w:val="auto"/>
                      <w:kern w:val="0"/>
                      <w:sz w:val="21"/>
                      <w:szCs w:val="21"/>
                    </w:rPr>
                    <w:t>″</w:t>
                  </w:r>
                </w:p>
              </w:tc>
              <w:tc>
                <w:tcPr>
                  <w:tcW w:w="1094" w:type="dxa"/>
                  <w:tcBorders>
                    <w:top w:val="single" w:color="auto" w:sz="4" w:space="0"/>
                    <w:left w:val="nil"/>
                    <w:bottom w:val="single" w:color="auto" w:sz="4" w:space="0"/>
                    <w:right w:val="single" w:color="auto" w:sz="4" w:space="0"/>
                  </w:tcBorders>
                  <w:vAlign w:val="center"/>
                </w:tcPr>
                <w:p w14:paraId="68048923">
                  <w:pPr>
                    <w:spacing w:line="240" w:lineRule="auto"/>
                    <w:contextualSpacing/>
                    <w:jc w:val="center"/>
                    <w:rPr>
                      <w:rFonts w:eastAsia="Times New Roman"/>
                      <w:color w:val="auto"/>
                      <w:kern w:val="0"/>
                      <w:sz w:val="21"/>
                      <w:szCs w:val="21"/>
                    </w:rPr>
                  </w:pPr>
                  <w:r>
                    <w:rPr>
                      <w:rFonts w:eastAsia="Times New Roman"/>
                      <w:color w:val="auto"/>
                      <w:kern w:val="0"/>
                      <w:sz w:val="21"/>
                      <w:szCs w:val="21"/>
                    </w:rPr>
                    <w:t>2</w:t>
                  </w:r>
                  <w:r>
                    <w:rPr>
                      <w:rFonts w:hint="eastAsia" w:eastAsia="宋体"/>
                      <w:color w:val="auto"/>
                      <w:kern w:val="0"/>
                      <w:sz w:val="21"/>
                      <w:szCs w:val="21"/>
                      <w:lang w:val="en-US" w:eastAsia="zh-CN"/>
                    </w:rPr>
                    <w:t>5</w:t>
                  </w:r>
                  <w:r>
                    <w:rPr>
                      <w:rFonts w:eastAsia="Times New Roman"/>
                      <w:color w:val="auto"/>
                      <w:kern w:val="0"/>
                      <w:sz w:val="21"/>
                      <w:szCs w:val="21"/>
                    </w:rPr>
                    <w:t>°</w:t>
                  </w:r>
                  <w:r>
                    <w:rPr>
                      <w:rFonts w:hint="eastAsia" w:eastAsia="宋体"/>
                      <w:color w:val="auto"/>
                      <w:kern w:val="0"/>
                      <w:sz w:val="21"/>
                      <w:szCs w:val="21"/>
                      <w:lang w:val="en-US" w:eastAsia="zh-CN"/>
                    </w:rPr>
                    <w:t>33</w:t>
                  </w:r>
                  <w:r>
                    <w:rPr>
                      <w:rFonts w:eastAsia="Times New Roman"/>
                      <w:color w:val="auto"/>
                      <w:kern w:val="0"/>
                      <w:sz w:val="21"/>
                      <w:szCs w:val="21"/>
                    </w:rPr>
                    <w:t>′13.</w:t>
                  </w:r>
                  <w:r>
                    <w:rPr>
                      <w:rFonts w:hint="eastAsia" w:eastAsia="宋体"/>
                      <w:color w:val="auto"/>
                      <w:kern w:val="0"/>
                      <w:sz w:val="21"/>
                      <w:szCs w:val="21"/>
                      <w:lang w:val="en-US" w:eastAsia="zh-CN"/>
                    </w:rPr>
                    <w:t>419</w:t>
                  </w:r>
                  <w:r>
                    <w:rPr>
                      <w:rFonts w:eastAsia="Times New Roman"/>
                      <w:color w:val="auto"/>
                      <w:kern w:val="0"/>
                      <w:sz w:val="21"/>
                      <w:szCs w:val="21"/>
                    </w:rPr>
                    <w:t>″</w:t>
                  </w:r>
                </w:p>
              </w:tc>
              <w:tc>
                <w:tcPr>
                  <w:tcW w:w="944" w:type="dxa"/>
                  <w:tcBorders>
                    <w:top w:val="single" w:color="auto" w:sz="4" w:space="0"/>
                    <w:left w:val="nil"/>
                    <w:bottom w:val="single" w:color="auto" w:sz="4" w:space="0"/>
                    <w:right w:val="single" w:color="auto" w:sz="4" w:space="0"/>
                  </w:tcBorders>
                  <w:vAlign w:val="center"/>
                </w:tcPr>
                <w:p w14:paraId="2A04E66B">
                  <w:pPr>
                    <w:spacing w:line="240" w:lineRule="auto"/>
                    <w:contextualSpacing/>
                    <w:jc w:val="center"/>
                    <w:rPr>
                      <w:rFonts w:eastAsia="Times New Roman"/>
                      <w:color w:val="auto"/>
                      <w:kern w:val="0"/>
                      <w:sz w:val="21"/>
                      <w:szCs w:val="21"/>
                    </w:rPr>
                  </w:pPr>
                  <w:r>
                    <w:rPr>
                      <w:rFonts w:eastAsia="Times New Roman"/>
                      <w:color w:val="auto"/>
                      <w:kern w:val="0"/>
                      <w:sz w:val="21"/>
                      <w:szCs w:val="21"/>
                    </w:rPr>
                    <w:t>西侧2</w:t>
                  </w:r>
                  <w:r>
                    <w:rPr>
                      <w:rFonts w:hint="eastAsia" w:eastAsia="宋体"/>
                      <w:color w:val="auto"/>
                      <w:kern w:val="0"/>
                      <w:sz w:val="21"/>
                      <w:szCs w:val="21"/>
                      <w:lang w:val="en-US" w:eastAsia="zh-CN"/>
                    </w:rPr>
                    <w:t>30</w:t>
                  </w:r>
                  <w:r>
                    <w:rPr>
                      <w:rFonts w:eastAsia="Times New Roman"/>
                      <w:color w:val="auto"/>
                      <w:kern w:val="0"/>
                      <w:sz w:val="21"/>
                      <w:szCs w:val="21"/>
                    </w:rPr>
                    <w:t>m</w:t>
                  </w:r>
                </w:p>
              </w:tc>
              <w:tc>
                <w:tcPr>
                  <w:tcW w:w="552" w:type="dxa"/>
                  <w:tcBorders>
                    <w:top w:val="single" w:color="auto" w:sz="4" w:space="0"/>
                    <w:left w:val="nil"/>
                    <w:bottom w:val="single" w:color="auto" w:sz="4" w:space="0"/>
                    <w:right w:val="single" w:color="auto" w:sz="4" w:space="0"/>
                  </w:tcBorders>
                  <w:vAlign w:val="center"/>
                </w:tcPr>
                <w:p w14:paraId="796830FD">
                  <w:pPr>
                    <w:spacing w:line="240" w:lineRule="auto"/>
                    <w:contextualSpacing/>
                    <w:jc w:val="center"/>
                    <w:rPr>
                      <w:rFonts w:eastAsia="Times New Roman"/>
                      <w:color w:val="auto"/>
                      <w:kern w:val="0"/>
                      <w:sz w:val="21"/>
                      <w:szCs w:val="21"/>
                    </w:rPr>
                  </w:pPr>
                  <w:r>
                    <w:rPr>
                      <w:rFonts w:hint="eastAsia" w:eastAsia="宋体"/>
                      <w:color w:val="auto"/>
                      <w:kern w:val="0"/>
                      <w:sz w:val="21"/>
                      <w:szCs w:val="21"/>
                      <w:lang w:val="en-US" w:eastAsia="zh-CN"/>
                    </w:rPr>
                    <w:t>8</w:t>
                  </w:r>
                  <w:r>
                    <w:rPr>
                      <w:rFonts w:eastAsia="Times New Roman"/>
                      <w:color w:val="auto"/>
                      <w:kern w:val="0"/>
                      <w:sz w:val="21"/>
                      <w:szCs w:val="21"/>
                    </w:rPr>
                    <w:t>00人</w:t>
                  </w:r>
                </w:p>
              </w:tc>
              <w:tc>
                <w:tcPr>
                  <w:tcW w:w="1838" w:type="dxa"/>
                  <w:vMerge w:val="restart"/>
                  <w:tcBorders>
                    <w:top w:val="single" w:color="auto" w:sz="4" w:space="0"/>
                    <w:left w:val="nil"/>
                    <w:right w:val="single" w:color="auto" w:sz="4" w:space="0"/>
                  </w:tcBorders>
                  <w:vAlign w:val="center"/>
                </w:tcPr>
                <w:p w14:paraId="1787805C">
                  <w:pPr>
                    <w:spacing w:line="240" w:lineRule="auto"/>
                    <w:contextualSpacing/>
                    <w:jc w:val="center"/>
                    <w:rPr>
                      <w:rFonts w:eastAsia="Times New Roman"/>
                      <w:color w:val="auto"/>
                      <w:kern w:val="0"/>
                      <w:sz w:val="21"/>
                      <w:szCs w:val="21"/>
                    </w:rPr>
                  </w:pPr>
                  <w:r>
                    <w:rPr>
                      <w:rFonts w:eastAsia="Times New Roman"/>
                      <w:color w:val="auto"/>
                      <w:kern w:val="0"/>
                      <w:sz w:val="21"/>
                      <w:szCs w:val="21"/>
                    </w:rPr>
                    <w:t>《环境空气质量标准》（GB3095-2012）二级标准</w:t>
                  </w:r>
                </w:p>
              </w:tc>
            </w:tr>
            <w:tr w14:paraId="359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bottom w:val="single" w:color="auto" w:sz="4" w:space="0"/>
                    <w:right w:val="single" w:color="auto" w:sz="4" w:space="0"/>
                  </w:tcBorders>
                  <w:vAlign w:val="center"/>
                </w:tcPr>
                <w:p w14:paraId="43582159">
                  <w:pPr>
                    <w:spacing w:line="240" w:lineRule="auto"/>
                    <w:contextualSpacing/>
                    <w:jc w:val="center"/>
                    <w:rPr>
                      <w:rFonts w:eastAsia="Times New Roman"/>
                      <w:color w:val="auto"/>
                      <w:kern w:val="0"/>
                      <w:sz w:val="21"/>
                      <w:szCs w:val="21"/>
                    </w:rPr>
                  </w:pPr>
                </w:p>
              </w:tc>
              <w:tc>
                <w:tcPr>
                  <w:tcW w:w="1503" w:type="dxa"/>
                  <w:tcBorders>
                    <w:top w:val="single" w:color="auto" w:sz="4" w:space="0"/>
                    <w:left w:val="nil"/>
                    <w:bottom w:val="single" w:color="auto" w:sz="4" w:space="0"/>
                    <w:right w:val="single" w:color="auto" w:sz="4" w:space="0"/>
                  </w:tcBorders>
                  <w:vAlign w:val="center"/>
                </w:tcPr>
                <w:p w14:paraId="26BD9C1E">
                  <w:pPr>
                    <w:spacing w:line="240" w:lineRule="auto"/>
                    <w:contextualSpacing/>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寻甸同和精神病医院</w:t>
                  </w:r>
                </w:p>
              </w:tc>
              <w:tc>
                <w:tcPr>
                  <w:tcW w:w="1132" w:type="dxa"/>
                  <w:tcBorders>
                    <w:top w:val="single" w:color="auto" w:sz="4" w:space="0"/>
                    <w:left w:val="nil"/>
                    <w:bottom w:val="single" w:color="auto" w:sz="4" w:space="0"/>
                    <w:right w:val="single" w:color="auto" w:sz="4" w:space="0"/>
                  </w:tcBorders>
                  <w:shd w:val="clear" w:color="auto" w:fill="auto"/>
                  <w:vAlign w:val="center"/>
                </w:tcPr>
                <w:p w14:paraId="1DF0B129">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eastAsia="Times New Roman"/>
                      <w:color w:val="auto"/>
                      <w:kern w:val="0"/>
                      <w:sz w:val="21"/>
                      <w:szCs w:val="21"/>
                    </w:rPr>
                    <w:t>10</w:t>
                  </w:r>
                  <w:r>
                    <w:rPr>
                      <w:rFonts w:hint="eastAsia" w:eastAsia="宋体"/>
                      <w:color w:val="auto"/>
                      <w:kern w:val="0"/>
                      <w:sz w:val="21"/>
                      <w:szCs w:val="21"/>
                      <w:lang w:val="en-US" w:eastAsia="zh-CN"/>
                    </w:rPr>
                    <w:t>3</w:t>
                  </w:r>
                  <w:r>
                    <w:rPr>
                      <w:rFonts w:eastAsia="Times New Roman"/>
                      <w:color w:val="auto"/>
                      <w:kern w:val="0"/>
                      <w:sz w:val="21"/>
                      <w:szCs w:val="21"/>
                    </w:rPr>
                    <w:t>°</w:t>
                  </w:r>
                  <w:r>
                    <w:rPr>
                      <w:rFonts w:hint="eastAsia" w:eastAsia="宋体"/>
                      <w:color w:val="auto"/>
                      <w:kern w:val="0"/>
                      <w:sz w:val="21"/>
                      <w:szCs w:val="21"/>
                      <w:lang w:val="en-US" w:eastAsia="zh-CN"/>
                    </w:rPr>
                    <w:t>12</w:t>
                  </w:r>
                  <w:r>
                    <w:rPr>
                      <w:rFonts w:eastAsia="Times New Roman"/>
                      <w:color w:val="auto"/>
                      <w:kern w:val="0"/>
                      <w:sz w:val="21"/>
                      <w:szCs w:val="21"/>
                    </w:rPr>
                    <w:t>′</w:t>
                  </w:r>
                  <w:r>
                    <w:rPr>
                      <w:rFonts w:hint="eastAsia" w:eastAsia="宋体"/>
                      <w:color w:val="auto"/>
                      <w:kern w:val="0"/>
                      <w:sz w:val="21"/>
                      <w:szCs w:val="21"/>
                      <w:lang w:val="en-US" w:eastAsia="zh-CN"/>
                    </w:rPr>
                    <w:t>20.573</w:t>
                  </w:r>
                  <w:r>
                    <w:rPr>
                      <w:rFonts w:eastAsia="Times New Roman"/>
                      <w:color w:val="auto"/>
                      <w:kern w:val="0"/>
                      <w:sz w:val="21"/>
                      <w:szCs w:val="21"/>
                    </w:rPr>
                    <w:t>″</w:t>
                  </w:r>
                </w:p>
              </w:tc>
              <w:tc>
                <w:tcPr>
                  <w:tcW w:w="1094" w:type="dxa"/>
                  <w:tcBorders>
                    <w:top w:val="single" w:color="auto" w:sz="4" w:space="0"/>
                    <w:left w:val="nil"/>
                    <w:bottom w:val="single" w:color="auto" w:sz="4" w:space="0"/>
                    <w:right w:val="single" w:color="auto" w:sz="4" w:space="0"/>
                  </w:tcBorders>
                  <w:shd w:val="clear" w:color="auto" w:fill="auto"/>
                  <w:vAlign w:val="center"/>
                </w:tcPr>
                <w:p w14:paraId="572D77A9">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eastAsia="Times New Roman"/>
                      <w:color w:val="auto"/>
                      <w:kern w:val="0"/>
                      <w:sz w:val="21"/>
                      <w:szCs w:val="21"/>
                    </w:rPr>
                    <w:t>2</w:t>
                  </w:r>
                  <w:r>
                    <w:rPr>
                      <w:rFonts w:hint="eastAsia" w:eastAsia="宋体"/>
                      <w:color w:val="auto"/>
                      <w:kern w:val="0"/>
                      <w:sz w:val="21"/>
                      <w:szCs w:val="21"/>
                      <w:lang w:val="en-US" w:eastAsia="zh-CN"/>
                    </w:rPr>
                    <w:t>5</w:t>
                  </w:r>
                  <w:r>
                    <w:rPr>
                      <w:rFonts w:eastAsia="Times New Roman"/>
                      <w:color w:val="auto"/>
                      <w:kern w:val="0"/>
                      <w:sz w:val="21"/>
                      <w:szCs w:val="21"/>
                    </w:rPr>
                    <w:t>°</w:t>
                  </w:r>
                  <w:r>
                    <w:rPr>
                      <w:rFonts w:hint="eastAsia" w:eastAsia="宋体"/>
                      <w:color w:val="auto"/>
                      <w:kern w:val="0"/>
                      <w:sz w:val="21"/>
                      <w:szCs w:val="21"/>
                      <w:lang w:val="en-US" w:eastAsia="zh-CN"/>
                    </w:rPr>
                    <w:t>33</w:t>
                  </w:r>
                  <w:r>
                    <w:rPr>
                      <w:rFonts w:eastAsia="Times New Roman"/>
                      <w:color w:val="auto"/>
                      <w:kern w:val="0"/>
                      <w:sz w:val="21"/>
                      <w:szCs w:val="21"/>
                    </w:rPr>
                    <w:t>′</w:t>
                  </w:r>
                  <w:r>
                    <w:rPr>
                      <w:rFonts w:hint="eastAsia" w:eastAsia="宋体"/>
                      <w:color w:val="auto"/>
                      <w:kern w:val="0"/>
                      <w:sz w:val="21"/>
                      <w:szCs w:val="21"/>
                      <w:lang w:val="en-US" w:eastAsia="zh-CN"/>
                    </w:rPr>
                    <w:t>11.134</w:t>
                  </w:r>
                  <w:r>
                    <w:rPr>
                      <w:rFonts w:eastAsia="Times New Roman"/>
                      <w:color w:val="auto"/>
                      <w:kern w:val="0"/>
                      <w:sz w:val="21"/>
                      <w:szCs w:val="21"/>
                    </w:rPr>
                    <w:t>″</w:t>
                  </w:r>
                </w:p>
              </w:tc>
              <w:tc>
                <w:tcPr>
                  <w:tcW w:w="944" w:type="dxa"/>
                  <w:tcBorders>
                    <w:top w:val="single" w:color="auto" w:sz="4" w:space="0"/>
                    <w:left w:val="nil"/>
                    <w:bottom w:val="single" w:color="auto" w:sz="4" w:space="0"/>
                    <w:right w:val="single" w:color="auto" w:sz="4" w:space="0"/>
                  </w:tcBorders>
                  <w:shd w:val="clear" w:color="auto" w:fill="auto"/>
                  <w:vAlign w:val="center"/>
                </w:tcPr>
                <w:p w14:paraId="7155B382">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hint="eastAsia" w:eastAsia="宋体"/>
                      <w:color w:val="auto"/>
                      <w:kern w:val="0"/>
                      <w:sz w:val="21"/>
                      <w:szCs w:val="21"/>
                      <w:lang w:val="en-US" w:eastAsia="zh-CN"/>
                    </w:rPr>
                    <w:t>南</w:t>
                  </w:r>
                  <w:r>
                    <w:rPr>
                      <w:rFonts w:eastAsia="Times New Roman"/>
                      <w:color w:val="auto"/>
                      <w:kern w:val="0"/>
                      <w:sz w:val="21"/>
                      <w:szCs w:val="21"/>
                    </w:rPr>
                    <w:t>侧2</w:t>
                  </w:r>
                  <w:r>
                    <w:rPr>
                      <w:rFonts w:hint="eastAsia" w:eastAsia="宋体"/>
                      <w:color w:val="auto"/>
                      <w:kern w:val="0"/>
                      <w:sz w:val="21"/>
                      <w:szCs w:val="21"/>
                      <w:lang w:val="en-US" w:eastAsia="zh-CN"/>
                    </w:rPr>
                    <w:t>30</w:t>
                  </w:r>
                  <w:r>
                    <w:rPr>
                      <w:rFonts w:eastAsia="Times New Roman"/>
                      <w:color w:val="auto"/>
                      <w:kern w:val="0"/>
                      <w:sz w:val="21"/>
                      <w:szCs w:val="21"/>
                    </w:rPr>
                    <w:t>m</w:t>
                  </w:r>
                </w:p>
              </w:tc>
              <w:tc>
                <w:tcPr>
                  <w:tcW w:w="552" w:type="dxa"/>
                  <w:tcBorders>
                    <w:top w:val="single" w:color="auto" w:sz="4" w:space="0"/>
                    <w:left w:val="nil"/>
                    <w:bottom w:val="single" w:color="auto" w:sz="4" w:space="0"/>
                    <w:right w:val="single" w:color="auto" w:sz="4" w:space="0"/>
                  </w:tcBorders>
                  <w:shd w:val="clear" w:color="auto" w:fill="auto"/>
                  <w:vAlign w:val="center"/>
                </w:tcPr>
                <w:p w14:paraId="74B8F236">
                  <w:pPr>
                    <w:spacing w:line="240" w:lineRule="auto"/>
                    <w:contextualSpacing/>
                    <w:jc w:val="center"/>
                    <w:rPr>
                      <w:rFonts w:hint="eastAsia" w:ascii="Times New Roman" w:hAnsi="Times New Roman" w:eastAsia="Times New Roman" w:cs="Times New Roman"/>
                      <w:color w:val="auto"/>
                      <w:kern w:val="0"/>
                      <w:sz w:val="21"/>
                      <w:szCs w:val="21"/>
                      <w:lang w:val="en-US" w:eastAsia="zh-CN" w:bidi="ar-SA"/>
                    </w:rPr>
                  </w:pPr>
                  <w:r>
                    <w:rPr>
                      <w:rFonts w:hint="eastAsia"/>
                      <w:color w:val="auto"/>
                      <w:kern w:val="0"/>
                      <w:sz w:val="21"/>
                      <w:szCs w:val="21"/>
                      <w:lang w:val="en-US" w:eastAsia="zh-CN"/>
                    </w:rPr>
                    <w:t>2</w:t>
                  </w:r>
                  <w:r>
                    <w:rPr>
                      <w:rFonts w:eastAsia="Times New Roman"/>
                      <w:color w:val="auto"/>
                      <w:kern w:val="0"/>
                      <w:sz w:val="21"/>
                      <w:szCs w:val="21"/>
                    </w:rPr>
                    <w:t>00人</w:t>
                  </w:r>
                </w:p>
              </w:tc>
              <w:tc>
                <w:tcPr>
                  <w:tcW w:w="1838" w:type="dxa"/>
                  <w:vMerge w:val="continue"/>
                  <w:tcBorders>
                    <w:left w:val="nil"/>
                    <w:bottom w:val="single" w:color="auto" w:sz="4" w:space="0"/>
                    <w:right w:val="single" w:color="auto" w:sz="4" w:space="0"/>
                  </w:tcBorders>
                  <w:vAlign w:val="center"/>
                </w:tcPr>
                <w:p w14:paraId="0317BE9E">
                  <w:pPr>
                    <w:spacing w:line="240" w:lineRule="auto"/>
                    <w:contextualSpacing/>
                    <w:jc w:val="center"/>
                    <w:rPr>
                      <w:rFonts w:eastAsia="Times New Roman"/>
                      <w:color w:val="auto"/>
                      <w:kern w:val="0"/>
                      <w:sz w:val="21"/>
                      <w:szCs w:val="21"/>
                    </w:rPr>
                  </w:pPr>
                </w:p>
              </w:tc>
            </w:tr>
          </w:tbl>
          <w:p w14:paraId="33B4817D">
            <w:pPr>
              <w:keepNext w:val="0"/>
              <w:keepLines w:val="0"/>
              <w:widowControl/>
              <w:suppressLineNumbers w:val="0"/>
              <w:spacing w:before="0" w:beforeAutospacing="0" w:after="0" w:afterAutospacing="0"/>
              <w:ind w:left="0" w:right="0"/>
              <w:contextualSpacing/>
              <w:jc w:val="center"/>
              <w:rPr>
                <w:rFonts w:hint="default" w:eastAsiaTheme="minorEastAsia"/>
                <w:b/>
                <w:bCs/>
                <w:color w:val="auto"/>
                <w:sz w:val="21"/>
                <w:szCs w:val="21"/>
              </w:rPr>
            </w:pPr>
            <w:r>
              <w:rPr>
                <w:rFonts w:hint="eastAsia"/>
                <w:b/>
                <w:bCs/>
                <w:color w:val="auto"/>
                <w:kern w:val="0"/>
                <w:sz w:val="21"/>
                <w:szCs w:val="21"/>
                <w:lang w:val="en-US" w:eastAsia="zh-CN"/>
              </w:rPr>
              <w:t>表3-4 地表水</w:t>
            </w:r>
            <w:r>
              <w:rPr>
                <w:rFonts w:hint="eastAsia" w:eastAsiaTheme="minorEastAsia"/>
                <w:b/>
                <w:bCs/>
                <w:color w:val="auto"/>
                <w:sz w:val="21"/>
                <w:szCs w:val="21"/>
              </w:rPr>
              <w:t>环境保护目标一览表</w:t>
            </w:r>
          </w:p>
          <w:tbl>
            <w:tblPr>
              <w:tblStyle w:val="2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098"/>
              <w:gridCol w:w="1118"/>
              <w:gridCol w:w="2362"/>
              <w:gridCol w:w="1463"/>
              <w:gridCol w:w="1016"/>
            </w:tblGrid>
            <w:tr w14:paraId="113D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0" w:type="dxa"/>
                  <w:vMerge w:val="restart"/>
                  <w:tcBorders>
                    <w:tl2br w:val="nil"/>
                    <w:tr2bl w:val="nil"/>
                  </w:tcBorders>
                  <w:vAlign w:val="center"/>
                </w:tcPr>
                <w:p w14:paraId="4120688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环境类别</w:t>
                  </w:r>
                </w:p>
              </w:tc>
              <w:tc>
                <w:tcPr>
                  <w:tcW w:w="1098" w:type="dxa"/>
                  <w:vMerge w:val="restart"/>
                  <w:tcBorders>
                    <w:tl2br w:val="nil"/>
                    <w:tr2bl w:val="nil"/>
                  </w:tcBorders>
                  <w:vAlign w:val="center"/>
                </w:tcPr>
                <w:p w14:paraId="25E8D034">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环境保护目标</w:t>
                  </w:r>
                </w:p>
              </w:tc>
              <w:tc>
                <w:tcPr>
                  <w:tcW w:w="1118" w:type="dxa"/>
                  <w:vMerge w:val="restart"/>
                  <w:tcBorders>
                    <w:tl2br w:val="nil"/>
                    <w:tr2bl w:val="nil"/>
                  </w:tcBorders>
                  <w:vAlign w:val="center"/>
                </w:tcPr>
                <w:p w14:paraId="5E4F67A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保护内容</w:t>
                  </w:r>
                </w:p>
              </w:tc>
              <w:tc>
                <w:tcPr>
                  <w:tcW w:w="2362" w:type="dxa"/>
                  <w:vMerge w:val="restart"/>
                  <w:tcBorders>
                    <w:tl2br w:val="nil"/>
                    <w:tr2bl w:val="nil"/>
                  </w:tcBorders>
                  <w:vAlign w:val="center"/>
                </w:tcPr>
                <w:p w14:paraId="41867E6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环境质量控制目标</w:t>
                  </w:r>
                </w:p>
              </w:tc>
              <w:tc>
                <w:tcPr>
                  <w:tcW w:w="1463" w:type="dxa"/>
                  <w:vMerge w:val="restart"/>
                  <w:tcBorders>
                    <w:tl2br w:val="nil"/>
                    <w:tr2bl w:val="nil"/>
                  </w:tcBorders>
                  <w:vAlign w:val="center"/>
                </w:tcPr>
                <w:p w14:paraId="14A5D77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相对厂址方位</w:t>
                  </w:r>
                </w:p>
              </w:tc>
              <w:tc>
                <w:tcPr>
                  <w:tcW w:w="1016" w:type="dxa"/>
                  <w:vMerge w:val="restart"/>
                  <w:tcBorders>
                    <w:tl2br w:val="nil"/>
                    <w:tr2bl w:val="nil"/>
                  </w:tcBorders>
                  <w:vAlign w:val="center"/>
                </w:tcPr>
                <w:p w14:paraId="10AE08F4">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相对厂界距离</w:t>
                  </w:r>
                </w:p>
              </w:tc>
            </w:tr>
            <w:tr w14:paraId="6E81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0" w:type="dxa"/>
                  <w:vMerge w:val="continue"/>
                  <w:tcBorders>
                    <w:tl2br w:val="nil"/>
                    <w:tr2bl w:val="nil"/>
                  </w:tcBorders>
                  <w:vAlign w:val="center"/>
                </w:tcPr>
                <w:p w14:paraId="65D638FB">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098" w:type="dxa"/>
                  <w:vMerge w:val="continue"/>
                  <w:tcBorders>
                    <w:tl2br w:val="nil"/>
                    <w:tr2bl w:val="nil"/>
                  </w:tcBorders>
                  <w:vAlign w:val="center"/>
                </w:tcPr>
                <w:p w14:paraId="600C5D5D">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118" w:type="dxa"/>
                  <w:vMerge w:val="continue"/>
                  <w:tcBorders>
                    <w:tl2br w:val="nil"/>
                    <w:tr2bl w:val="nil"/>
                  </w:tcBorders>
                  <w:vAlign w:val="center"/>
                </w:tcPr>
                <w:p w14:paraId="3AA5F153">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2362" w:type="dxa"/>
                  <w:vMerge w:val="continue"/>
                  <w:tcBorders>
                    <w:tl2br w:val="nil"/>
                    <w:tr2bl w:val="nil"/>
                  </w:tcBorders>
                  <w:vAlign w:val="center"/>
                </w:tcPr>
                <w:p w14:paraId="3F777256">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463" w:type="dxa"/>
                  <w:vMerge w:val="continue"/>
                  <w:tcBorders>
                    <w:tl2br w:val="nil"/>
                    <w:tr2bl w:val="nil"/>
                  </w:tcBorders>
                  <w:vAlign w:val="center"/>
                </w:tcPr>
                <w:p w14:paraId="0C6B7138">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016" w:type="dxa"/>
                  <w:vMerge w:val="continue"/>
                  <w:tcBorders>
                    <w:tl2br w:val="nil"/>
                    <w:tr2bl w:val="nil"/>
                  </w:tcBorders>
                  <w:vAlign w:val="center"/>
                </w:tcPr>
                <w:p w14:paraId="5CA6E4BD">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r>
            <w:tr w14:paraId="79F7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0" w:type="dxa"/>
                  <w:tcBorders>
                    <w:tl2br w:val="nil"/>
                    <w:tr2bl w:val="nil"/>
                  </w:tcBorders>
                  <w:vAlign w:val="center"/>
                </w:tcPr>
                <w:p w14:paraId="00D1FFA8">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default"/>
                      <w:color w:val="auto"/>
                      <w:kern w:val="0"/>
                      <w:sz w:val="21"/>
                      <w:szCs w:val="21"/>
                    </w:rPr>
                    <w:t>地表水</w:t>
                  </w:r>
                  <w:r>
                    <w:rPr>
                      <w:rFonts w:hint="eastAsia"/>
                      <w:color w:val="auto"/>
                      <w:kern w:val="0"/>
                      <w:sz w:val="21"/>
                      <w:szCs w:val="21"/>
                      <w:lang w:val="en-US" w:eastAsia="zh-CN"/>
                    </w:rPr>
                    <w:t>环境</w:t>
                  </w:r>
                </w:p>
              </w:tc>
              <w:tc>
                <w:tcPr>
                  <w:tcW w:w="1098" w:type="dxa"/>
                  <w:tcBorders>
                    <w:tl2br w:val="nil"/>
                    <w:tr2bl w:val="nil"/>
                  </w:tcBorders>
                  <w:vAlign w:val="center"/>
                </w:tcPr>
                <w:p w14:paraId="1F6FB220">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eastAsia="宋体"/>
                      <w:color w:val="auto"/>
                      <w:kern w:val="0"/>
                      <w:sz w:val="21"/>
                      <w:szCs w:val="21"/>
                      <w:lang w:val="en-US" w:eastAsia="zh-CN"/>
                    </w:rPr>
                    <w:t>潘所海</w:t>
                  </w:r>
                </w:p>
              </w:tc>
              <w:tc>
                <w:tcPr>
                  <w:tcW w:w="1118" w:type="dxa"/>
                  <w:tcBorders>
                    <w:tl2br w:val="nil"/>
                    <w:tr2bl w:val="nil"/>
                  </w:tcBorders>
                  <w:vAlign w:val="center"/>
                </w:tcPr>
                <w:p w14:paraId="6F9D7A94">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水环境功能不降低</w:t>
                  </w:r>
                </w:p>
              </w:tc>
              <w:tc>
                <w:tcPr>
                  <w:tcW w:w="2362" w:type="dxa"/>
                  <w:tcBorders>
                    <w:tl2br w:val="nil"/>
                    <w:tr2bl w:val="nil"/>
                  </w:tcBorders>
                  <w:vAlign w:val="center"/>
                </w:tcPr>
                <w:p w14:paraId="73B09A4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《地表水环境质量标准》（GB3838-2002）Ⅲ类标准</w:t>
                  </w:r>
                </w:p>
              </w:tc>
              <w:tc>
                <w:tcPr>
                  <w:tcW w:w="1463" w:type="dxa"/>
                  <w:tcBorders>
                    <w:tl2br w:val="nil"/>
                    <w:tr2bl w:val="nil"/>
                  </w:tcBorders>
                  <w:vAlign w:val="center"/>
                </w:tcPr>
                <w:p w14:paraId="18ABF47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南</w:t>
                  </w:r>
                  <w:r>
                    <w:rPr>
                      <w:rFonts w:hint="default"/>
                      <w:color w:val="auto"/>
                      <w:kern w:val="0"/>
                      <w:sz w:val="21"/>
                      <w:szCs w:val="21"/>
                    </w:rPr>
                    <w:t>侧</w:t>
                  </w:r>
                </w:p>
              </w:tc>
              <w:tc>
                <w:tcPr>
                  <w:tcW w:w="1016" w:type="dxa"/>
                  <w:tcBorders>
                    <w:tl2br w:val="nil"/>
                    <w:tr2bl w:val="nil"/>
                  </w:tcBorders>
                  <w:vAlign w:val="center"/>
                </w:tcPr>
                <w:p w14:paraId="1B60312B">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lang w:val="en-US" w:eastAsia="zh-CN"/>
                    </w:rPr>
                    <w:t>1680</w:t>
                  </w:r>
                  <w:r>
                    <w:rPr>
                      <w:rFonts w:hint="default"/>
                      <w:color w:val="auto"/>
                      <w:kern w:val="0"/>
                      <w:sz w:val="21"/>
                      <w:szCs w:val="21"/>
                    </w:rPr>
                    <w:t>m</w:t>
                  </w:r>
                </w:p>
              </w:tc>
            </w:tr>
          </w:tbl>
          <w:p w14:paraId="1E56F654">
            <w:pPr>
              <w:pStyle w:val="13"/>
              <w:keepNext w:val="0"/>
              <w:keepLines w:val="0"/>
              <w:pageBreakBefore w:val="0"/>
              <w:widowControl/>
              <w:kinsoku/>
              <w:wordWrap/>
              <w:overflowPunct/>
              <w:topLinePunct w:val="0"/>
              <w:autoSpaceDE/>
              <w:autoSpaceDN/>
              <w:bidi w:val="0"/>
              <w:adjustRightInd/>
              <w:snapToGrid w:val="0"/>
              <w:spacing w:line="360" w:lineRule="auto"/>
              <w:ind w:right="113" w:firstLine="360" w:firstLineChars="200"/>
              <w:textAlignment w:val="auto"/>
              <w:rPr>
                <w:rFonts w:hint="default"/>
                <w:color w:val="auto"/>
                <w:kern w:val="0"/>
                <w:lang w:val="en-US" w:eastAsia="zh-CN"/>
              </w:rPr>
            </w:pPr>
          </w:p>
        </w:tc>
      </w:tr>
      <w:tr w14:paraId="13CA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534" w:type="dxa"/>
            <w:vAlign w:val="center"/>
          </w:tcPr>
          <w:p w14:paraId="2AB89A50">
            <w:pPr>
              <w:keepNext w:val="0"/>
              <w:keepLines w:val="0"/>
              <w:suppressLineNumbers w:val="0"/>
              <w:spacing w:before="0" w:beforeAutospacing="0" w:after="0" w:afterAutospacing="0"/>
              <w:ind w:left="0" w:right="0"/>
              <w:rPr>
                <w:rFonts w:hint="eastAsia"/>
                <w:color w:val="auto"/>
                <w:vertAlign w:val="baseline"/>
                <w:lang w:val="en-US" w:eastAsia="zh-CN"/>
              </w:rPr>
            </w:pPr>
            <w:r>
              <w:rPr>
                <w:rFonts w:hint="default"/>
                <w:color w:val="auto"/>
                <w:kern w:val="0"/>
              </w:rPr>
              <w:t>污染物控制标准</w:t>
            </w:r>
          </w:p>
        </w:tc>
        <w:tc>
          <w:tcPr>
            <w:tcW w:w="7988" w:type="dxa"/>
            <w:vAlign w:val="top"/>
          </w:tcPr>
          <w:p w14:paraId="3CC7A362">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一、施工期污染物排放标准</w:t>
            </w:r>
          </w:p>
          <w:p w14:paraId="2C7D9D7A">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1、大气污染物排放标准</w:t>
            </w:r>
          </w:p>
          <w:p w14:paraId="5D33EA58">
            <w:pPr>
              <w:keepNext w:val="0"/>
              <w:keepLines w:val="0"/>
              <w:suppressLineNumbers w:val="0"/>
              <w:spacing w:before="0" w:beforeAutospacing="0" w:after="0" w:afterAutospacing="0"/>
              <w:ind w:left="0" w:right="0" w:firstLine="480" w:firstLineChars="200"/>
              <w:rPr>
                <w:rFonts w:hint="default" w:ascii="宋体" w:hAnsi="宋体" w:eastAsia="Times New Roman"/>
                <w:color w:val="auto"/>
                <w:kern w:val="0"/>
              </w:rPr>
            </w:pPr>
            <w:r>
              <w:rPr>
                <w:rFonts w:hint="default"/>
                <w:color w:val="auto"/>
                <w:kern w:val="0"/>
              </w:rPr>
              <w:t>项目施工期粉尘排放执行《大气污染物综合排放标准》（GB16297-1996）中表2无组织排放标准限值要求，即厂界外无组织最大浓度为1.0mg/m</w:t>
            </w:r>
            <w:r>
              <w:rPr>
                <w:rFonts w:hint="default"/>
                <w:color w:val="auto"/>
                <w:kern w:val="0"/>
                <w:vertAlign w:val="superscript"/>
              </w:rPr>
              <w:t>3</w:t>
            </w:r>
            <w:r>
              <w:rPr>
                <w:rFonts w:hint="default"/>
                <w:color w:val="auto"/>
                <w:kern w:val="0"/>
              </w:rPr>
              <w:t>。</w:t>
            </w:r>
          </w:p>
          <w:p w14:paraId="478E7636">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2、废水排放标准</w:t>
            </w:r>
          </w:p>
          <w:p w14:paraId="53146425">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项目施工期人员不在场地内食宿，废水主要为施工人员清洗废水，</w:t>
            </w:r>
            <w:r>
              <w:rPr>
                <w:rFonts w:hint="eastAsia" w:ascii="宋体" w:hAnsi="宋体" w:eastAsia="Times New Roman"/>
                <w:color w:val="auto"/>
                <w:kern w:val="0"/>
              </w:rPr>
              <w:t>依托现有化粪池处理，</w:t>
            </w:r>
            <w:r>
              <w:rPr>
                <w:rFonts w:hint="eastAsia"/>
                <w:b w:val="0"/>
                <w:bCs w:val="0"/>
                <w:color w:val="auto"/>
                <w:vertAlign w:val="baseline"/>
                <w:lang w:val="en-US" w:eastAsia="zh-CN"/>
              </w:rPr>
              <w:t>由于项目区未接通园区管网，定期委托环卫部门清掏，不外排。</w:t>
            </w:r>
          </w:p>
          <w:p w14:paraId="676717A2">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3、噪声排放标准</w:t>
            </w:r>
          </w:p>
          <w:p w14:paraId="5B1A1259">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项目施工期噪声排放执行《建筑施工噪声排放标准》（GB12523-20</w:t>
            </w:r>
            <w:r>
              <w:rPr>
                <w:rFonts w:hint="eastAsia"/>
                <w:color w:val="auto"/>
                <w:kern w:val="0"/>
                <w:lang w:val="en-US" w:eastAsia="zh-CN"/>
              </w:rPr>
              <w:t>25</w:t>
            </w:r>
            <w:r>
              <w:rPr>
                <w:rFonts w:hint="default"/>
                <w:color w:val="auto"/>
                <w:kern w:val="0"/>
              </w:rPr>
              <w:t>）标准，标准限值见下表。</w:t>
            </w:r>
          </w:p>
          <w:p w14:paraId="37F0EED4">
            <w:pPr>
              <w:keepNext w:val="0"/>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表3-</w:t>
            </w:r>
            <w:r>
              <w:rPr>
                <w:rFonts w:hint="eastAsia"/>
                <w:b/>
                <w:color w:val="auto"/>
                <w:kern w:val="0"/>
                <w:sz w:val="21"/>
                <w:szCs w:val="21"/>
                <w:lang w:val="en-US" w:eastAsia="zh-CN"/>
              </w:rPr>
              <w:t>5</w:t>
            </w:r>
            <w:r>
              <w:rPr>
                <w:rFonts w:hint="default"/>
                <w:b/>
                <w:color w:val="auto"/>
                <w:kern w:val="0"/>
                <w:sz w:val="21"/>
                <w:szCs w:val="21"/>
              </w:rPr>
              <w:t xml:space="preserve">  建筑施工场界环境噪声排放限值  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497"/>
              <w:gridCol w:w="2499"/>
            </w:tblGrid>
            <w:tr w14:paraId="05B4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tcBorders>
                    <w:top w:val="single" w:color="auto" w:sz="4" w:space="0"/>
                    <w:left w:val="single" w:color="auto" w:sz="4" w:space="0"/>
                    <w:bottom w:val="single" w:color="auto" w:sz="4" w:space="0"/>
                    <w:right w:val="single" w:color="auto" w:sz="4" w:space="0"/>
                  </w:tcBorders>
                  <w:vAlign w:val="center"/>
                </w:tcPr>
                <w:p w14:paraId="7D6DCD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时段</w:t>
                  </w:r>
                </w:p>
              </w:tc>
              <w:tc>
                <w:tcPr>
                  <w:tcW w:w="2524" w:type="dxa"/>
                  <w:tcBorders>
                    <w:top w:val="single" w:color="auto" w:sz="4" w:space="0"/>
                    <w:left w:val="nil"/>
                    <w:bottom w:val="single" w:color="auto" w:sz="4" w:space="0"/>
                    <w:right w:val="single" w:color="auto" w:sz="4" w:space="0"/>
                  </w:tcBorders>
                  <w:vAlign w:val="center"/>
                </w:tcPr>
                <w:p w14:paraId="413B5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昼间</w:t>
                  </w:r>
                </w:p>
              </w:tc>
              <w:tc>
                <w:tcPr>
                  <w:tcW w:w="2525" w:type="dxa"/>
                  <w:tcBorders>
                    <w:top w:val="single" w:color="auto" w:sz="4" w:space="0"/>
                    <w:left w:val="nil"/>
                    <w:bottom w:val="single" w:color="auto" w:sz="4" w:space="0"/>
                    <w:right w:val="single" w:color="auto" w:sz="4" w:space="0"/>
                  </w:tcBorders>
                  <w:vAlign w:val="center"/>
                </w:tcPr>
                <w:p w14:paraId="1F4CF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夜间</w:t>
                  </w:r>
                </w:p>
              </w:tc>
            </w:tr>
            <w:tr w14:paraId="463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tcBorders>
                    <w:top w:val="single" w:color="auto" w:sz="4" w:space="0"/>
                    <w:left w:val="single" w:color="auto" w:sz="4" w:space="0"/>
                    <w:bottom w:val="single" w:color="auto" w:sz="4" w:space="0"/>
                    <w:right w:val="single" w:color="auto" w:sz="4" w:space="0"/>
                  </w:tcBorders>
                  <w:vAlign w:val="center"/>
                </w:tcPr>
                <w:p w14:paraId="5A77E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eastAsia" w:ascii="宋体" w:hAnsi="宋体"/>
                      <w:color w:val="auto"/>
                      <w:kern w:val="0"/>
                      <w:sz w:val="21"/>
                      <w:szCs w:val="21"/>
                    </w:rPr>
                    <w:t>标准限值</w:t>
                  </w:r>
                  <w:r>
                    <w:rPr>
                      <w:rFonts w:hint="eastAsia"/>
                      <w:color w:val="auto"/>
                      <w:kern w:val="0"/>
                      <w:sz w:val="21"/>
                      <w:szCs w:val="21"/>
                    </w:rPr>
                    <w:t>dB</w:t>
                  </w:r>
                  <w:r>
                    <w:rPr>
                      <w:rFonts w:hint="eastAsia" w:ascii="宋体" w:hAnsi="宋体"/>
                      <w:color w:val="auto"/>
                      <w:kern w:val="0"/>
                      <w:sz w:val="21"/>
                      <w:szCs w:val="21"/>
                    </w:rPr>
                    <w:t>（</w:t>
                  </w:r>
                  <w:r>
                    <w:rPr>
                      <w:rFonts w:hint="eastAsia"/>
                      <w:color w:val="auto"/>
                      <w:kern w:val="0"/>
                      <w:sz w:val="21"/>
                      <w:szCs w:val="21"/>
                    </w:rPr>
                    <w:t>A</w:t>
                  </w:r>
                  <w:r>
                    <w:rPr>
                      <w:rFonts w:hint="eastAsia" w:ascii="宋体" w:hAnsi="宋体"/>
                      <w:color w:val="auto"/>
                      <w:kern w:val="0"/>
                      <w:sz w:val="21"/>
                      <w:szCs w:val="21"/>
                    </w:rPr>
                    <w:t>）</w:t>
                  </w:r>
                </w:p>
              </w:tc>
              <w:tc>
                <w:tcPr>
                  <w:tcW w:w="2524" w:type="dxa"/>
                  <w:tcBorders>
                    <w:top w:val="single" w:color="auto" w:sz="4" w:space="0"/>
                    <w:left w:val="nil"/>
                    <w:bottom w:val="single" w:color="auto" w:sz="4" w:space="0"/>
                    <w:right w:val="single" w:color="auto" w:sz="4" w:space="0"/>
                  </w:tcBorders>
                  <w:vAlign w:val="center"/>
                </w:tcPr>
                <w:p w14:paraId="07599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default"/>
                      <w:color w:val="auto"/>
                      <w:kern w:val="0"/>
                      <w:sz w:val="21"/>
                      <w:szCs w:val="21"/>
                    </w:rPr>
                    <w:t>70</w:t>
                  </w:r>
                </w:p>
              </w:tc>
              <w:tc>
                <w:tcPr>
                  <w:tcW w:w="2525" w:type="dxa"/>
                  <w:tcBorders>
                    <w:top w:val="single" w:color="auto" w:sz="4" w:space="0"/>
                    <w:left w:val="nil"/>
                    <w:bottom w:val="single" w:color="auto" w:sz="4" w:space="0"/>
                    <w:right w:val="single" w:color="auto" w:sz="4" w:space="0"/>
                  </w:tcBorders>
                  <w:vAlign w:val="center"/>
                </w:tcPr>
                <w:p w14:paraId="3AC53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default"/>
                      <w:color w:val="auto"/>
                      <w:kern w:val="0"/>
                      <w:sz w:val="21"/>
                      <w:szCs w:val="21"/>
                    </w:rPr>
                    <w:t>55</w:t>
                  </w:r>
                </w:p>
              </w:tc>
            </w:tr>
          </w:tbl>
          <w:p w14:paraId="6227BB08">
            <w:pPr>
              <w:pStyle w:val="37"/>
              <w:keepNext w:val="0"/>
              <w:keepLines w:val="0"/>
              <w:suppressLineNumbers w:val="0"/>
              <w:spacing w:before="0" w:beforeAutospacing="0" w:after="0" w:afterAutospacing="0"/>
              <w:ind w:left="0" w:right="0" w:firstLine="482"/>
              <w:rPr>
                <w:rFonts w:hint="default"/>
                <w:b/>
                <w:color w:val="auto"/>
                <w:kern w:val="0"/>
              </w:rPr>
            </w:pPr>
            <w:r>
              <w:rPr>
                <w:rFonts w:hint="eastAsia" w:ascii="宋体" w:hAnsi="宋体"/>
                <w:b/>
                <w:color w:val="auto"/>
                <w:kern w:val="0"/>
              </w:rPr>
              <w:t>二、运营期污染物排放标准</w:t>
            </w:r>
          </w:p>
          <w:p w14:paraId="1C55A96E">
            <w:pPr>
              <w:keepNext w:val="0"/>
              <w:keepLines w:val="0"/>
              <w:suppressLineNumbers w:val="0"/>
              <w:spacing w:before="0" w:beforeAutospacing="0" w:after="0" w:afterAutospacing="0"/>
              <w:ind w:left="0" w:right="0" w:firstLine="482" w:firstLineChars="200"/>
              <w:jc w:val="left"/>
              <w:rPr>
                <w:rFonts w:hint="default" w:ascii="宋体" w:hAnsi="宋体"/>
                <w:b/>
                <w:color w:val="auto"/>
                <w:kern w:val="0"/>
                <w:highlight w:val="none"/>
              </w:rPr>
            </w:pPr>
            <w:r>
              <w:rPr>
                <w:rFonts w:hint="eastAsia"/>
                <w:b/>
                <w:color w:val="auto"/>
                <w:kern w:val="0"/>
                <w:highlight w:val="none"/>
              </w:rPr>
              <w:t>1</w:t>
            </w:r>
            <w:r>
              <w:rPr>
                <w:rFonts w:hint="eastAsia" w:ascii="宋体" w:hAnsi="宋体"/>
                <w:b/>
                <w:color w:val="auto"/>
                <w:kern w:val="0"/>
                <w:highlight w:val="none"/>
              </w:rPr>
              <w:t>、大气污染物排放标准</w:t>
            </w:r>
          </w:p>
          <w:p w14:paraId="0D7FCBA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auto"/>
                <w:kern w:val="0"/>
                <w:lang w:val="en-US" w:eastAsia="zh-CN"/>
              </w:rPr>
            </w:pPr>
            <w:r>
              <w:rPr>
                <w:rFonts w:hint="eastAsia"/>
                <w:color w:val="auto"/>
                <w:vertAlign w:val="baseline"/>
                <w:lang w:val="en-US" w:eastAsia="zh-CN"/>
              </w:rPr>
              <w:t>①项目罐车清洗过程中产生的非甲烷总烃呈无组织排放，</w:t>
            </w:r>
            <w:r>
              <w:rPr>
                <w:rFonts w:hint="eastAsia"/>
                <w:color w:val="auto"/>
                <w:kern w:val="0"/>
              </w:rPr>
              <w:t>执行</w:t>
            </w:r>
            <w:r>
              <w:rPr>
                <w:rFonts w:hint="eastAsia"/>
                <w:color w:val="auto"/>
                <w:kern w:val="0"/>
                <w:highlight w:val="none"/>
              </w:rPr>
              <w:t>《大气污染物综合排放标准》</w:t>
            </w:r>
            <w:r>
              <w:rPr>
                <w:rFonts w:hint="eastAsia"/>
                <w:color w:val="auto"/>
                <w:kern w:val="0"/>
              </w:rPr>
              <w:t>（GB16297-1996）表2中无组织排放监控浓度限值，标准值详见下表。</w:t>
            </w:r>
          </w:p>
          <w:p w14:paraId="5AA763A0">
            <w:pPr>
              <w:keepNext w:val="0"/>
              <w:keepLines w:val="0"/>
              <w:suppressLineNumbers w:val="0"/>
              <w:spacing w:before="0" w:beforeAutospacing="0" w:after="0" w:afterAutospacing="0"/>
              <w:ind w:left="0" w:right="0"/>
              <w:jc w:val="center"/>
              <w:rPr>
                <w:rFonts w:hint="default"/>
                <w:color w:val="auto"/>
                <w:kern w:val="0"/>
                <w:lang w:val="en-US" w:eastAsia="zh-CN"/>
              </w:rPr>
            </w:pPr>
            <w:r>
              <w:rPr>
                <w:rFonts w:hint="default" w:ascii="宋体" w:hAnsi="宋体"/>
                <w:b/>
                <w:bCs/>
                <w:color w:val="auto"/>
                <w:kern w:val="0"/>
                <w:sz w:val="21"/>
                <w:szCs w:val="21"/>
              </w:rPr>
              <w:t>表</w:t>
            </w:r>
            <w:r>
              <w:rPr>
                <w:rFonts w:hint="default"/>
                <w:b/>
                <w:bCs/>
                <w:color w:val="auto"/>
                <w:kern w:val="0"/>
                <w:sz w:val="21"/>
                <w:szCs w:val="21"/>
              </w:rPr>
              <w:t>3-</w:t>
            </w:r>
            <w:r>
              <w:rPr>
                <w:rFonts w:hint="eastAsia"/>
                <w:b/>
                <w:bCs/>
                <w:color w:val="auto"/>
                <w:kern w:val="0"/>
                <w:sz w:val="21"/>
                <w:szCs w:val="21"/>
                <w:lang w:val="en-US" w:eastAsia="zh-CN"/>
              </w:rPr>
              <w:t>6</w:t>
            </w:r>
            <w:r>
              <w:rPr>
                <w:rFonts w:hint="default"/>
                <w:b/>
                <w:bCs/>
                <w:color w:val="auto"/>
                <w:kern w:val="0"/>
                <w:sz w:val="21"/>
                <w:szCs w:val="21"/>
              </w:rPr>
              <w:t xml:space="preserve"> </w:t>
            </w:r>
            <w:r>
              <w:rPr>
                <w:rFonts w:hint="default" w:ascii="宋体" w:hAnsi="宋体"/>
                <w:b/>
                <w:bCs/>
                <w:color w:val="auto"/>
                <w:kern w:val="0"/>
                <w:sz w:val="21"/>
                <w:szCs w:val="21"/>
              </w:rPr>
              <w:t>大气污染物综合排放标准</w:t>
            </w:r>
          </w:p>
          <w:tbl>
            <w:tblPr>
              <w:tblStyle w:val="29"/>
              <w:tblW w:w="498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3179"/>
              <w:gridCol w:w="2398"/>
            </w:tblGrid>
            <w:tr w14:paraId="2D4EB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188" w:type="dxa"/>
                  <w:vMerge w:val="restart"/>
                  <w:tcBorders>
                    <w:top w:val="single" w:color="auto" w:sz="4" w:space="0"/>
                    <w:left w:val="single" w:color="auto" w:sz="2" w:space="0"/>
                    <w:bottom w:val="single" w:color="auto" w:sz="4" w:space="0"/>
                    <w:right w:val="single" w:color="auto" w:sz="4" w:space="0"/>
                  </w:tcBorders>
                  <w:vAlign w:val="center"/>
                </w:tcPr>
                <w:p w14:paraId="2F212E1D">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污染物</w:t>
                  </w:r>
                </w:p>
              </w:tc>
              <w:tc>
                <w:tcPr>
                  <w:tcW w:w="5631" w:type="dxa"/>
                  <w:gridSpan w:val="2"/>
                  <w:tcBorders>
                    <w:top w:val="single" w:color="auto" w:sz="4" w:space="0"/>
                    <w:left w:val="single" w:color="auto" w:sz="4" w:space="0"/>
                    <w:bottom w:val="single" w:color="auto" w:sz="4" w:space="0"/>
                    <w:right w:val="single" w:color="auto" w:sz="4" w:space="0"/>
                  </w:tcBorders>
                  <w:vAlign w:val="center"/>
                </w:tcPr>
                <w:p w14:paraId="70AEBDBC">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无组织排放监控浓度限值</w:t>
                  </w:r>
                </w:p>
              </w:tc>
            </w:tr>
            <w:tr w14:paraId="783B5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188" w:type="dxa"/>
                  <w:vMerge w:val="continue"/>
                  <w:tcBorders>
                    <w:top w:val="single" w:color="auto" w:sz="4" w:space="0"/>
                    <w:left w:val="single" w:color="auto" w:sz="2" w:space="0"/>
                    <w:bottom w:val="single" w:color="auto" w:sz="4" w:space="0"/>
                    <w:right w:val="single" w:color="auto" w:sz="4" w:space="0"/>
                  </w:tcBorders>
                  <w:vAlign w:val="center"/>
                </w:tcPr>
                <w:p w14:paraId="2856EA24">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14:paraId="148161CB">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监控点</w:t>
                  </w:r>
                </w:p>
              </w:tc>
              <w:tc>
                <w:tcPr>
                  <w:tcW w:w="2421" w:type="dxa"/>
                  <w:tcBorders>
                    <w:top w:val="single" w:color="auto" w:sz="4" w:space="0"/>
                    <w:left w:val="single" w:color="auto" w:sz="4" w:space="0"/>
                    <w:bottom w:val="single" w:color="auto" w:sz="4" w:space="0"/>
                    <w:right w:val="single" w:color="auto" w:sz="4" w:space="0"/>
                  </w:tcBorders>
                  <w:vAlign w:val="center"/>
                </w:tcPr>
                <w:p w14:paraId="7102E7FE">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浓度（</w:t>
                  </w:r>
                  <w:r>
                    <w:rPr>
                      <w:rFonts w:hint="default"/>
                      <w:b/>
                      <w:bCs/>
                      <w:color w:val="auto"/>
                      <w:sz w:val="21"/>
                      <w:szCs w:val="21"/>
                    </w:rPr>
                    <w:t>mg/m</w:t>
                  </w:r>
                  <w:r>
                    <w:rPr>
                      <w:rFonts w:hint="default"/>
                      <w:b/>
                      <w:bCs/>
                      <w:color w:val="auto"/>
                      <w:sz w:val="21"/>
                      <w:szCs w:val="21"/>
                      <w:vertAlign w:val="superscript"/>
                    </w:rPr>
                    <w:t>3</w:t>
                  </w:r>
                  <w:r>
                    <w:rPr>
                      <w:rFonts w:hint="default" w:ascii="宋体" w:hAnsi="宋体"/>
                      <w:b/>
                      <w:bCs/>
                      <w:color w:val="auto"/>
                      <w:sz w:val="21"/>
                      <w:szCs w:val="21"/>
                    </w:rPr>
                    <w:t>）</w:t>
                  </w:r>
                </w:p>
              </w:tc>
            </w:tr>
            <w:tr w14:paraId="4999C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88" w:type="dxa"/>
                  <w:tcBorders>
                    <w:top w:val="single" w:color="auto" w:sz="4" w:space="0"/>
                    <w:left w:val="single" w:color="auto" w:sz="4" w:space="0"/>
                    <w:right w:val="single" w:color="auto" w:sz="4" w:space="0"/>
                  </w:tcBorders>
                  <w:vAlign w:val="center"/>
                </w:tcPr>
                <w:p w14:paraId="715E809C">
                  <w:pPr>
                    <w:keepNext w:val="0"/>
                    <w:keepLines w:val="0"/>
                    <w:widowControl/>
                    <w:suppressLineNumbers w:val="0"/>
                    <w:autoSpaceDE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ascii="宋体" w:hAnsi="宋体"/>
                      <w:color w:val="auto"/>
                      <w:sz w:val="21"/>
                      <w:szCs w:val="21"/>
                      <w:lang w:val="en-US" w:eastAsia="zh-CN"/>
                    </w:rPr>
                    <w:t>非甲烷总烃</w:t>
                  </w:r>
                </w:p>
              </w:tc>
              <w:tc>
                <w:tcPr>
                  <w:tcW w:w="3210" w:type="dxa"/>
                  <w:tcBorders>
                    <w:top w:val="nil"/>
                    <w:left w:val="single" w:color="auto" w:sz="4" w:space="0"/>
                    <w:bottom w:val="single" w:color="auto" w:sz="4" w:space="0"/>
                    <w:right w:val="single" w:color="auto" w:sz="4" w:space="0"/>
                  </w:tcBorders>
                  <w:vAlign w:val="center"/>
                </w:tcPr>
                <w:p w14:paraId="2EC396C1">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周界外浓度最高点</w:t>
                  </w:r>
                </w:p>
              </w:tc>
              <w:tc>
                <w:tcPr>
                  <w:tcW w:w="2421" w:type="dxa"/>
                  <w:tcBorders>
                    <w:top w:val="single" w:color="auto" w:sz="4" w:space="0"/>
                    <w:left w:val="single" w:color="auto" w:sz="4" w:space="0"/>
                    <w:bottom w:val="single" w:color="auto" w:sz="4" w:space="0"/>
                    <w:right w:val="single" w:color="auto" w:sz="4" w:space="0"/>
                  </w:tcBorders>
                  <w:vAlign w:val="center"/>
                </w:tcPr>
                <w:p w14:paraId="755180B4">
                  <w:pPr>
                    <w:keepNext w:val="0"/>
                    <w:keepLines w:val="0"/>
                    <w:suppressLineNumbers w:val="0"/>
                    <w:autoSpaceDE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4.0</w:t>
                  </w:r>
                </w:p>
              </w:tc>
            </w:tr>
          </w:tbl>
          <w:p w14:paraId="7946C6D3">
            <w:pPr>
              <w:keepNext w:val="0"/>
              <w:keepLines w:val="0"/>
              <w:pageBreakBefore w:val="0"/>
              <w:widowControl w:val="0"/>
              <w:suppressLineNumbers w:val="0"/>
              <w:kinsoku/>
              <w:wordWrap/>
              <w:overflowPunct/>
              <w:topLinePunct w:val="0"/>
              <w:autoSpaceDE w:val="0"/>
              <w:autoSpaceDN/>
              <w:bidi w:val="0"/>
              <w:adjustRightInd w:val="0"/>
              <w:snapToGrid w:val="0"/>
              <w:spacing w:before="157" w:beforeLines="50" w:beforeAutospacing="0" w:after="0" w:afterAutospacing="0"/>
              <w:ind w:left="0" w:right="0" w:firstLine="48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②厂区内有机废气无组织排放执行《挥发性有机物无组织排放控制标准》（GB37822-2019）。</w:t>
            </w:r>
          </w:p>
          <w:p w14:paraId="47088F47">
            <w:pPr>
              <w:keepNext w:val="0"/>
              <w:keepLines w:val="0"/>
              <w:suppressLineNumbers w:val="0"/>
              <w:autoSpaceDE w:val="0"/>
              <w:adjustRightInd w:val="0"/>
              <w:snapToGrid w:val="0"/>
              <w:spacing w:before="0" w:beforeAutospacing="0" w:after="0" w:afterAutospacing="0"/>
              <w:ind w:left="0" w:right="0"/>
              <w:jc w:val="center"/>
              <w:rPr>
                <w:rFonts w:hint="default"/>
                <w:b/>
                <w:bCs/>
                <w:color w:val="auto"/>
                <w:sz w:val="21"/>
                <w:szCs w:val="21"/>
              </w:rPr>
            </w:pPr>
            <w:r>
              <w:rPr>
                <w:rFonts w:hint="default" w:ascii="宋体" w:hAnsi="宋体"/>
                <w:b/>
                <w:bCs/>
                <w:color w:val="auto"/>
                <w:kern w:val="0"/>
                <w:sz w:val="21"/>
                <w:szCs w:val="21"/>
              </w:rPr>
              <w:t>表</w:t>
            </w:r>
            <w:r>
              <w:rPr>
                <w:rFonts w:hint="eastAsia"/>
                <w:b/>
                <w:bCs/>
                <w:color w:val="auto"/>
                <w:kern w:val="0"/>
                <w:sz w:val="21"/>
                <w:szCs w:val="21"/>
              </w:rPr>
              <w:t>3</w:t>
            </w:r>
            <w:r>
              <w:rPr>
                <w:rFonts w:hint="default"/>
                <w:b/>
                <w:bCs/>
                <w:color w:val="auto"/>
                <w:kern w:val="0"/>
                <w:sz w:val="21"/>
                <w:szCs w:val="21"/>
              </w:rPr>
              <w:t>-</w:t>
            </w:r>
            <w:r>
              <w:rPr>
                <w:rFonts w:hint="eastAsia"/>
                <w:b/>
                <w:bCs/>
                <w:color w:val="auto"/>
                <w:kern w:val="0"/>
                <w:sz w:val="21"/>
                <w:szCs w:val="21"/>
                <w:lang w:val="en-US" w:eastAsia="zh-CN"/>
              </w:rPr>
              <w:t>7</w:t>
            </w:r>
            <w:r>
              <w:rPr>
                <w:rFonts w:hint="eastAsia"/>
                <w:b/>
                <w:bCs/>
                <w:color w:val="auto"/>
                <w:kern w:val="0"/>
                <w:sz w:val="21"/>
                <w:szCs w:val="21"/>
              </w:rPr>
              <w:t xml:space="preserve"> </w:t>
            </w:r>
            <w:r>
              <w:rPr>
                <w:rFonts w:hint="default"/>
                <w:b/>
                <w:bCs/>
                <w:color w:val="auto"/>
                <w:kern w:val="0"/>
                <w:sz w:val="21"/>
                <w:szCs w:val="21"/>
              </w:rPr>
              <w:t xml:space="preserve"> </w:t>
            </w:r>
            <w:r>
              <w:rPr>
                <w:rFonts w:hint="default" w:ascii="宋体" w:hAnsi="宋体"/>
                <w:b/>
                <w:bCs/>
                <w:color w:val="auto"/>
                <w:kern w:val="0"/>
                <w:sz w:val="21"/>
                <w:szCs w:val="21"/>
              </w:rPr>
              <w:t>厂区内</w:t>
            </w:r>
            <w:r>
              <w:rPr>
                <w:rFonts w:hint="eastAsia"/>
                <w:b/>
                <w:bCs/>
                <w:color w:val="auto"/>
                <w:kern w:val="0"/>
                <w:sz w:val="21"/>
                <w:szCs w:val="21"/>
                <w:highlight w:val="none"/>
              </w:rPr>
              <w:t>非甲烷</w:t>
            </w:r>
            <w:r>
              <w:rPr>
                <w:rFonts w:hint="default"/>
                <w:b/>
                <w:bCs/>
                <w:color w:val="auto"/>
                <w:kern w:val="0"/>
                <w:sz w:val="21"/>
                <w:szCs w:val="21"/>
                <w:highlight w:val="none"/>
              </w:rPr>
              <w:t>总烃</w:t>
            </w:r>
            <w:r>
              <w:rPr>
                <w:rFonts w:hint="default" w:ascii="宋体" w:hAnsi="宋体"/>
                <w:b/>
                <w:bCs/>
                <w:color w:val="auto"/>
                <w:kern w:val="0"/>
                <w:sz w:val="21"/>
                <w:szCs w:val="21"/>
                <w:highlight w:val="none"/>
              </w:rPr>
              <w:t>无组织</w:t>
            </w:r>
            <w:r>
              <w:rPr>
                <w:rFonts w:hint="default" w:ascii="宋体" w:hAnsi="宋体"/>
                <w:b/>
                <w:bCs/>
                <w:color w:val="auto"/>
                <w:kern w:val="0"/>
                <w:sz w:val="21"/>
                <w:szCs w:val="21"/>
              </w:rPr>
              <w:t>排放限值</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654"/>
              <w:gridCol w:w="2583"/>
              <w:gridCol w:w="2069"/>
            </w:tblGrid>
            <w:tr w14:paraId="152B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tcBorders>
                    <w:top w:val="single" w:color="auto" w:sz="4" w:space="0"/>
                    <w:left w:val="single" w:color="auto" w:sz="4" w:space="0"/>
                    <w:bottom w:val="single" w:color="auto" w:sz="4" w:space="0"/>
                    <w:right w:val="single" w:color="auto" w:sz="4" w:space="0"/>
                  </w:tcBorders>
                  <w:vAlign w:val="center"/>
                </w:tcPr>
                <w:p w14:paraId="7C478D91">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污染物项目</w:t>
                  </w:r>
                </w:p>
              </w:tc>
              <w:tc>
                <w:tcPr>
                  <w:tcW w:w="1676" w:type="dxa"/>
                  <w:tcBorders>
                    <w:top w:val="single" w:color="auto" w:sz="4" w:space="0"/>
                    <w:left w:val="single" w:color="auto" w:sz="4" w:space="0"/>
                    <w:bottom w:val="single" w:color="auto" w:sz="4" w:space="0"/>
                    <w:right w:val="single" w:color="auto" w:sz="4" w:space="0"/>
                  </w:tcBorders>
                  <w:vAlign w:val="center"/>
                </w:tcPr>
                <w:p w14:paraId="4C99F327">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vertAlign w:val="superscript"/>
                    </w:rPr>
                  </w:pPr>
                  <w:r>
                    <w:rPr>
                      <w:rFonts w:hint="default" w:ascii="宋体" w:hAnsi="宋体"/>
                      <w:b/>
                      <w:color w:val="auto"/>
                      <w:sz w:val="21"/>
                      <w:szCs w:val="21"/>
                    </w:rPr>
                    <w:t>排放限值</w:t>
                  </w:r>
                  <w:r>
                    <w:rPr>
                      <w:rFonts w:hint="default"/>
                      <w:b/>
                      <w:color w:val="auto"/>
                      <w:sz w:val="21"/>
                      <w:szCs w:val="21"/>
                    </w:rPr>
                    <w:t>mg/m</w:t>
                  </w:r>
                  <w:r>
                    <w:rPr>
                      <w:rFonts w:hint="default"/>
                      <w:b/>
                      <w:color w:val="auto"/>
                      <w:sz w:val="21"/>
                      <w:szCs w:val="21"/>
                      <w:vertAlign w:val="superscript"/>
                    </w:rPr>
                    <w:t>3</w:t>
                  </w:r>
                </w:p>
              </w:tc>
              <w:tc>
                <w:tcPr>
                  <w:tcW w:w="2619" w:type="dxa"/>
                  <w:tcBorders>
                    <w:top w:val="single" w:color="auto" w:sz="4" w:space="0"/>
                    <w:left w:val="single" w:color="auto" w:sz="4" w:space="0"/>
                    <w:bottom w:val="single" w:color="auto" w:sz="4" w:space="0"/>
                    <w:right w:val="single" w:color="auto" w:sz="4" w:space="0"/>
                  </w:tcBorders>
                  <w:vAlign w:val="center"/>
                </w:tcPr>
                <w:p w14:paraId="4D431CB6">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限值含义</w:t>
                  </w:r>
                </w:p>
              </w:tc>
              <w:tc>
                <w:tcPr>
                  <w:tcW w:w="2097" w:type="dxa"/>
                  <w:tcBorders>
                    <w:top w:val="single" w:color="auto" w:sz="4" w:space="0"/>
                    <w:left w:val="single" w:color="auto" w:sz="4" w:space="0"/>
                    <w:bottom w:val="single" w:color="auto" w:sz="4" w:space="0"/>
                    <w:right w:val="single" w:color="auto" w:sz="4" w:space="0"/>
                  </w:tcBorders>
                  <w:vAlign w:val="center"/>
                </w:tcPr>
                <w:p w14:paraId="1FDCE3C0">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无组织排放监控位置</w:t>
                  </w:r>
                </w:p>
              </w:tc>
            </w:tr>
            <w:tr w14:paraId="5F66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Merge w:val="restart"/>
                  <w:tcBorders>
                    <w:top w:val="nil"/>
                    <w:left w:val="single" w:color="auto" w:sz="4" w:space="0"/>
                    <w:bottom w:val="single" w:color="auto" w:sz="4" w:space="0"/>
                    <w:right w:val="single" w:color="auto" w:sz="4" w:space="0"/>
                  </w:tcBorders>
                  <w:vAlign w:val="center"/>
                </w:tcPr>
                <w:p w14:paraId="490E51A9">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非甲烷总烃</w:t>
                  </w:r>
                </w:p>
              </w:tc>
              <w:tc>
                <w:tcPr>
                  <w:tcW w:w="1676" w:type="dxa"/>
                  <w:tcBorders>
                    <w:top w:val="single" w:color="auto" w:sz="4" w:space="0"/>
                    <w:left w:val="single" w:color="auto" w:sz="4" w:space="0"/>
                    <w:bottom w:val="single" w:color="auto" w:sz="4" w:space="0"/>
                    <w:right w:val="single" w:color="auto" w:sz="4" w:space="0"/>
                  </w:tcBorders>
                  <w:vAlign w:val="center"/>
                </w:tcPr>
                <w:p w14:paraId="00E7111A">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10</w:t>
                  </w:r>
                </w:p>
              </w:tc>
              <w:tc>
                <w:tcPr>
                  <w:tcW w:w="2619" w:type="dxa"/>
                  <w:tcBorders>
                    <w:top w:val="single" w:color="auto" w:sz="4" w:space="0"/>
                    <w:left w:val="single" w:color="auto" w:sz="4" w:space="0"/>
                    <w:bottom w:val="single" w:color="auto" w:sz="4" w:space="0"/>
                    <w:right w:val="single" w:color="auto" w:sz="4" w:space="0"/>
                  </w:tcBorders>
                  <w:vAlign w:val="center"/>
                </w:tcPr>
                <w:p w14:paraId="1E334979">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监控点处</w:t>
                  </w:r>
                  <w:r>
                    <w:rPr>
                      <w:rFonts w:hint="default"/>
                      <w:color w:val="auto"/>
                      <w:sz w:val="21"/>
                      <w:szCs w:val="21"/>
                    </w:rPr>
                    <w:t>1h</w:t>
                  </w:r>
                  <w:r>
                    <w:rPr>
                      <w:rFonts w:hint="default" w:ascii="宋体" w:hAnsi="宋体"/>
                      <w:color w:val="auto"/>
                      <w:sz w:val="21"/>
                      <w:szCs w:val="21"/>
                    </w:rPr>
                    <w:t>平均浓度值</w:t>
                  </w:r>
                </w:p>
              </w:tc>
              <w:tc>
                <w:tcPr>
                  <w:tcW w:w="2097" w:type="dxa"/>
                  <w:vMerge w:val="restart"/>
                  <w:tcBorders>
                    <w:top w:val="nil"/>
                    <w:left w:val="single" w:color="auto" w:sz="4" w:space="0"/>
                    <w:bottom w:val="single" w:color="auto" w:sz="4" w:space="0"/>
                    <w:right w:val="single" w:color="auto" w:sz="4" w:space="0"/>
                  </w:tcBorders>
                  <w:vAlign w:val="center"/>
                </w:tcPr>
                <w:p w14:paraId="33372513">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在厂房外设置监控点</w:t>
                  </w:r>
                </w:p>
              </w:tc>
            </w:tr>
            <w:tr w14:paraId="09DC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Merge w:val="continue"/>
                  <w:tcBorders>
                    <w:top w:val="nil"/>
                    <w:left w:val="single" w:color="auto" w:sz="4" w:space="0"/>
                    <w:bottom w:val="single" w:color="auto" w:sz="4" w:space="0"/>
                    <w:right w:val="single" w:color="auto" w:sz="4" w:space="0"/>
                  </w:tcBorders>
                  <w:vAlign w:val="center"/>
                </w:tcPr>
                <w:p w14:paraId="076375AE">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676" w:type="dxa"/>
                  <w:tcBorders>
                    <w:top w:val="single" w:color="auto" w:sz="4" w:space="0"/>
                    <w:left w:val="single" w:color="auto" w:sz="4" w:space="0"/>
                    <w:bottom w:val="single" w:color="auto" w:sz="4" w:space="0"/>
                    <w:right w:val="single" w:color="auto" w:sz="4" w:space="0"/>
                  </w:tcBorders>
                  <w:vAlign w:val="center"/>
                </w:tcPr>
                <w:p w14:paraId="746F3233">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30</w:t>
                  </w:r>
                </w:p>
              </w:tc>
              <w:tc>
                <w:tcPr>
                  <w:tcW w:w="2619" w:type="dxa"/>
                  <w:tcBorders>
                    <w:top w:val="single" w:color="auto" w:sz="4" w:space="0"/>
                    <w:left w:val="single" w:color="auto" w:sz="4" w:space="0"/>
                    <w:bottom w:val="single" w:color="auto" w:sz="4" w:space="0"/>
                    <w:right w:val="single" w:color="auto" w:sz="4" w:space="0"/>
                  </w:tcBorders>
                  <w:vAlign w:val="center"/>
                </w:tcPr>
                <w:p w14:paraId="65DBCD0C">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监控点处任意一次浓度值</w:t>
                  </w:r>
                </w:p>
              </w:tc>
              <w:tc>
                <w:tcPr>
                  <w:tcW w:w="2097" w:type="dxa"/>
                  <w:vMerge w:val="continue"/>
                  <w:tcBorders>
                    <w:top w:val="nil"/>
                    <w:left w:val="single" w:color="auto" w:sz="4" w:space="0"/>
                    <w:bottom w:val="single" w:color="auto" w:sz="4" w:space="0"/>
                    <w:right w:val="single" w:color="auto" w:sz="4" w:space="0"/>
                  </w:tcBorders>
                  <w:vAlign w:val="center"/>
                </w:tcPr>
                <w:p w14:paraId="4EEB80CE">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r>
          </w:tbl>
          <w:p w14:paraId="030341ED">
            <w:pPr>
              <w:keepNext w:val="0"/>
              <w:keepLines w:val="0"/>
              <w:suppressLineNumbers w:val="0"/>
              <w:spacing w:before="0" w:beforeAutospacing="0" w:after="0" w:afterAutospacing="0"/>
              <w:ind w:left="0" w:right="0" w:firstLine="480"/>
              <w:rPr>
                <w:rFonts w:hint="default" w:cs="宋体"/>
                <w:color w:val="auto"/>
              </w:rPr>
            </w:pPr>
            <w:r>
              <w:rPr>
                <w:rFonts w:hint="eastAsia"/>
                <w:b w:val="0"/>
                <w:bCs w:val="0"/>
                <w:color w:val="auto"/>
                <w:vertAlign w:val="baseline"/>
                <w:lang w:val="en-US" w:eastAsia="zh-CN"/>
              </w:rPr>
              <w:t>③</w:t>
            </w:r>
            <w:r>
              <w:rPr>
                <w:rFonts w:hint="eastAsia" w:ascii="宋体" w:hAnsi="宋体"/>
                <w:color w:val="auto"/>
              </w:rPr>
              <w:t>厂界异味执行《恶臭污染物排放标准》（</w:t>
            </w:r>
            <w:r>
              <w:rPr>
                <w:rFonts w:hint="default"/>
                <w:color w:val="auto"/>
              </w:rPr>
              <w:t>GB14554-1993</w:t>
            </w:r>
            <w:r>
              <w:rPr>
                <w:rFonts w:hint="eastAsia" w:ascii="宋体" w:hAnsi="宋体"/>
                <w:color w:val="auto"/>
              </w:rPr>
              <w:t>）中相关标准限值，标准值见下表。</w:t>
            </w:r>
          </w:p>
          <w:p w14:paraId="00CADC9B">
            <w:pPr>
              <w:pStyle w:val="27"/>
              <w:keepNext w:val="0"/>
              <w:keepLines w:val="0"/>
              <w:widowControl w:val="0"/>
              <w:suppressLineNumbers w:val="0"/>
              <w:spacing w:before="0" w:beforeAutospacing="0" w:after="0" w:afterAutospacing="0"/>
              <w:ind w:left="0" w:right="0" w:firstLine="482"/>
              <w:jc w:val="center"/>
              <w:rPr>
                <w:rFonts w:hint="default" w:ascii="Times New Roman" w:hAnsi="Times New Roman"/>
                <w:color w:val="auto"/>
              </w:rPr>
            </w:pPr>
            <w:r>
              <w:rPr>
                <w:rFonts w:hint="eastAsia"/>
                <w:b/>
                <w:bCs/>
                <w:color w:val="auto"/>
                <w:sz w:val="21"/>
                <w:szCs w:val="21"/>
              </w:rPr>
              <w:t>表</w:t>
            </w:r>
            <w:r>
              <w:rPr>
                <w:rFonts w:hint="default" w:ascii="Times New Roman" w:hAnsi="Times New Roman"/>
                <w:b/>
                <w:bCs/>
                <w:color w:val="auto"/>
                <w:sz w:val="21"/>
                <w:szCs w:val="21"/>
              </w:rPr>
              <w:t>3-</w:t>
            </w:r>
            <w:r>
              <w:rPr>
                <w:rFonts w:hint="eastAsia" w:ascii="Times New Roman" w:hAnsi="Times New Roman"/>
                <w:b/>
                <w:bCs/>
                <w:color w:val="auto"/>
                <w:sz w:val="21"/>
                <w:szCs w:val="21"/>
                <w:lang w:val="en-US" w:eastAsia="zh-CN"/>
              </w:rPr>
              <w:t>8</w:t>
            </w:r>
            <w:r>
              <w:rPr>
                <w:rFonts w:hint="default" w:ascii="Times New Roman" w:hAnsi="Times New Roman"/>
                <w:b/>
                <w:bCs/>
                <w:color w:val="auto"/>
                <w:sz w:val="21"/>
                <w:szCs w:val="21"/>
              </w:rPr>
              <w:t xml:space="preserve"> </w:t>
            </w:r>
            <w:r>
              <w:rPr>
                <w:rFonts w:hint="eastAsia"/>
                <w:b/>
                <w:bCs/>
                <w:color w:val="auto"/>
                <w:sz w:val="21"/>
                <w:szCs w:val="21"/>
              </w:rPr>
              <w:t>恶臭污染物排放标准</w:t>
            </w:r>
          </w:p>
          <w:tbl>
            <w:tblPr>
              <w:tblStyle w:val="29"/>
              <w:tblW w:w="7799" w:type="dxa"/>
              <w:jc w:val="center"/>
              <w:tblLayout w:type="fixed"/>
              <w:tblCellMar>
                <w:top w:w="0" w:type="dxa"/>
                <w:left w:w="108" w:type="dxa"/>
                <w:bottom w:w="0" w:type="dxa"/>
                <w:right w:w="108" w:type="dxa"/>
              </w:tblCellMar>
            </w:tblPr>
            <w:tblGrid>
              <w:gridCol w:w="3898"/>
              <w:gridCol w:w="3901"/>
            </w:tblGrid>
            <w:tr w14:paraId="08B41CCF">
              <w:tblPrEx>
                <w:tblCellMar>
                  <w:top w:w="0" w:type="dxa"/>
                  <w:left w:w="108" w:type="dxa"/>
                  <w:bottom w:w="0" w:type="dxa"/>
                  <w:right w:w="108" w:type="dxa"/>
                </w:tblCellMar>
              </w:tblPrEx>
              <w:trPr>
                <w:trHeight w:val="471" w:hRule="atLeast"/>
                <w:jc w:val="center"/>
              </w:trPr>
              <w:tc>
                <w:tcPr>
                  <w:tcW w:w="3898" w:type="dxa"/>
                  <w:tcBorders>
                    <w:top w:val="single" w:color="auto" w:sz="4" w:space="0"/>
                    <w:left w:val="single" w:color="auto" w:sz="4" w:space="0"/>
                    <w:bottom w:val="single" w:color="auto" w:sz="4" w:space="0"/>
                    <w:right w:val="single" w:color="auto" w:sz="4" w:space="0"/>
                  </w:tcBorders>
                  <w:vAlign w:val="center"/>
                </w:tcPr>
                <w:p w14:paraId="68BDEEB8">
                  <w:pPr>
                    <w:pStyle w:val="27"/>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3901" w:type="dxa"/>
                  <w:tcBorders>
                    <w:top w:val="single" w:color="auto" w:sz="4" w:space="0"/>
                    <w:left w:val="nil"/>
                    <w:bottom w:val="single" w:color="auto" w:sz="4" w:space="0"/>
                    <w:right w:val="single" w:color="auto" w:sz="4" w:space="0"/>
                  </w:tcBorders>
                  <w:vAlign w:val="center"/>
                </w:tcPr>
                <w:p w14:paraId="5562C558">
                  <w:pPr>
                    <w:pStyle w:val="27"/>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厂界标准限值</w:t>
                  </w:r>
                </w:p>
              </w:tc>
            </w:tr>
            <w:tr w14:paraId="4E11B265">
              <w:tblPrEx>
                <w:tblCellMar>
                  <w:top w:w="0" w:type="dxa"/>
                  <w:left w:w="108" w:type="dxa"/>
                  <w:bottom w:w="0" w:type="dxa"/>
                  <w:right w:w="108" w:type="dxa"/>
                </w:tblCellMar>
              </w:tblPrEx>
              <w:trPr>
                <w:trHeight w:val="481" w:hRule="atLeast"/>
                <w:jc w:val="center"/>
              </w:trPr>
              <w:tc>
                <w:tcPr>
                  <w:tcW w:w="3898" w:type="dxa"/>
                  <w:tcBorders>
                    <w:top w:val="single" w:color="auto" w:sz="4" w:space="0"/>
                    <w:left w:val="single" w:color="auto" w:sz="4" w:space="0"/>
                    <w:bottom w:val="single" w:color="auto" w:sz="4" w:space="0"/>
                    <w:right w:val="single" w:color="auto" w:sz="4" w:space="0"/>
                  </w:tcBorders>
                  <w:vAlign w:val="center"/>
                </w:tcPr>
                <w:p w14:paraId="592A69C1">
                  <w:pPr>
                    <w:pStyle w:val="27"/>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臭气浓度（无量纲）</w:t>
                  </w:r>
                </w:p>
              </w:tc>
              <w:tc>
                <w:tcPr>
                  <w:tcW w:w="3901" w:type="dxa"/>
                  <w:tcBorders>
                    <w:top w:val="single" w:color="auto" w:sz="4" w:space="0"/>
                    <w:left w:val="nil"/>
                    <w:bottom w:val="single" w:color="auto" w:sz="4" w:space="0"/>
                    <w:right w:val="single" w:color="auto" w:sz="4" w:space="0"/>
                  </w:tcBorders>
                  <w:vAlign w:val="center"/>
                </w:tcPr>
                <w:p w14:paraId="3DB6A59E">
                  <w:pPr>
                    <w:pStyle w:val="27"/>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bl>
          <w:p w14:paraId="7FEDB744">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vertAlign w:val="baseline"/>
                <w:lang w:val="en-US" w:eastAsia="zh-CN"/>
              </w:rPr>
            </w:pPr>
            <w:r>
              <w:rPr>
                <w:rFonts w:hint="eastAsia"/>
                <w:b/>
                <w:bCs/>
                <w:color w:val="auto"/>
                <w:vertAlign w:val="baseline"/>
                <w:lang w:val="en-US" w:eastAsia="zh-CN"/>
              </w:rPr>
              <w:t>2、水污染物排放标准</w:t>
            </w:r>
          </w:p>
          <w:p w14:paraId="0417F0BF">
            <w:pPr>
              <w:keepNext w:val="0"/>
              <w:keepLines w:val="0"/>
              <w:suppressLineNumbers w:val="0"/>
              <w:spacing w:before="0" w:beforeAutospacing="0" w:after="0" w:afterAutospacing="0"/>
              <w:ind w:left="0" w:right="0" w:firstLine="482" w:firstLineChars="200"/>
              <w:rPr>
                <w:rFonts w:hint="eastAsia"/>
                <w:b/>
                <w:bCs/>
                <w:color w:val="auto"/>
                <w:vertAlign w:val="baseline"/>
                <w:lang w:val="en-US" w:eastAsia="zh-CN"/>
              </w:rPr>
            </w:pPr>
            <w:r>
              <w:rPr>
                <w:rFonts w:hint="eastAsia"/>
                <w:b/>
                <w:bCs/>
                <w:color w:val="auto"/>
                <w:vertAlign w:val="baseline"/>
                <w:lang w:val="en-US" w:eastAsia="zh-CN"/>
              </w:rPr>
              <w:t>（1）生活污水</w:t>
            </w:r>
          </w:p>
          <w:p w14:paraId="2335EDE4">
            <w:pPr>
              <w:keepNext w:val="0"/>
              <w:keepLines w:val="0"/>
              <w:suppressLineNumbers w:val="0"/>
              <w:spacing w:before="0" w:beforeAutospacing="0" w:after="0" w:afterAutospacing="0"/>
              <w:ind w:left="0" w:right="0" w:firstLine="480" w:firstLineChars="200"/>
              <w:rPr>
                <w:rFonts w:hint="default" w:eastAsia="Times New Roman"/>
                <w:b w:val="0"/>
                <w:bCs w:val="0"/>
                <w:color w:val="auto"/>
                <w:kern w:val="0"/>
              </w:rPr>
            </w:pPr>
            <w:r>
              <w:rPr>
                <w:rFonts w:hint="eastAsia"/>
                <w:b w:val="0"/>
                <w:bCs w:val="0"/>
                <w:color w:val="auto"/>
                <w:vertAlign w:val="baseline"/>
                <w:lang w:val="en-US" w:eastAsia="zh-CN"/>
              </w:rPr>
              <w:t>本项目生产废水收集后进入一体化污水处理设施，处理后回用于清洗环节，不外排。生活废水进入化粪池处理后，由于项目区未接通园区管网，定期委托环卫部门清掏，不外排。若今后项目区接通园区管网，项目生活废水经化粪池处理后排入园区市政污水管网，</w:t>
            </w:r>
            <w:r>
              <w:rPr>
                <w:rFonts w:hint="default" w:eastAsia="Times New Roman"/>
                <w:b w:val="0"/>
                <w:bCs w:val="0"/>
                <w:color w:val="auto"/>
                <w:kern w:val="0"/>
              </w:rPr>
              <w:t>排放标准执行</w:t>
            </w:r>
            <w:r>
              <w:rPr>
                <w:rFonts w:hint="eastAsia" w:eastAsia="Times New Roman"/>
                <w:b w:val="0"/>
                <w:bCs w:val="0"/>
                <w:color w:val="auto"/>
                <w:kern w:val="0"/>
              </w:rPr>
              <w:t>《污水综合排放标准》（GB8978-1996）</w:t>
            </w:r>
            <w:r>
              <w:rPr>
                <w:rFonts w:hint="eastAsia" w:eastAsia="宋体"/>
                <w:b w:val="0"/>
                <w:bCs w:val="0"/>
                <w:color w:val="auto"/>
                <w:kern w:val="0"/>
                <w:lang w:val="en-US" w:eastAsia="zh-CN"/>
              </w:rPr>
              <w:t>三</w:t>
            </w:r>
            <w:r>
              <w:rPr>
                <w:rFonts w:hint="default" w:eastAsia="Times New Roman"/>
                <w:b w:val="0"/>
                <w:bCs w:val="0"/>
                <w:color w:val="auto"/>
                <w:kern w:val="0"/>
              </w:rPr>
              <w:t>级标准。</w:t>
            </w:r>
          </w:p>
          <w:p w14:paraId="7096A563">
            <w:pPr>
              <w:jc w:val="center"/>
              <w:rPr>
                <w:rFonts w:eastAsia="Times New Roman"/>
                <w:b/>
                <w:color w:val="auto"/>
                <w:kern w:val="0"/>
                <w:sz w:val="21"/>
                <w:szCs w:val="21"/>
              </w:rPr>
            </w:pPr>
            <w:r>
              <w:rPr>
                <w:rFonts w:hint="eastAsia" w:eastAsia="Times New Roman"/>
                <w:b/>
                <w:color w:val="auto"/>
                <w:kern w:val="0"/>
                <w:sz w:val="21"/>
                <w:szCs w:val="21"/>
              </w:rPr>
              <w:t>表3-</w:t>
            </w:r>
            <w:r>
              <w:rPr>
                <w:rFonts w:hint="eastAsia"/>
                <w:b/>
                <w:color w:val="auto"/>
                <w:kern w:val="0"/>
                <w:sz w:val="21"/>
                <w:szCs w:val="21"/>
                <w:lang w:val="en-US" w:eastAsia="zh-CN"/>
              </w:rPr>
              <w:t>9</w:t>
            </w:r>
            <w:r>
              <w:rPr>
                <w:rFonts w:hint="eastAsia" w:eastAsia="Times New Roman"/>
                <w:b/>
                <w:color w:val="auto"/>
                <w:kern w:val="0"/>
                <w:sz w:val="21"/>
                <w:szCs w:val="21"/>
              </w:rPr>
              <w:t xml:space="preserve"> 《污水综合排放标准》（GB8978-1996） 单位：mg/L</w:t>
            </w:r>
          </w:p>
          <w:tbl>
            <w:tblPr>
              <w:tblStyle w:val="30"/>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039"/>
              <w:gridCol w:w="1238"/>
              <w:gridCol w:w="1239"/>
              <w:gridCol w:w="1026"/>
              <w:gridCol w:w="1814"/>
            </w:tblGrid>
            <w:tr w14:paraId="1D42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81" w:type="dxa"/>
                  <w:vAlign w:val="center"/>
                </w:tcPr>
                <w:p w14:paraId="1382E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标准类别</w:t>
                  </w:r>
                </w:p>
              </w:tc>
              <w:tc>
                <w:tcPr>
                  <w:tcW w:w="1039" w:type="dxa"/>
                  <w:vAlign w:val="center"/>
                </w:tcPr>
                <w:p w14:paraId="78DAE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pH</w:t>
                  </w:r>
                </w:p>
              </w:tc>
              <w:tc>
                <w:tcPr>
                  <w:tcW w:w="1238" w:type="dxa"/>
                  <w:vAlign w:val="center"/>
                </w:tcPr>
                <w:p w14:paraId="18EE14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BOD</w:t>
                  </w:r>
                  <w:r>
                    <w:rPr>
                      <w:rFonts w:eastAsia="Times New Roman"/>
                      <w:b/>
                      <w:color w:val="auto"/>
                      <w:kern w:val="0"/>
                      <w:sz w:val="21"/>
                      <w:szCs w:val="21"/>
                      <w:vertAlign w:val="subscript"/>
                    </w:rPr>
                    <w:t>5</w:t>
                  </w:r>
                </w:p>
              </w:tc>
              <w:tc>
                <w:tcPr>
                  <w:tcW w:w="1239" w:type="dxa"/>
                  <w:vAlign w:val="center"/>
                </w:tcPr>
                <w:p w14:paraId="7A207A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CODcr</w:t>
                  </w:r>
                </w:p>
              </w:tc>
              <w:tc>
                <w:tcPr>
                  <w:tcW w:w="1026" w:type="dxa"/>
                  <w:vAlign w:val="center"/>
                </w:tcPr>
                <w:p w14:paraId="244A4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SS</w:t>
                  </w:r>
                </w:p>
              </w:tc>
              <w:tc>
                <w:tcPr>
                  <w:tcW w:w="1814" w:type="dxa"/>
                  <w:vAlign w:val="center"/>
                </w:tcPr>
                <w:p w14:paraId="4E1BA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动植物油</w:t>
                  </w:r>
                </w:p>
              </w:tc>
            </w:tr>
            <w:tr w14:paraId="4A19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81" w:type="dxa"/>
                  <w:vAlign w:val="center"/>
                </w:tcPr>
                <w:p w14:paraId="11B03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hint="eastAsia" w:eastAsia="宋体"/>
                      <w:color w:val="auto"/>
                      <w:kern w:val="0"/>
                      <w:sz w:val="21"/>
                      <w:szCs w:val="21"/>
                      <w:lang w:val="en-US" w:eastAsia="zh-CN"/>
                    </w:rPr>
                    <w:t>三</w:t>
                  </w:r>
                  <w:r>
                    <w:rPr>
                      <w:rFonts w:eastAsia="Times New Roman"/>
                      <w:color w:val="auto"/>
                      <w:kern w:val="0"/>
                      <w:sz w:val="21"/>
                      <w:szCs w:val="21"/>
                    </w:rPr>
                    <w:t>级标准</w:t>
                  </w:r>
                </w:p>
              </w:tc>
              <w:tc>
                <w:tcPr>
                  <w:tcW w:w="1039" w:type="dxa"/>
                  <w:vAlign w:val="center"/>
                </w:tcPr>
                <w:p w14:paraId="6CF8E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imes New Roman"/>
                      <w:color w:val="auto"/>
                      <w:kern w:val="0"/>
                      <w:sz w:val="21"/>
                      <w:szCs w:val="21"/>
                      <w:lang w:val="en-US"/>
                    </w:rPr>
                  </w:pPr>
                  <w:r>
                    <w:rPr>
                      <w:rFonts w:eastAsia="Times New Roman"/>
                      <w:color w:val="auto"/>
                      <w:kern w:val="0"/>
                      <w:sz w:val="21"/>
                      <w:szCs w:val="21"/>
                    </w:rPr>
                    <w:t>6</w:t>
                  </w:r>
                  <w:r>
                    <w:rPr>
                      <w:rFonts w:hint="eastAsia" w:eastAsia="宋体"/>
                      <w:color w:val="auto"/>
                      <w:kern w:val="0"/>
                      <w:sz w:val="21"/>
                      <w:szCs w:val="21"/>
                      <w:lang w:val="en-US" w:eastAsia="zh-CN"/>
                    </w:rPr>
                    <w:t>-9</w:t>
                  </w:r>
                </w:p>
              </w:tc>
              <w:tc>
                <w:tcPr>
                  <w:tcW w:w="1238" w:type="dxa"/>
                  <w:vAlign w:val="center"/>
                </w:tcPr>
                <w:p w14:paraId="053BC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300</w:t>
                  </w:r>
                </w:p>
              </w:tc>
              <w:tc>
                <w:tcPr>
                  <w:tcW w:w="1239" w:type="dxa"/>
                  <w:vAlign w:val="center"/>
                </w:tcPr>
                <w:p w14:paraId="57C6E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500</w:t>
                  </w:r>
                </w:p>
              </w:tc>
              <w:tc>
                <w:tcPr>
                  <w:tcW w:w="1026" w:type="dxa"/>
                  <w:vAlign w:val="center"/>
                </w:tcPr>
                <w:p w14:paraId="6B2AF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400</w:t>
                  </w:r>
                </w:p>
              </w:tc>
              <w:tc>
                <w:tcPr>
                  <w:tcW w:w="1814" w:type="dxa"/>
                  <w:vAlign w:val="center"/>
                </w:tcPr>
                <w:p w14:paraId="768B4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100</w:t>
                  </w:r>
                </w:p>
              </w:tc>
            </w:tr>
          </w:tbl>
          <w:p w14:paraId="3C635744">
            <w:pPr>
              <w:numPr>
                <w:ilvl w:val="0"/>
                <w:numId w:val="4"/>
              </w:numPr>
              <w:ind w:firstLine="482" w:firstLineChars="200"/>
              <w:rPr>
                <w:rFonts w:hint="eastAsia" w:eastAsia="宋体"/>
                <w:b/>
                <w:bCs/>
                <w:color w:val="auto"/>
                <w:kern w:val="0"/>
                <w:lang w:val="en-US" w:eastAsia="zh-CN"/>
              </w:rPr>
            </w:pPr>
            <w:r>
              <w:rPr>
                <w:rFonts w:hint="eastAsia" w:eastAsia="宋体"/>
                <w:b/>
                <w:bCs/>
                <w:color w:val="auto"/>
                <w:kern w:val="0"/>
                <w:lang w:val="en-US" w:eastAsia="zh-CN"/>
              </w:rPr>
              <w:t>生产废水</w:t>
            </w:r>
          </w:p>
          <w:p w14:paraId="09A7ED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宋体"/>
                <w:b w:val="0"/>
                <w:bCs w:val="0"/>
                <w:color w:val="auto"/>
                <w:kern w:val="0"/>
                <w:lang w:val="en-US" w:eastAsia="zh-CN"/>
              </w:rPr>
            </w:pPr>
            <w:r>
              <w:rPr>
                <w:rFonts w:hint="eastAsia" w:eastAsia="宋体"/>
                <w:b w:val="0"/>
                <w:bCs w:val="0"/>
                <w:color w:val="auto"/>
                <w:kern w:val="0"/>
                <w:lang w:val="en-US" w:eastAsia="zh-CN"/>
              </w:rPr>
              <w:t>项目生产</w:t>
            </w:r>
            <w:r>
              <w:rPr>
                <w:rFonts w:hint="default" w:eastAsia="宋体"/>
                <w:b w:val="0"/>
                <w:bCs w:val="0"/>
                <w:color w:val="auto"/>
                <w:kern w:val="0"/>
                <w:lang w:val="en-US" w:eastAsia="zh-CN"/>
              </w:rPr>
              <w:t>废水采用排污管连接罐体卸料口，直接通过排污管接入</w:t>
            </w:r>
            <w:r>
              <w:rPr>
                <w:rFonts w:hint="eastAsia"/>
                <w:b w:val="0"/>
                <w:bCs w:val="0"/>
                <w:color w:val="auto"/>
                <w:kern w:val="0"/>
                <w:lang w:val="en-US" w:eastAsia="zh-CN"/>
              </w:rPr>
              <w:t>隔油</w:t>
            </w:r>
            <w:r>
              <w:rPr>
                <w:rFonts w:hint="default" w:eastAsia="宋体"/>
                <w:b w:val="0"/>
                <w:bCs w:val="0"/>
                <w:color w:val="auto"/>
                <w:kern w:val="0"/>
                <w:lang w:val="en-US" w:eastAsia="zh-CN"/>
              </w:rPr>
              <w:t>沉淀池，再进入一体化污水处理设施处理。一体化污水处理</w:t>
            </w:r>
            <w:r>
              <w:rPr>
                <w:rFonts w:hint="eastAsia" w:eastAsia="宋体"/>
                <w:b w:val="0"/>
                <w:bCs w:val="0"/>
                <w:color w:val="auto"/>
                <w:kern w:val="0"/>
                <w:lang w:val="en-US" w:eastAsia="zh-CN"/>
              </w:rPr>
              <w:t>设施</w:t>
            </w:r>
            <w:r>
              <w:rPr>
                <w:rFonts w:hint="default" w:eastAsia="宋体"/>
                <w:b w:val="0"/>
                <w:bCs w:val="0"/>
                <w:color w:val="auto"/>
                <w:kern w:val="0"/>
                <w:lang w:val="en-US" w:eastAsia="zh-CN"/>
              </w:rPr>
              <w:t>处理达《城市污水再生利用城市杂用水水质》（GB/T18920-2020）</w:t>
            </w:r>
            <w:r>
              <w:rPr>
                <w:rFonts w:hint="eastAsia" w:eastAsia="宋体"/>
                <w:b w:val="0"/>
                <w:bCs w:val="0"/>
                <w:color w:val="auto"/>
                <w:kern w:val="0"/>
                <w:lang w:val="en-US" w:eastAsia="zh-CN"/>
              </w:rPr>
              <w:t>中车辆冲洗标准后</w:t>
            </w:r>
            <w:r>
              <w:rPr>
                <w:rFonts w:hint="default" w:eastAsia="宋体"/>
                <w:b w:val="0"/>
                <w:bCs w:val="0"/>
                <w:color w:val="auto"/>
                <w:kern w:val="0"/>
                <w:lang w:val="en-US" w:eastAsia="zh-CN"/>
              </w:rPr>
              <w:t>回</w:t>
            </w:r>
            <w:r>
              <w:rPr>
                <w:rFonts w:hint="eastAsia"/>
                <w:b w:val="0"/>
                <w:bCs w:val="0"/>
                <w:color w:val="auto"/>
                <w:kern w:val="0"/>
                <w:lang w:val="en-US" w:eastAsia="zh-CN"/>
              </w:rPr>
              <w:t>用</w:t>
            </w:r>
            <w:r>
              <w:rPr>
                <w:rFonts w:hint="default" w:eastAsia="宋体"/>
                <w:b w:val="0"/>
                <w:bCs w:val="0"/>
                <w:color w:val="auto"/>
                <w:kern w:val="0"/>
                <w:lang w:val="en-US" w:eastAsia="zh-CN"/>
              </w:rPr>
              <w:t>，不外排</w:t>
            </w:r>
            <w:r>
              <w:rPr>
                <w:rFonts w:hint="eastAsia" w:eastAsia="宋体"/>
                <w:b w:val="0"/>
                <w:bCs w:val="0"/>
                <w:color w:val="auto"/>
                <w:kern w:val="0"/>
                <w:lang w:val="en-US" w:eastAsia="zh-CN"/>
              </w:rPr>
              <w:t>。</w:t>
            </w:r>
          </w:p>
          <w:p w14:paraId="17993105">
            <w:pPr>
              <w:ind w:firstLine="0" w:firstLineChars="0"/>
              <w:jc w:val="center"/>
              <w:rPr>
                <w:b/>
                <w:bCs/>
                <w:color w:val="auto"/>
                <w:sz w:val="21"/>
                <w:szCs w:val="21"/>
                <w:lang w:bidi="ar"/>
              </w:rPr>
            </w:pPr>
            <w:r>
              <w:rPr>
                <w:b/>
                <w:bCs/>
                <w:color w:val="auto"/>
                <w:szCs w:val="21"/>
                <w:lang w:bidi="ar"/>
              </w:rPr>
              <w:t>表</w:t>
            </w:r>
            <w:r>
              <w:rPr>
                <w:b/>
                <w:bCs/>
                <w:color w:val="auto"/>
                <w:sz w:val="21"/>
                <w:szCs w:val="21"/>
                <w:lang w:bidi="ar"/>
              </w:rPr>
              <w:t>3-</w:t>
            </w:r>
            <w:r>
              <w:rPr>
                <w:rFonts w:hint="eastAsia"/>
                <w:b/>
                <w:bCs/>
                <w:color w:val="auto"/>
                <w:sz w:val="21"/>
                <w:szCs w:val="21"/>
                <w:lang w:val="en-US" w:eastAsia="zh-CN" w:bidi="ar"/>
              </w:rPr>
              <w:t>10</w:t>
            </w:r>
            <w:r>
              <w:rPr>
                <w:rFonts w:hint="eastAsia"/>
                <w:b/>
                <w:bCs/>
                <w:color w:val="auto"/>
                <w:sz w:val="21"/>
                <w:szCs w:val="21"/>
                <w:lang w:bidi="ar"/>
              </w:rPr>
              <w:t xml:space="preserve"> </w:t>
            </w:r>
            <w:r>
              <w:rPr>
                <w:b/>
                <w:bCs/>
                <w:color w:val="auto"/>
                <w:sz w:val="21"/>
                <w:szCs w:val="21"/>
                <w:lang w:bidi="ar"/>
              </w:rPr>
              <w:t>《城市污水再生利用、城市杂用水水质》（GB/T18920-2020）单位：mg/L</w:t>
            </w:r>
          </w:p>
          <w:tbl>
            <w:tblPr>
              <w:tblStyle w:val="29"/>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398"/>
              <w:gridCol w:w="4351"/>
            </w:tblGrid>
            <w:tr w14:paraId="180BA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4319AC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
                      <w:color w:val="auto"/>
                      <w:kern w:val="21"/>
                      <w:sz w:val="21"/>
                      <w:szCs w:val="21"/>
                    </w:rPr>
                  </w:pPr>
                  <w:r>
                    <w:rPr>
                      <w:b/>
                      <w:color w:val="auto"/>
                      <w:kern w:val="21"/>
                      <w:sz w:val="21"/>
                      <w:szCs w:val="21"/>
                    </w:rPr>
                    <w:t>基本控制项目</w:t>
                  </w:r>
                </w:p>
              </w:tc>
              <w:tc>
                <w:tcPr>
                  <w:tcW w:w="2807" w:type="pct"/>
                </w:tcPr>
                <w:p w14:paraId="5B12014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
                      <w:color w:val="auto"/>
                      <w:kern w:val="21"/>
                      <w:sz w:val="21"/>
                      <w:szCs w:val="21"/>
                    </w:rPr>
                  </w:pPr>
                  <w:r>
                    <w:rPr>
                      <w:b/>
                      <w:color w:val="auto"/>
                      <w:kern w:val="21"/>
                      <w:sz w:val="21"/>
                      <w:szCs w:val="21"/>
                    </w:rPr>
                    <w:t>GB/T18920-2020中的</w:t>
                  </w:r>
                  <w:r>
                    <w:rPr>
                      <w:rFonts w:hint="eastAsia"/>
                      <w:b/>
                      <w:color w:val="auto"/>
                      <w:kern w:val="21"/>
                      <w:sz w:val="21"/>
                      <w:szCs w:val="21"/>
                      <w:lang w:val="en-US" w:eastAsia="zh-CN"/>
                    </w:rPr>
                    <w:t>车辆冲洗</w:t>
                  </w:r>
                  <w:r>
                    <w:rPr>
                      <w:b/>
                      <w:color w:val="auto"/>
                      <w:kern w:val="21"/>
                      <w:sz w:val="21"/>
                      <w:szCs w:val="21"/>
                    </w:rPr>
                    <w:t>标准</w:t>
                  </w:r>
                </w:p>
              </w:tc>
            </w:tr>
            <w:tr w14:paraId="11F90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16CF2F65">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pH值（无量纲）</w:t>
                  </w:r>
                </w:p>
              </w:tc>
              <w:tc>
                <w:tcPr>
                  <w:tcW w:w="2807" w:type="pct"/>
                </w:tcPr>
                <w:p w14:paraId="5C54D6DD">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6~9</w:t>
                  </w:r>
                </w:p>
              </w:tc>
            </w:tr>
            <w:tr w14:paraId="5F141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63EFA45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色度（稀释倍数）</w:t>
                  </w:r>
                </w:p>
              </w:tc>
              <w:tc>
                <w:tcPr>
                  <w:tcW w:w="2807" w:type="pct"/>
                </w:tcPr>
                <w:p w14:paraId="01EBF9B9">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15</w:t>
                  </w:r>
                </w:p>
              </w:tc>
            </w:tr>
            <w:tr w14:paraId="0EBC1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3D1852C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嗅</w:t>
                  </w:r>
                </w:p>
              </w:tc>
              <w:tc>
                <w:tcPr>
                  <w:tcW w:w="2807" w:type="pct"/>
                </w:tcPr>
                <w:p w14:paraId="7BC561B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无不快感</w:t>
                  </w:r>
                </w:p>
              </w:tc>
            </w:tr>
            <w:tr w14:paraId="3BCDA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08E81C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浊度/NT</w:t>
                  </w:r>
                </w:p>
              </w:tc>
              <w:tc>
                <w:tcPr>
                  <w:tcW w:w="2807" w:type="pct"/>
                </w:tcPr>
                <w:p w14:paraId="21722786">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5</w:t>
                  </w:r>
                </w:p>
              </w:tc>
            </w:tr>
            <w:tr w14:paraId="09370E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3142CFA1">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溶解性总固体/mg/L</w:t>
                  </w:r>
                </w:p>
              </w:tc>
              <w:tc>
                <w:tcPr>
                  <w:tcW w:w="2807" w:type="pct"/>
                </w:tcPr>
                <w:p w14:paraId="42678564">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1000（2000）</w:t>
                  </w:r>
                </w:p>
              </w:tc>
            </w:tr>
            <w:tr w14:paraId="5F7B2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9" w:hRule="atLeast"/>
                <w:jc w:val="center"/>
              </w:trPr>
              <w:tc>
                <w:tcPr>
                  <w:tcW w:w="2192" w:type="pct"/>
                </w:tcPr>
                <w:p w14:paraId="75489DA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rFonts w:hint="eastAsia"/>
                      <w:bCs/>
                      <w:color w:val="auto"/>
                      <w:kern w:val="21"/>
                      <w:sz w:val="21"/>
                      <w:szCs w:val="21"/>
                      <w:lang w:val="en-US" w:eastAsia="zh-CN"/>
                    </w:rPr>
                    <w:t>五日</w:t>
                  </w:r>
                  <w:r>
                    <w:rPr>
                      <w:bCs/>
                      <w:color w:val="auto"/>
                      <w:kern w:val="21"/>
                      <w:sz w:val="21"/>
                      <w:szCs w:val="21"/>
                    </w:rPr>
                    <w:t>生化需氧量（BOD</w:t>
                  </w:r>
                  <w:r>
                    <w:rPr>
                      <w:bCs/>
                      <w:color w:val="auto"/>
                      <w:kern w:val="21"/>
                      <w:sz w:val="21"/>
                      <w:szCs w:val="21"/>
                      <w:vertAlign w:val="subscript"/>
                    </w:rPr>
                    <w:t>5</w:t>
                  </w:r>
                  <w:r>
                    <w:rPr>
                      <w:bCs/>
                      <w:color w:val="auto"/>
                      <w:kern w:val="21"/>
                      <w:sz w:val="21"/>
                      <w:szCs w:val="21"/>
                    </w:rPr>
                    <w:t>）/mg/L</w:t>
                  </w:r>
                </w:p>
              </w:tc>
              <w:tc>
                <w:tcPr>
                  <w:tcW w:w="2807" w:type="pct"/>
                </w:tcPr>
                <w:p w14:paraId="3C0C347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10</w:t>
                  </w:r>
                </w:p>
              </w:tc>
            </w:tr>
            <w:tr w14:paraId="6FCE6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4FCDB715">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氨氮（以N计）/mg/L</w:t>
                  </w:r>
                </w:p>
              </w:tc>
              <w:tc>
                <w:tcPr>
                  <w:tcW w:w="2807" w:type="pct"/>
                </w:tcPr>
                <w:p w14:paraId="01F94B2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5</w:t>
                  </w:r>
                </w:p>
              </w:tc>
            </w:tr>
            <w:tr w14:paraId="55BDA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15B9A9B9">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溶解氧/mg/L</w:t>
                  </w:r>
                </w:p>
              </w:tc>
              <w:tc>
                <w:tcPr>
                  <w:tcW w:w="2807" w:type="pct"/>
                </w:tcPr>
                <w:p w14:paraId="7AE821F6">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2</w:t>
                  </w:r>
                </w:p>
              </w:tc>
            </w:tr>
            <w:tr w14:paraId="05816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9780D82">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大肠埃希氏菌</w:t>
                  </w:r>
                </w:p>
              </w:tc>
              <w:tc>
                <w:tcPr>
                  <w:tcW w:w="2807" w:type="pct"/>
                </w:tcPr>
                <w:p w14:paraId="18810E4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无</w:t>
                  </w:r>
                </w:p>
              </w:tc>
            </w:tr>
          </w:tbl>
          <w:p w14:paraId="4A02F49E">
            <w:pPr>
              <w:ind w:firstLine="480" w:firstLineChars="200"/>
              <w:rPr>
                <w:rFonts w:eastAsia="Times New Roman"/>
                <w:b/>
                <w:bCs/>
                <w:color w:val="auto"/>
                <w:kern w:val="0"/>
              </w:rPr>
            </w:pPr>
            <w:r>
              <w:rPr>
                <w:rFonts w:hint="eastAsia" w:eastAsia="Times New Roman"/>
                <w:b/>
                <w:bCs/>
                <w:color w:val="auto"/>
                <w:kern w:val="0"/>
              </w:rPr>
              <w:t>3</w:t>
            </w:r>
            <w:r>
              <w:rPr>
                <w:rFonts w:hint="eastAsia" w:ascii="宋体" w:hAnsi="宋体" w:eastAsia="Times New Roman"/>
                <w:b/>
                <w:bCs/>
                <w:color w:val="auto"/>
                <w:kern w:val="0"/>
              </w:rPr>
              <w:t>、厂界噪声排放标准</w:t>
            </w:r>
          </w:p>
          <w:p w14:paraId="6EEF500F">
            <w:pPr>
              <w:ind w:firstLine="480" w:firstLineChars="200"/>
              <w:rPr>
                <w:rFonts w:eastAsia="Times New Roman"/>
                <w:color w:val="auto"/>
                <w:kern w:val="0"/>
              </w:rPr>
            </w:pPr>
            <w:r>
              <w:rPr>
                <w:rFonts w:hint="eastAsia" w:ascii="宋体" w:hAnsi="宋体" w:eastAsia="Times New Roman"/>
                <w:color w:val="auto"/>
                <w:kern w:val="0"/>
              </w:rPr>
              <w:t>项目营运期厂界噪声执行《工业企业厂界环境噪声排放标准》（</w:t>
            </w:r>
            <w:r>
              <w:rPr>
                <w:rFonts w:eastAsia="Times New Roman"/>
                <w:color w:val="auto"/>
                <w:kern w:val="0"/>
              </w:rPr>
              <w:t>GB12348-2008</w:t>
            </w:r>
            <w:r>
              <w:rPr>
                <w:rFonts w:hint="eastAsia" w:ascii="宋体" w:hAnsi="宋体" w:eastAsia="Times New Roman"/>
                <w:color w:val="auto"/>
                <w:kern w:val="0"/>
              </w:rPr>
              <w:t>）中的</w:t>
            </w:r>
            <w:r>
              <w:rPr>
                <w:rFonts w:hint="eastAsia" w:eastAsia="Times New Roman"/>
                <w:color w:val="auto"/>
                <w:kern w:val="0"/>
              </w:rPr>
              <w:t>3</w:t>
            </w:r>
            <w:r>
              <w:rPr>
                <w:rFonts w:hint="eastAsia" w:ascii="宋体" w:hAnsi="宋体" w:eastAsia="Times New Roman"/>
                <w:color w:val="auto"/>
                <w:kern w:val="0"/>
              </w:rPr>
              <w:t>类标准，标准限值见下表。</w:t>
            </w:r>
          </w:p>
          <w:p w14:paraId="271E0BCE">
            <w:pPr>
              <w:jc w:val="center"/>
              <w:rPr>
                <w:rFonts w:eastAsia="Times New Roman"/>
                <w:b/>
                <w:color w:val="auto"/>
                <w:kern w:val="0"/>
                <w:sz w:val="21"/>
                <w:szCs w:val="21"/>
              </w:rPr>
            </w:pPr>
            <w:r>
              <w:rPr>
                <w:rFonts w:hint="eastAsia" w:ascii="宋体" w:hAnsi="宋体" w:eastAsia="Times New Roman"/>
                <w:b/>
                <w:color w:val="auto"/>
                <w:kern w:val="0"/>
                <w:sz w:val="21"/>
                <w:szCs w:val="21"/>
              </w:rPr>
              <w:t>表</w:t>
            </w:r>
            <w:r>
              <w:rPr>
                <w:rFonts w:eastAsia="Times New Roman"/>
                <w:b/>
                <w:color w:val="auto"/>
                <w:kern w:val="0"/>
                <w:sz w:val="21"/>
                <w:szCs w:val="21"/>
              </w:rPr>
              <w:t>3-</w:t>
            </w:r>
            <w:r>
              <w:rPr>
                <w:rFonts w:hint="eastAsia"/>
                <w:b/>
                <w:color w:val="auto"/>
                <w:kern w:val="0"/>
                <w:sz w:val="21"/>
                <w:szCs w:val="21"/>
                <w:lang w:val="en-US" w:eastAsia="zh-CN"/>
              </w:rPr>
              <w:t>11</w:t>
            </w:r>
            <w:r>
              <w:rPr>
                <w:rFonts w:hint="eastAsia" w:eastAsia="Times New Roman"/>
                <w:b/>
                <w:color w:val="auto"/>
                <w:kern w:val="0"/>
                <w:sz w:val="21"/>
                <w:szCs w:val="21"/>
              </w:rPr>
              <w:t xml:space="preserve"> </w:t>
            </w:r>
            <w:r>
              <w:rPr>
                <w:rFonts w:eastAsia="Times New Roman"/>
                <w:b/>
                <w:color w:val="auto"/>
                <w:kern w:val="0"/>
                <w:sz w:val="21"/>
                <w:szCs w:val="21"/>
              </w:rPr>
              <w:t xml:space="preserve"> </w:t>
            </w:r>
            <w:r>
              <w:rPr>
                <w:rFonts w:hint="eastAsia" w:ascii="宋体" w:hAnsi="宋体" w:eastAsia="Times New Roman"/>
                <w:b/>
                <w:color w:val="auto"/>
                <w:kern w:val="0"/>
                <w:sz w:val="21"/>
                <w:szCs w:val="21"/>
              </w:rPr>
              <w:t>工业企业厂界环境噪声排放标准</w:t>
            </w:r>
            <w:r>
              <w:rPr>
                <w:rFonts w:eastAsia="Times New Roman"/>
                <w:b/>
                <w:color w:val="auto"/>
                <w:kern w:val="0"/>
                <w:sz w:val="21"/>
                <w:szCs w:val="21"/>
              </w:rPr>
              <w:t xml:space="preserve">  </w:t>
            </w:r>
            <w:r>
              <w:rPr>
                <w:rFonts w:hint="eastAsia" w:ascii="宋体" w:hAnsi="宋体" w:eastAsia="Times New Roman"/>
                <w:b/>
                <w:color w:val="auto"/>
                <w:kern w:val="0"/>
                <w:sz w:val="21"/>
                <w:szCs w:val="21"/>
              </w:rPr>
              <w:t>单位：</w:t>
            </w:r>
            <w:r>
              <w:rPr>
                <w:rFonts w:eastAsia="Times New Roman"/>
                <w:b/>
                <w:color w:val="auto"/>
                <w:kern w:val="0"/>
                <w:sz w:val="21"/>
                <w:szCs w:val="21"/>
              </w:rPr>
              <w:t>dB(A)</w:t>
            </w:r>
          </w:p>
          <w:tbl>
            <w:tblPr>
              <w:tblStyle w:val="2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45"/>
              <w:gridCol w:w="2545"/>
              <w:gridCol w:w="2639"/>
            </w:tblGrid>
            <w:tr w14:paraId="5C4F5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vMerge w:val="restart"/>
                  <w:tcBorders>
                    <w:tl2br w:val="nil"/>
                    <w:tr2bl w:val="nil"/>
                  </w:tcBorders>
                  <w:vAlign w:val="center"/>
                </w:tcPr>
                <w:p w14:paraId="1D8F7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b/>
                      <w:bCs/>
                      <w:color w:val="auto"/>
                      <w:kern w:val="0"/>
                      <w:sz w:val="21"/>
                      <w:szCs w:val="21"/>
                    </w:rPr>
                  </w:pPr>
                  <w:r>
                    <w:rPr>
                      <w:rFonts w:hint="eastAsia" w:ascii="宋体" w:hAnsi="宋体"/>
                      <w:b/>
                      <w:bCs/>
                      <w:color w:val="auto"/>
                      <w:kern w:val="0"/>
                      <w:sz w:val="21"/>
                      <w:szCs w:val="21"/>
                    </w:rPr>
                    <w:t>类别</w:t>
                  </w:r>
                </w:p>
              </w:tc>
              <w:tc>
                <w:tcPr>
                  <w:tcW w:w="5184" w:type="dxa"/>
                  <w:gridSpan w:val="2"/>
                  <w:tcBorders>
                    <w:tl2br w:val="nil"/>
                    <w:tr2bl w:val="nil"/>
                  </w:tcBorders>
                  <w:vAlign w:val="center"/>
                </w:tcPr>
                <w:p w14:paraId="119DAF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b/>
                      <w:bCs/>
                      <w:color w:val="auto"/>
                      <w:kern w:val="0"/>
                      <w:sz w:val="21"/>
                      <w:szCs w:val="21"/>
                    </w:rPr>
                  </w:pPr>
                  <w:r>
                    <w:rPr>
                      <w:rFonts w:hint="eastAsia" w:ascii="宋体" w:hAnsi="宋体"/>
                      <w:b/>
                      <w:bCs/>
                      <w:color w:val="auto"/>
                      <w:kern w:val="0"/>
                      <w:sz w:val="21"/>
                      <w:szCs w:val="21"/>
                    </w:rPr>
                    <w:t>等效声级dB（A）</w:t>
                  </w:r>
                </w:p>
              </w:tc>
            </w:tr>
            <w:tr w14:paraId="37212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vMerge w:val="continue"/>
                  <w:tcBorders>
                    <w:tl2br w:val="nil"/>
                    <w:tr2bl w:val="nil"/>
                  </w:tcBorders>
                  <w:vAlign w:val="center"/>
                </w:tcPr>
                <w:p w14:paraId="58388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p>
              </w:tc>
              <w:tc>
                <w:tcPr>
                  <w:tcW w:w="2545" w:type="dxa"/>
                  <w:tcBorders>
                    <w:tl2br w:val="nil"/>
                    <w:tr2bl w:val="nil"/>
                  </w:tcBorders>
                  <w:vAlign w:val="center"/>
                </w:tcPr>
                <w:p w14:paraId="03A762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rFonts w:hint="eastAsia" w:ascii="宋体" w:hAnsi="宋体"/>
                      <w:b/>
                      <w:bCs/>
                      <w:color w:val="auto"/>
                      <w:kern w:val="0"/>
                      <w:sz w:val="21"/>
                      <w:szCs w:val="21"/>
                    </w:rPr>
                    <w:t>昼间</w:t>
                  </w:r>
                </w:p>
              </w:tc>
              <w:tc>
                <w:tcPr>
                  <w:tcW w:w="2639" w:type="dxa"/>
                  <w:tcBorders>
                    <w:tl2br w:val="nil"/>
                    <w:tr2bl w:val="nil"/>
                  </w:tcBorders>
                  <w:vAlign w:val="center"/>
                </w:tcPr>
                <w:p w14:paraId="02A80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rFonts w:hint="eastAsia" w:ascii="宋体" w:hAnsi="宋体"/>
                      <w:b/>
                      <w:bCs/>
                      <w:color w:val="auto"/>
                      <w:kern w:val="0"/>
                      <w:sz w:val="21"/>
                      <w:szCs w:val="21"/>
                    </w:rPr>
                    <w:t>夜间</w:t>
                  </w:r>
                </w:p>
              </w:tc>
            </w:tr>
            <w:tr w14:paraId="216638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tcBorders>
                    <w:tl2br w:val="nil"/>
                    <w:tr2bl w:val="nil"/>
                  </w:tcBorders>
                  <w:vAlign w:val="center"/>
                </w:tcPr>
                <w:p w14:paraId="06D09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3</w:t>
                  </w:r>
                </w:p>
              </w:tc>
              <w:tc>
                <w:tcPr>
                  <w:tcW w:w="2545" w:type="dxa"/>
                  <w:tcBorders>
                    <w:tl2br w:val="nil"/>
                    <w:tr2bl w:val="nil"/>
                  </w:tcBorders>
                  <w:vAlign w:val="center"/>
                </w:tcPr>
                <w:p w14:paraId="2779F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65</w:t>
                  </w:r>
                </w:p>
              </w:tc>
              <w:tc>
                <w:tcPr>
                  <w:tcW w:w="2639" w:type="dxa"/>
                  <w:tcBorders>
                    <w:tl2br w:val="nil"/>
                    <w:tr2bl w:val="nil"/>
                  </w:tcBorders>
                  <w:vAlign w:val="center"/>
                </w:tcPr>
                <w:p w14:paraId="54718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55</w:t>
                  </w:r>
                </w:p>
              </w:tc>
            </w:tr>
          </w:tbl>
          <w:p w14:paraId="51AD980A">
            <w:pPr>
              <w:keepNext w:val="0"/>
              <w:keepLines w:val="0"/>
              <w:pageBreakBefore w:val="0"/>
              <w:widowControl w:val="0"/>
              <w:kinsoku/>
              <w:wordWrap/>
              <w:overflowPunct/>
              <w:topLinePunct w:val="0"/>
              <w:autoSpaceDE/>
              <w:autoSpaceDN/>
              <w:bidi w:val="0"/>
              <w:adjustRightInd w:val="0"/>
              <w:snapToGrid w:val="0"/>
              <w:spacing w:before="156" w:beforeLines="50"/>
              <w:ind w:firstLine="480" w:firstLineChars="200"/>
              <w:textAlignment w:val="auto"/>
              <w:rPr>
                <w:rFonts w:eastAsia="Times New Roman"/>
                <w:b/>
                <w:bCs/>
                <w:color w:val="auto"/>
                <w:kern w:val="0"/>
              </w:rPr>
            </w:pPr>
            <w:r>
              <w:rPr>
                <w:rFonts w:eastAsia="Times New Roman"/>
                <w:b/>
                <w:bCs/>
                <w:color w:val="auto"/>
                <w:kern w:val="0"/>
              </w:rPr>
              <w:t>4</w:t>
            </w:r>
            <w:r>
              <w:rPr>
                <w:rFonts w:hint="eastAsia" w:ascii="宋体" w:hAnsi="宋体" w:eastAsia="Times New Roman"/>
                <w:b/>
                <w:bCs/>
                <w:color w:val="auto"/>
                <w:kern w:val="0"/>
              </w:rPr>
              <w:t>、固体废物排放标准</w:t>
            </w:r>
          </w:p>
          <w:p w14:paraId="02B83723">
            <w:pPr>
              <w:keepNext w:val="0"/>
              <w:keepLines w:val="0"/>
              <w:pageBreakBefore w:val="0"/>
              <w:widowControl w:val="0"/>
              <w:kinsoku/>
              <w:wordWrap/>
              <w:overflowPunct/>
              <w:topLinePunct w:val="0"/>
              <w:autoSpaceDE/>
              <w:autoSpaceDN/>
              <w:bidi w:val="0"/>
              <w:ind w:firstLine="480" w:firstLineChars="200"/>
              <w:contextualSpacing/>
              <w:textAlignment w:val="auto"/>
              <w:rPr>
                <w:rFonts w:eastAsia="Times New Roman"/>
                <w:color w:val="auto"/>
                <w:kern w:val="0"/>
              </w:rPr>
            </w:pPr>
            <w:r>
              <w:rPr>
                <w:rFonts w:hint="eastAsia" w:ascii="宋体" w:hAnsi="宋体" w:eastAsia="Times New Roman"/>
                <w:color w:val="auto"/>
                <w:kern w:val="0"/>
              </w:rPr>
              <w:t>（</w:t>
            </w:r>
            <w:r>
              <w:rPr>
                <w:rFonts w:eastAsia="Times New Roman"/>
                <w:color w:val="auto"/>
                <w:kern w:val="0"/>
              </w:rPr>
              <w:t>1</w:t>
            </w:r>
            <w:r>
              <w:rPr>
                <w:rFonts w:hint="eastAsia" w:ascii="宋体" w:hAnsi="宋体" w:eastAsia="Times New Roman"/>
                <w:color w:val="auto"/>
                <w:kern w:val="0"/>
              </w:rPr>
              <w:t>）一般固体废物在项目内暂存执行《一般工业固体废物贮存和填埋污染控制标准》（</w:t>
            </w:r>
            <w:r>
              <w:rPr>
                <w:rFonts w:eastAsia="Times New Roman"/>
                <w:color w:val="auto"/>
                <w:kern w:val="0"/>
              </w:rPr>
              <w:t>GB18599-20</w:t>
            </w:r>
            <w:r>
              <w:rPr>
                <w:rFonts w:hint="eastAsia" w:eastAsia="Times New Roman"/>
                <w:color w:val="auto"/>
                <w:kern w:val="0"/>
              </w:rPr>
              <w:t>20</w:t>
            </w:r>
            <w:r>
              <w:rPr>
                <w:rFonts w:hint="eastAsia" w:ascii="宋体" w:hAnsi="宋体" w:eastAsia="Times New Roman"/>
                <w:color w:val="auto"/>
                <w:kern w:val="0"/>
              </w:rPr>
              <w:t>）相关要求。</w:t>
            </w:r>
          </w:p>
          <w:p w14:paraId="4187F4F1">
            <w:pPr>
              <w:keepNext w:val="0"/>
              <w:keepLines w:val="0"/>
              <w:pageBreakBefore w:val="0"/>
              <w:widowControl w:val="0"/>
              <w:kinsoku/>
              <w:wordWrap/>
              <w:overflowPunct/>
              <w:topLinePunct w:val="0"/>
              <w:autoSpaceDE/>
              <w:autoSpaceDN/>
              <w:bidi w:val="0"/>
              <w:ind w:firstLine="480" w:firstLineChars="200"/>
              <w:jc w:val="both"/>
              <w:textAlignment w:val="auto"/>
              <w:rPr>
                <w:rFonts w:hint="eastAsia"/>
                <w:color w:val="auto"/>
                <w:vertAlign w:val="baseline"/>
                <w:lang w:val="en-US" w:eastAsia="zh-CN"/>
              </w:rPr>
            </w:pPr>
            <w:r>
              <w:rPr>
                <w:rFonts w:hint="eastAsia" w:ascii="宋体" w:hAnsi="宋体" w:eastAsia="Times New Roman"/>
                <w:color w:val="auto"/>
                <w:kern w:val="0"/>
              </w:rPr>
              <w:t>（</w:t>
            </w:r>
            <w:r>
              <w:rPr>
                <w:rFonts w:eastAsia="Times New Roman"/>
                <w:color w:val="auto"/>
                <w:kern w:val="0"/>
              </w:rPr>
              <w:t>2</w:t>
            </w:r>
            <w:r>
              <w:rPr>
                <w:rFonts w:hint="eastAsia" w:ascii="宋体" w:hAnsi="宋体" w:eastAsia="Times New Roman"/>
                <w:color w:val="auto"/>
                <w:kern w:val="0"/>
              </w:rPr>
              <w:t>）危险废物暂存执行《危险废物贮存污染控制标准》（</w:t>
            </w:r>
            <w:r>
              <w:rPr>
                <w:rFonts w:eastAsia="Times New Roman"/>
                <w:color w:val="auto"/>
                <w:kern w:val="0"/>
              </w:rPr>
              <w:t>GB18597-20</w:t>
            </w:r>
            <w:r>
              <w:rPr>
                <w:rFonts w:hint="eastAsia" w:eastAsia="Times New Roman"/>
                <w:color w:val="auto"/>
                <w:kern w:val="0"/>
              </w:rPr>
              <w:t>23</w:t>
            </w:r>
            <w:r>
              <w:rPr>
                <w:rFonts w:hint="eastAsia" w:ascii="宋体" w:hAnsi="宋体" w:eastAsia="Times New Roman"/>
                <w:color w:val="auto"/>
                <w:kern w:val="0"/>
              </w:rPr>
              <w:t>）。</w:t>
            </w:r>
          </w:p>
        </w:tc>
      </w:tr>
      <w:tr w14:paraId="2DD4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F527A5C">
            <w:pPr>
              <w:jc w:val="center"/>
              <w:rPr>
                <w:rFonts w:hint="eastAsia"/>
                <w:color w:val="auto"/>
                <w:vertAlign w:val="baseline"/>
                <w:lang w:val="en-US" w:eastAsia="zh-CN"/>
              </w:rPr>
            </w:pPr>
            <w:r>
              <w:rPr>
                <w:rFonts w:hint="eastAsia" w:ascii="宋体" w:hAnsi="宋体"/>
                <w:color w:val="auto"/>
                <w:kern w:val="0"/>
                <w:highlight w:val="none"/>
              </w:rPr>
              <w:t>总量控制指标</w:t>
            </w:r>
          </w:p>
        </w:tc>
        <w:tc>
          <w:tcPr>
            <w:tcW w:w="7988" w:type="dxa"/>
            <w:vAlign w:val="top"/>
          </w:tcPr>
          <w:p w14:paraId="5DBC9E82">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1、</w:t>
            </w:r>
            <w:r>
              <w:rPr>
                <w:rFonts w:hint="default" w:ascii="Times New Roman" w:hAnsi="Times New Roman" w:cs="Times New Roman"/>
                <w:b/>
                <w:color w:val="auto"/>
                <w:kern w:val="0"/>
              </w:rPr>
              <w:t>废气</w:t>
            </w:r>
          </w:p>
          <w:p w14:paraId="2A3CF9FD">
            <w:pPr>
              <w:ind w:firstLine="482" w:firstLineChars="200"/>
              <w:rPr>
                <w:rFonts w:hint="default" w:ascii="Times New Roman" w:hAnsi="Times New Roman" w:cs="Times New Roman"/>
                <w:color w:val="auto"/>
                <w:kern w:val="0"/>
                <w:highlight w:val="none"/>
              </w:rPr>
            </w:pPr>
            <w:r>
              <w:rPr>
                <w:rFonts w:hint="default" w:ascii="Times New Roman" w:hAnsi="Times New Roman" w:cs="Times New Roman"/>
                <w:b/>
                <w:bCs/>
                <w:color w:val="auto"/>
                <w:kern w:val="0"/>
                <w:highlight w:val="none"/>
              </w:rPr>
              <w:t>无组织排放：</w:t>
            </w:r>
            <w:r>
              <w:rPr>
                <w:rFonts w:hint="eastAsia" w:cs="Times New Roman"/>
                <w:color w:val="auto"/>
                <w:kern w:val="0"/>
                <w:highlight w:val="none"/>
                <w:lang w:val="en-US" w:eastAsia="zh-CN"/>
              </w:rPr>
              <w:t>非甲烷总烃</w:t>
            </w:r>
            <w:r>
              <w:rPr>
                <w:rFonts w:hint="default" w:ascii="Times New Roman" w:hAnsi="Times New Roman" w:cs="Times New Roman"/>
                <w:color w:val="auto"/>
                <w:kern w:val="0"/>
                <w:highlight w:val="none"/>
              </w:rPr>
              <w:t>排放量</w:t>
            </w:r>
            <w:r>
              <w:rPr>
                <w:rFonts w:hint="eastAsia" w:cs="Times New Roman"/>
                <w:color w:val="auto"/>
                <w:kern w:val="0"/>
                <w:highlight w:val="none"/>
                <w:lang w:val="en-US" w:eastAsia="zh-CN"/>
              </w:rPr>
              <w:t>0.324</w:t>
            </w:r>
            <w:r>
              <w:rPr>
                <w:rFonts w:hint="default" w:ascii="Times New Roman" w:hAnsi="Times New Roman" w:cs="Times New Roman"/>
                <w:color w:val="auto"/>
                <w:kern w:val="0"/>
                <w:highlight w:val="none"/>
              </w:rPr>
              <w:t>t/a；</w:t>
            </w:r>
          </w:p>
          <w:p w14:paraId="38EE7119">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highlight w:val="none"/>
              </w:rPr>
              <w:t>废水</w:t>
            </w:r>
          </w:p>
          <w:p w14:paraId="58C96F1D">
            <w:pPr>
              <w:ind w:firstLine="480" w:firstLineChars="200"/>
              <w:rPr>
                <w:rFonts w:hint="default" w:eastAsia="Times New Roman"/>
                <w:b w:val="0"/>
                <w:bCs w:val="0"/>
                <w:color w:val="auto"/>
                <w:kern w:val="0"/>
              </w:rPr>
            </w:pPr>
            <w:r>
              <w:rPr>
                <w:rFonts w:hint="eastAsia" w:cs="Times New Roman"/>
                <w:color w:val="auto"/>
                <w:kern w:val="0"/>
                <w:lang w:val="en-US" w:eastAsia="zh-CN"/>
              </w:rPr>
              <w:t>目前项目区未接通园区污水管网，</w:t>
            </w:r>
            <w:r>
              <w:rPr>
                <w:rFonts w:hint="default" w:ascii="Times New Roman" w:hAnsi="Times New Roman" w:cs="Times New Roman"/>
                <w:color w:val="auto"/>
                <w:kern w:val="0"/>
              </w:rPr>
              <w:t>生活废水进入化粪池处理后</w:t>
            </w:r>
            <w:r>
              <w:rPr>
                <w:rFonts w:hint="eastAsia" w:cs="Times New Roman"/>
                <w:color w:val="auto"/>
                <w:kern w:val="0"/>
                <w:lang w:val="en-US" w:eastAsia="zh-CN"/>
              </w:rPr>
              <w:t>委托环卫部门</w:t>
            </w:r>
            <w:r>
              <w:rPr>
                <w:rFonts w:hint="default" w:ascii="Times New Roman" w:hAnsi="Times New Roman" w:cs="Times New Roman"/>
                <w:color w:val="auto"/>
                <w:kern w:val="0"/>
              </w:rPr>
              <w:t>清掏，</w:t>
            </w:r>
            <w:r>
              <w:rPr>
                <w:rFonts w:hint="eastAsia"/>
                <w:b w:val="0"/>
                <w:bCs w:val="0"/>
                <w:color w:val="auto"/>
                <w:vertAlign w:val="baseline"/>
                <w:lang w:val="en-US" w:eastAsia="zh-CN"/>
              </w:rPr>
              <w:t>不外排。若今后项目区接通园区管网，项目生活废水经化粪池处理后排入园区市政污水管网，</w:t>
            </w:r>
            <w:r>
              <w:rPr>
                <w:rFonts w:hint="default" w:eastAsia="Times New Roman"/>
                <w:b w:val="0"/>
                <w:bCs w:val="0"/>
                <w:color w:val="auto"/>
                <w:kern w:val="0"/>
              </w:rPr>
              <w:t>排放标准执行</w:t>
            </w:r>
            <w:r>
              <w:rPr>
                <w:rFonts w:hint="eastAsia" w:eastAsia="Times New Roman"/>
                <w:b w:val="0"/>
                <w:bCs w:val="0"/>
                <w:color w:val="auto"/>
                <w:kern w:val="0"/>
              </w:rPr>
              <w:t>《污水综合排放标准》（GB8978-1996）</w:t>
            </w:r>
            <w:r>
              <w:rPr>
                <w:rFonts w:hint="eastAsia" w:eastAsia="宋体"/>
                <w:b w:val="0"/>
                <w:bCs w:val="0"/>
                <w:color w:val="auto"/>
                <w:kern w:val="0"/>
                <w:lang w:val="en-US" w:eastAsia="zh-CN"/>
              </w:rPr>
              <w:t>三</w:t>
            </w:r>
            <w:r>
              <w:rPr>
                <w:rFonts w:hint="default" w:eastAsia="Times New Roman"/>
                <w:b w:val="0"/>
                <w:bCs w:val="0"/>
                <w:color w:val="auto"/>
                <w:kern w:val="0"/>
              </w:rPr>
              <w:t>级标准。</w:t>
            </w:r>
          </w:p>
          <w:p w14:paraId="38EC4CAE">
            <w:pPr>
              <w:ind w:firstLine="480" w:firstLineChars="200"/>
              <w:rPr>
                <w:rFonts w:hint="default" w:eastAsia="Times New Roman"/>
                <w:b w:val="0"/>
                <w:bCs w:val="0"/>
                <w:color w:val="auto"/>
                <w:kern w:val="0"/>
              </w:rPr>
            </w:pPr>
            <w:r>
              <w:rPr>
                <w:rFonts w:hint="eastAsia" w:ascii="宋体" w:hAnsi="宋体"/>
                <w:color w:val="auto"/>
                <w:kern w:val="0"/>
              </w:rPr>
              <w:t>项目生活污水：</w:t>
            </w:r>
            <w:r>
              <w:rPr>
                <w:rFonts w:hint="eastAsia"/>
                <w:color w:val="auto"/>
                <w:kern w:val="0"/>
                <w:lang w:val="en-US" w:eastAsia="zh-CN"/>
              </w:rPr>
              <w:t>48</w:t>
            </w:r>
            <w:r>
              <w:rPr>
                <w:rFonts w:hint="eastAsia"/>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w:t>
            </w:r>
            <w:r>
              <w:rPr>
                <w:rFonts w:hint="eastAsia"/>
                <w:color w:val="auto"/>
                <w:kern w:val="0"/>
              </w:rPr>
              <w:t>CODcr</w:t>
            </w:r>
            <w:r>
              <w:rPr>
                <w:rFonts w:hint="eastAsia" w:ascii="宋体" w:hAnsi="宋体"/>
                <w:color w:val="auto"/>
                <w:kern w:val="0"/>
              </w:rPr>
              <w:t>：</w:t>
            </w:r>
            <w:r>
              <w:rPr>
                <w:rFonts w:hint="eastAsia"/>
                <w:color w:val="auto"/>
                <w:kern w:val="0"/>
                <w:lang w:val="en-US" w:eastAsia="zh-CN"/>
              </w:rPr>
              <w:t>0.0133</w:t>
            </w:r>
            <w:r>
              <w:rPr>
                <w:rFonts w:hint="eastAsia"/>
                <w:color w:val="auto"/>
                <w:kern w:val="0"/>
              </w:rPr>
              <w:t>t/a</w:t>
            </w:r>
            <w:r>
              <w:rPr>
                <w:rFonts w:hint="eastAsia" w:ascii="宋体" w:hAnsi="宋体"/>
                <w:color w:val="auto"/>
                <w:kern w:val="0"/>
              </w:rPr>
              <w:t>，</w:t>
            </w:r>
            <w:r>
              <w:rPr>
                <w:rFonts w:hint="eastAsia"/>
                <w:color w:val="auto"/>
                <w:kern w:val="0"/>
              </w:rPr>
              <w:t>NH</w:t>
            </w:r>
            <w:r>
              <w:rPr>
                <w:rFonts w:hint="eastAsia"/>
                <w:color w:val="auto"/>
                <w:kern w:val="0"/>
                <w:vertAlign w:val="subscript"/>
              </w:rPr>
              <w:t>3</w:t>
            </w:r>
            <w:r>
              <w:rPr>
                <w:rFonts w:hint="eastAsia"/>
                <w:color w:val="auto"/>
                <w:kern w:val="0"/>
              </w:rPr>
              <w:t>-N</w:t>
            </w:r>
            <w:r>
              <w:rPr>
                <w:rFonts w:hint="eastAsia" w:ascii="宋体" w:hAnsi="宋体"/>
                <w:color w:val="auto"/>
                <w:kern w:val="0"/>
              </w:rPr>
              <w:t>：</w:t>
            </w:r>
            <w:r>
              <w:rPr>
                <w:rFonts w:hint="eastAsia"/>
                <w:color w:val="auto"/>
                <w:kern w:val="0"/>
              </w:rPr>
              <w:t>0.0</w:t>
            </w:r>
            <w:r>
              <w:rPr>
                <w:rFonts w:hint="eastAsia"/>
                <w:color w:val="auto"/>
                <w:kern w:val="0"/>
                <w:lang w:val="en-US" w:eastAsia="zh-CN"/>
              </w:rPr>
              <w:t>017</w:t>
            </w:r>
            <w:r>
              <w:rPr>
                <w:rFonts w:hint="eastAsia"/>
                <w:color w:val="auto"/>
                <w:kern w:val="0"/>
              </w:rPr>
              <w:t>t/a</w:t>
            </w:r>
            <w:r>
              <w:rPr>
                <w:rFonts w:hint="eastAsia" w:ascii="宋体" w:hAnsi="宋体"/>
                <w:color w:val="auto"/>
                <w:kern w:val="0"/>
              </w:rPr>
              <w:t>，</w:t>
            </w:r>
            <w:r>
              <w:rPr>
                <w:rFonts w:hint="eastAsia"/>
                <w:color w:val="auto"/>
                <w:kern w:val="0"/>
              </w:rPr>
              <w:t>TP</w:t>
            </w:r>
            <w:r>
              <w:rPr>
                <w:rFonts w:hint="eastAsia" w:ascii="宋体" w:hAnsi="宋体"/>
                <w:color w:val="auto"/>
                <w:kern w:val="0"/>
              </w:rPr>
              <w:t>：</w:t>
            </w:r>
            <w:r>
              <w:rPr>
                <w:rFonts w:hint="eastAsia"/>
                <w:color w:val="auto"/>
                <w:kern w:val="0"/>
              </w:rPr>
              <w:t>0.00</w:t>
            </w:r>
            <w:r>
              <w:rPr>
                <w:rFonts w:hint="eastAsia"/>
                <w:color w:val="auto"/>
                <w:kern w:val="0"/>
                <w:lang w:val="en-US" w:eastAsia="zh-CN"/>
              </w:rPr>
              <w:t>02</w:t>
            </w:r>
            <w:r>
              <w:rPr>
                <w:rFonts w:hint="eastAsia"/>
                <w:color w:val="auto"/>
                <w:kern w:val="0"/>
              </w:rPr>
              <w:t>t/a</w:t>
            </w:r>
            <w:r>
              <w:rPr>
                <w:rFonts w:hint="eastAsia" w:ascii="宋体" w:hAnsi="宋体"/>
                <w:color w:val="auto"/>
                <w:kern w:val="0"/>
              </w:rPr>
              <w:t>；</w:t>
            </w:r>
          </w:p>
          <w:p w14:paraId="3E742C0B">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3、</w:t>
            </w:r>
            <w:r>
              <w:rPr>
                <w:rFonts w:hint="default" w:ascii="Times New Roman" w:hAnsi="Times New Roman" w:cs="Times New Roman"/>
                <w:b/>
                <w:color w:val="auto"/>
                <w:kern w:val="0"/>
              </w:rPr>
              <w:t>固体废弃物</w:t>
            </w:r>
          </w:p>
          <w:p w14:paraId="6DBDB536">
            <w:pPr>
              <w:ind w:firstLine="48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全部得到合理处置，处置率100%。</w:t>
            </w:r>
          </w:p>
          <w:p w14:paraId="4DBC814E">
            <w:pPr>
              <w:jc w:val="both"/>
              <w:rPr>
                <w:rFonts w:hint="eastAsia"/>
                <w:color w:val="auto"/>
                <w:vertAlign w:val="baseline"/>
                <w:lang w:val="en-US" w:eastAsia="zh-CN"/>
              </w:rPr>
            </w:pPr>
          </w:p>
          <w:p w14:paraId="76D8741F">
            <w:pPr>
              <w:jc w:val="both"/>
              <w:rPr>
                <w:rFonts w:hint="eastAsia"/>
                <w:color w:val="auto"/>
                <w:vertAlign w:val="baseline"/>
                <w:lang w:val="en-US" w:eastAsia="zh-CN"/>
              </w:rPr>
            </w:pPr>
          </w:p>
          <w:p w14:paraId="55A05583">
            <w:pPr>
              <w:jc w:val="both"/>
              <w:rPr>
                <w:rFonts w:hint="eastAsia"/>
                <w:color w:val="auto"/>
                <w:vertAlign w:val="baseline"/>
                <w:lang w:val="en-US" w:eastAsia="zh-CN"/>
              </w:rPr>
            </w:pPr>
          </w:p>
          <w:p w14:paraId="64A56980">
            <w:pPr>
              <w:jc w:val="both"/>
              <w:rPr>
                <w:rFonts w:hint="eastAsia"/>
                <w:color w:val="auto"/>
                <w:vertAlign w:val="baseline"/>
                <w:lang w:val="en-US" w:eastAsia="zh-CN"/>
              </w:rPr>
            </w:pPr>
          </w:p>
          <w:p w14:paraId="2FF5272A">
            <w:pPr>
              <w:pStyle w:val="5"/>
              <w:widowControl w:val="0"/>
              <w:ind w:left="0" w:leftChars="0" w:firstLine="0" w:firstLineChars="0"/>
              <w:jc w:val="both"/>
              <w:rPr>
                <w:rFonts w:hint="eastAsia"/>
                <w:color w:val="auto"/>
                <w:lang w:val="en-US" w:eastAsia="zh-CN"/>
              </w:rPr>
            </w:pPr>
          </w:p>
          <w:p w14:paraId="707F8EF7">
            <w:pPr>
              <w:jc w:val="both"/>
              <w:rPr>
                <w:rFonts w:hint="eastAsia"/>
                <w:color w:val="auto"/>
                <w:vertAlign w:val="baseline"/>
                <w:lang w:val="en-US" w:eastAsia="zh-CN"/>
              </w:rPr>
            </w:pPr>
          </w:p>
          <w:p w14:paraId="3D3D9647">
            <w:pPr>
              <w:jc w:val="both"/>
              <w:rPr>
                <w:rFonts w:hint="default"/>
                <w:color w:val="auto"/>
                <w:vertAlign w:val="baseline"/>
                <w:lang w:val="en-US" w:eastAsia="zh-CN"/>
              </w:rPr>
            </w:pP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p>
          <w:p w14:paraId="2CA7607E">
            <w:pPr>
              <w:jc w:val="both"/>
              <w:rPr>
                <w:rFonts w:hint="eastAsia"/>
                <w:color w:val="auto"/>
                <w:vertAlign w:val="baseline"/>
                <w:lang w:val="en-US" w:eastAsia="zh-CN"/>
              </w:rPr>
            </w:pPr>
          </w:p>
        </w:tc>
      </w:tr>
    </w:tbl>
    <w:p w14:paraId="1C989D16">
      <w:pPr>
        <w:rPr>
          <w:color w:val="auto"/>
        </w:rPr>
      </w:pPr>
    </w:p>
    <w:p w14:paraId="4A54762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4D1A4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color w:val="auto"/>
          <w:sz w:val="30"/>
          <w:szCs w:val="30"/>
          <w:lang w:val="en-US" w:eastAsia="zh-CN"/>
        </w:rPr>
      </w:pPr>
      <w:bookmarkStart w:id="9" w:name="_Toc16671"/>
      <w:r>
        <w:rPr>
          <w:rFonts w:hint="eastAsia" w:ascii="黑体" w:hAnsi="黑体" w:eastAsia="黑体" w:cs="黑体"/>
          <w:b w:val="0"/>
          <w:bCs w:val="0"/>
          <w:color w:val="auto"/>
          <w:sz w:val="30"/>
          <w:szCs w:val="30"/>
          <w:lang w:val="en-US" w:eastAsia="zh-CN"/>
        </w:rPr>
        <w:t>四、主要环境影响和保护措施</w:t>
      </w:r>
      <w:bookmarkEnd w:id="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071"/>
      </w:tblGrid>
      <w:tr w14:paraId="4FB3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2D7E8732">
            <w:pPr>
              <w:jc w:val="center"/>
              <w:rPr>
                <w:color w:val="auto"/>
                <w:vertAlign w:val="baseline"/>
              </w:rPr>
            </w:pPr>
            <w:r>
              <w:rPr>
                <w:rFonts w:hint="default"/>
                <w:color w:val="auto"/>
                <w:kern w:val="0"/>
              </w:rPr>
              <w:t>施工期环境保护措施</w:t>
            </w:r>
          </w:p>
        </w:tc>
        <w:tc>
          <w:tcPr>
            <w:tcW w:w="8071" w:type="dxa"/>
            <w:vAlign w:val="center"/>
          </w:tcPr>
          <w:p w14:paraId="7AF0451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本项目施工期主要建设清洗车间及相关环保措施，因此施工期大体分三步进行：土石方开挖，基础打桩，主体建筑及配套设施建设。施工期环境影响主要为施工过程产生的扬尘、施工机械燃油废气和汽车尾气对周围大气环境的影响；施工废水和施工人员生活污水产排对水环境的影响；施工机械和施工运输车辆的噪声污染；施工期产生建筑垃圾和生活垃圾。施工期主要环境保护措施如下：</w:t>
            </w:r>
          </w:p>
          <w:p w14:paraId="704994BA">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1、施工期废气防治措施</w:t>
            </w:r>
          </w:p>
          <w:p w14:paraId="33A6ABDA">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（1）加强现场运输车辆管理。建筑垃圾在运输出场时应采取封闭运输方式，在项目范围内运输的车辆必须车身整洁，装载车厢完好，装载货物堆码整齐，不得污染道路；</w:t>
            </w:r>
          </w:p>
          <w:p w14:paraId="2262ECC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（2）在施工场地安排员工定期对场地进行洒水，每天3-5次，以减少粉尘量，若遇到大风或干燥天气可适当增加洒水次数；</w:t>
            </w:r>
          </w:p>
          <w:p w14:paraId="7FBE7B0D">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（3）对运输建筑材料及建筑垃圾的车辆加盖蓬布减少洒落，同时，车辆进出、装卸场地时应用水将轮胎冲洗干净；</w:t>
            </w:r>
          </w:p>
          <w:p w14:paraId="5CF5074B">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（4）尽量避免在大风天气下进行土方开挖作业；</w:t>
            </w:r>
          </w:p>
          <w:p w14:paraId="3677464A">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（5）设置专人负责建筑垃圾的处置、清运和堆放，堆放场地应尽量避开居民区的上风向，并加盖蓬布、适时洒水，防止二次粉尘；</w:t>
            </w:r>
          </w:p>
          <w:p w14:paraId="5424D4C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（6）对建筑垃圾应及时处理、清运，防止粉尘污染；</w:t>
            </w:r>
          </w:p>
          <w:p w14:paraId="1DCAEA1B">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2、施工期废水防治措施</w:t>
            </w:r>
          </w:p>
          <w:p w14:paraId="3509A01E">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施工期的废水主要为生活污水和施工废水。生活污水依托现有化粪池处理，施工废水经收集桶沉淀处理后用于场地洒水降尘，不外排，对地表水环境影响小。</w:t>
            </w:r>
          </w:p>
          <w:p w14:paraId="22E81668">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3、施工期噪声防治措施</w:t>
            </w:r>
          </w:p>
          <w:p w14:paraId="40AADABD">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（1）加强施工机械的维修、管理，保证施工机械处于低噪声、高效率的良好工作状态；</w:t>
            </w:r>
          </w:p>
          <w:p w14:paraId="452BC9E0">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（2）施工作业中应选用低噪声的机械设备，同时必须合理安排各类机械设备的工作时间；</w:t>
            </w:r>
          </w:p>
          <w:p w14:paraId="5567638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（3）根据环境噪声污染防治相关规定，本项目施工单位应当在工程开工前15天向所在地生态环境行政主管部门申报，禁止夜间22时至次日6时进行建筑施工作业；</w:t>
            </w:r>
          </w:p>
          <w:p w14:paraId="36499592">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（4）施工作业前组织人员对场地进行检查，检查临时围挡是否破损，厂界四周拉警示线，进出口设置警示牌；</w:t>
            </w:r>
          </w:p>
          <w:p w14:paraId="0354FE99">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施工期结束后，相应的噪声污染即随之消失，施工噪声对环境影响较小。</w:t>
            </w:r>
          </w:p>
          <w:p w14:paraId="3EBE8F3A">
            <w:pPr>
              <w:keepNext w:val="0"/>
              <w:keepLines w:val="0"/>
              <w:suppressLineNumbers w:val="0"/>
              <w:spacing w:before="0" w:beforeAutospacing="0" w:after="0" w:afterAutospacing="0"/>
              <w:ind w:left="0" w:right="0" w:firstLine="482" w:firstLineChars="200"/>
              <w:rPr>
                <w:rFonts w:hint="default"/>
                <w:b/>
                <w:bCs/>
                <w:color w:val="auto"/>
                <w:kern w:val="0"/>
                <w:lang w:val="en-US" w:eastAsia="zh-CN"/>
              </w:rPr>
            </w:pPr>
            <w:r>
              <w:rPr>
                <w:rFonts w:hint="eastAsia"/>
                <w:b/>
                <w:bCs/>
                <w:color w:val="auto"/>
                <w:kern w:val="0"/>
                <w:lang w:val="en-US" w:eastAsia="zh-CN"/>
              </w:rPr>
              <w:t>4、施工期固体废物防治措施</w:t>
            </w:r>
          </w:p>
          <w:p w14:paraId="11CAC51C">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（1）施工期固废主要为设备安装时拆除的包装袋等，集中收集后外售给废品收购站。</w:t>
            </w:r>
          </w:p>
          <w:p w14:paraId="5B770D1C">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（2）施工人员产生的生活垃圾经垃圾收桶收集后委托环卫部门定期清运处理。</w:t>
            </w:r>
          </w:p>
          <w:p w14:paraId="78D64F37">
            <w:pPr>
              <w:keepNext w:val="0"/>
              <w:keepLines w:val="0"/>
              <w:suppressLineNumbers w:val="0"/>
              <w:spacing w:before="0" w:beforeAutospacing="0" w:after="0" w:afterAutospacing="0"/>
              <w:ind w:left="0" w:right="0" w:firstLine="480" w:firstLineChars="200"/>
              <w:rPr>
                <w:color w:val="auto"/>
                <w:vertAlign w:val="baseline"/>
              </w:rPr>
            </w:pPr>
            <w:r>
              <w:rPr>
                <w:rFonts w:hint="eastAsia"/>
                <w:color w:val="auto"/>
                <w:kern w:val="0"/>
                <w:lang w:val="en-US" w:eastAsia="zh-CN"/>
              </w:rPr>
              <w:t>施工期固体废弃物处置率100%，对环境影响较小。</w:t>
            </w:r>
          </w:p>
        </w:tc>
      </w:tr>
      <w:tr w14:paraId="4A70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4" w:hRule="atLeast"/>
        </w:trPr>
        <w:tc>
          <w:tcPr>
            <w:tcW w:w="451" w:type="dxa"/>
            <w:vAlign w:val="center"/>
          </w:tcPr>
          <w:p w14:paraId="394450C0">
            <w:pPr>
              <w:jc w:val="center"/>
              <w:rPr>
                <w:color w:val="auto"/>
                <w:vertAlign w:val="baseline"/>
              </w:rPr>
            </w:pPr>
            <w:r>
              <w:rPr>
                <w:rFonts w:hint="eastAsia"/>
                <w:color w:val="auto"/>
                <w:kern w:val="0"/>
              </w:rPr>
              <w:t>运营</w:t>
            </w:r>
            <w:r>
              <w:rPr>
                <w:rFonts w:hint="default"/>
                <w:color w:val="auto"/>
                <w:kern w:val="0"/>
              </w:rPr>
              <w:t>期环境保护措施</w:t>
            </w:r>
          </w:p>
        </w:tc>
        <w:tc>
          <w:tcPr>
            <w:tcW w:w="8071" w:type="dxa"/>
            <w:vAlign w:val="center"/>
          </w:tcPr>
          <w:p w14:paraId="0FFF007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一、废气</w:t>
            </w:r>
          </w:p>
          <w:p w14:paraId="28200B36">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vertAlign w:val="baseline"/>
              </w:rPr>
            </w:pPr>
            <w:r>
              <w:rPr>
                <w:rFonts w:hint="eastAsia"/>
                <w:b/>
                <w:bCs/>
                <w:color w:val="auto"/>
                <w:vertAlign w:val="baseline"/>
              </w:rPr>
              <w:t>1、废气污染物排放源核算</w:t>
            </w:r>
          </w:p>
          <w:p w14:paraId="18319DD7">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color w:val="auto"/>
                <w:vertAlign w:val="baseline"/>
                <w:lang w:val="en-US" w:eastAsia="zh-CN"/>
              </w:rPr>
              <w:t>项目清洗的罐车类型仅为有柴油罐车，</w:t>
            </w:r>
            <w:r>
              <w:rPr>
                <w:rFonts w:hint="eastAsia"/>
                <w:color w:val="auto"/>
                <w:kern w:val="0"/>
              </w:rPr>
              <w:t>清洗过程中只使用清水，</w:t>
            </w:r>
            <w:r>
              <w:rPr>
                <w:rFonts w:hint="eastAsia"/>
                <w:color w:val="auto"/>
                <w:kern w:val="0"/>
                <w:lang w:val="en-US" w:eastAsia="zh-CN"/>
              </w:rPr>
              <w:t>不添加</w:t>
            </w:r>
            <w:r>
              <w:rPr>
                <w:rFonts w:hint="eastAsia"/>
                <w:color w:val="auto"/>
                <w:kern w:val="0"/>
              </w:rPr>
              <w:t>任何清洗剂。</w:t>
            </w:r>
            <w:r>
              <w:rPr>
                <w:rFonts w:hint="eastAsia"/>
                <w:color w:val="auto"/>
                <w:lang w:val="en-US" w:eastAsia="zh-CN"/>
              </w:rPr>
              <w:t>本项目年清洗900辆柴油罐车，其中只对长期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装柴油未彻底清洗，罐内形成氧化油泥、胶质，死角/焊缝积垢严重的罐车进行蒸汽清洗，需蒸汽清洗的车辆占30%。</w:t>
            </w:r>
          </w:p>
          <w:p w14:paraId="091E24F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rPr>
            </w:pPr>
            <w:r>
              <w:rPr>
                <w:rFonts w:hint="eastAsia"/>
                <w:color w:val="auto"/>
                <w:vertAlign w:val="baseline"/>
              </w:rPr>
              <w:t>项目运营期产生的废气污染物主要为</w:t>
            </w:r>
            <w:r>
              <w:rPr>
                <w:rFonts w:hint="eastAsia"/>
                <w:color w:val="auto"/>
                <w:vertAlign w:val="baseline"/>
                <w:lang w:val="en-US" w:eastAsia="zh-CN"/>
              </w:rPr>
              <w:t>柴油罐车排空残液时、通风降温和蒸汽清洗时</w:t>
            </w:r>
            <w:r>
              <w:rPr>
                <w:rFonts w:hint="eastAsia"/>
                <w:color w:val="auto"/>
                <w:vertAlign w:val="baseline"/>
              </w:rPr>
              <w:t>产生的挥发性油气</w:t>
            </w:r>
            <w:r>
              <w:rPr>
                <w:rFonts w:hint="eastAsia"/>
                <w:color w:val="auto"/>
                <w:vertAlign w:val="baseline"/>
                <w:lang w:eastAsia="zh-CN"/>
              </w:rPr>
              <w:t>（</w:t>
            </w:r>
            <w:r>
              <w:rPr>
                <w:rFonts w:hint="eastAsia"/>
                <w:color w:val="auto"/>
                <w:vertAlign w:val="baseline"/>
                <w:lang w:val="en-US" w:eastAsia="zh-CN"/>
              </w:rPr>
              <w:t>以非甲烷总烃计</w:t>
            </w:r>
            <w:r>
              <w:rPr>
                <w:rFonts w:hint="eastAsia"/>
                <w:color w:val="auto"/>
                <w:vertAlign w:val="baseline"/>
                <w:lang w:eastAsia="zh-CN"/>
              </w:rPr>
              <w:t>）、</w:t>
            </w:r>
            <w:r>
              <w:rPr>
                <w:rFonts w:hint="eastAsia"/>
                <w:color w:val="auto"/>
                <w:vertAlign w:val="baseline"/>
                <w:lang w:val="en-US" w:eastAsia="zh-CN"/>
              </w:rPr>
              <w:t>车辆进出场尾气。</w:t>
            </w:r>
          </w:p>
          <w:p w14:paraId="7D798C8C">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1</w:t>
            </w:r>
            <w:r>
              <w:rPr>
                <w:rFonts w:hint="eastAsia"/>
                <w:b/>
                <w:bCs/>
                <w:color w:val="auto"/>
                <w:vertAlign w:val="baseline"/>
                <w:lang w:eastAsia="zh-CN"/>
              </w:rPr>
              <w:t>）</w:t>
            </w:r>
            <w:r>
              <w:rPr>
                <w:rFonts w:hint="eastAsia"/>
                <w:b/>
                <w:bCs/>
                <w:color w:val="auto"/>
                <w:vertAlign w:val="baseline"/>
                <w:lang w:val="en-US" w:eastAsia="zh-CN"/>
              </w:rPr>
              <w:t>非甲烷总烃</w:t>
            </w:r>
          </w:p>
          <w:p w14:paraId="43F8A8E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kern w:val="0"/>
                <w:lang w:val="en-US" w:eastAsia="zh-CN"/>
              </w:rPr>
            </w:pPr>
            <w:r>
              <w:rPr>
                <w:rFonts w:hint="eastAsia"/>
                <w:b/>
                <w:bCs/>
                <w:color w:val="auto"/>
                <w:kern w:val="0"/>
                <w:lang w:val="en-US" w:eastAsia="zh-CN"/>
              </w:rPr>
              <w:t>①抽排残液时产生的非甲烷总烃</w:t>
            </w:r>
          </w:p>
          <w:p w14:paraId="6FC72E3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b w:val="0"/>
                <w:bCs/>
                <w:color w:val="auto"/>
                <w:kern w:val="0"/>
                <w:sz w:val="24"/>
                <w:szCs w:val="24"/>
                <w:lang w:val="en-US" w:eastAsia="zh-CN"/>
              </w:rPr>
              <w:t>罐车</w:t>
            </w:r>
            <w:r>
              <w:rPr>
                <w:rFonts w:hint="eastAsia"/>
                <w:b w:val="0"/>
                <w:bCs/>
                <w:color w:val="auto"/>
                <w:kern w:val="0"/>
                <w:lang w:val="en-US" w:eastAsia="zh-CN"/>
              </w:rPr>
              <w:t>抽排残液时</w:t>
            </w:r>
            <w:r>
              <w:rPr>
                <w:rFonts w:hint="eastAsia"/>
                <w:b w:val="0"/>
                <w:bCs/>
                <w:color w:val="auto"/>
                <w:kern w:val="0"/>
                <w:sz w:val="24"/>
                <w:szCs w:val="24"/>
                <w:lang w:eastAsia="zh-CN"/>
              </w:rPr>
              <w:t>采用</w:t>
            </w:r>
            <w:r>
              <w:rPr>
                <w:rFonts w:hint="eastAsia"/>
                <w:b w:val="0"/>
                <w:bCs/>
                <w:color w:val="auto"/>
                <w:kern w:val="0"/>
                <w:sz w:val="24"/>
                <w:szCs w:val="24"/>
                <w:lang w:val="en-US" w:eastAsia="zh-CN"/>
              </w:rPr>
              <w:t>专用软</w:t>
            </w:r>
            <w:r>
              <w:rPr>
                <w:rFonts w:hint="eastAsia"/>
                <w:b w:val="0"/>
                <w:bCs/>
                <w:color w:val="auto"/>
                <w:kern w:val="0"/>
                <w:sz w:val="24"/>
                <w:szCs w:val="24"/>
                <w:lang w:eastAsia="zh-CN"/>
              </w:rPr>
              <w:t>管连接罐体卸料口，</w:t>
            </w:r>
            <w:r>
              <w:rPr>
                <w:rFonts w:hint="eastAsia"/>
                <w:b w:val="0"/>
                <w:bCs/>
                <w:color w:val="auto"/>
                <w:kern w:val="0"/>
                <w:sz w:val="24"/>
                <w:szCs w:val="24"/>
                <w:lang w:val="en-US" w:eastAsia="zh-CN"/>
              </w:rPr>
              <w:t>残余物料</w:t>
            </w:r>
            <w:r>
              <w:rPr>
                <w:rFonts w:hint="eastAsia"/>
                <w:b w:val="0"/>
                <w:bCs/>
                <w:color w:val="auto"/>
                <w:kern w:val="0"/>
                <w:sz w:val="24"/>
                <w:szCs w:val="24"/>
                <w:lang w:eastAsia="zh-CN"/>
              </w:rPr>
              <w:t>直接通过</w:t>
            </w:r>
            <w:r>
              <w:rPr>
                <w:rFonts w:hint="eastAsia"/>
                <w:b w:val="0"/>
                <w:bCs/>
                <w:color w:val="auto"/>
                <w:kern w:val="0"/>
                <w:sz w:val="24"/>
                <w:szCs w:val="24"/>
                <w:lang w:val="en-US" w:eastAsia="zh-CN"/>
              </w:rPr>
              <w:t>软</w:t>
            </w:r>
            <w:r>
              <w:rPr>
                <w:rFonts w:hint="eastAsia"/>
                <w:b w:val="0"/>
                <w:bCs/>
                <w:color w:val="auto"/>
                <w:kern w:val="0"/>
                <w:sz w:val="24"/>
                <w:szCs w:val="24"/>
                <w:lang w:eastAsia="zh-CN"/>
              </w:rPr>
              <w:t>管接入</w:t>
            </w:r>
            <w:r>
              <w:rPr>
                <w:rFonts w:hint="eastAsia"/>
                <w:b w:val="0"/>
                <w:bCs/>
                <w:color w:val="auto"/>
                <w:kern w:val="0"/>
                <w:sz w:val="24"/>
                <w:szCs w:val="24"/>
                <w:lang w:val="en-US" w:eastAsia="zh-CN"/>
              </w:rPr>
              <w:t>收集桶（加盖密封），</w:t>
            </w:r>
            <w:r>
              <w:rPr>
                <w:rFonts w:hint="eastAsia"/>
                <w:b w:val="0"/>
                <w:bCs/>
                <w:color w:val="auto"/>
                <w:kern w:val="0"/>
                <w:sz w:val="24"/>
                <w:szCs w:val="24"/>
                <w:lang w:eastAsia="zh-CN"/>
              </w:rPr>
              <w:t>无线状流出时，视为排放干净。</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《汽车油罐车容量》</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JJG133-2016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40m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柴油罐车卸料后法定余量V₀</w:t>
            </w:r>
            <w:r>
              <w:rPr>
                <w:rFonts w:hint="eastAsia" w:ascii="Times New Roman" w:hAnsi="Times New Roman" w:eastAsia="宋体" w:cs="Times New Roman"/>
                <w:color w:val="auto"/>
                <w:sz w:val="24"/>
                <w:szCs w:val="24"/>
                <w:lang w:val="en-US" w:eastAsia="zh-CN"/>
              </w:rPr>
              <w:t>为容积的0.15%。则平均每辆柴油罐车内残液量为60L。</w:t>
            </w:r>
            <w:r>
              <w:rPr>
                <w:rFonts w:hint="eastAsia"/>
                <w:color w:val="auto"/>
                <w:kern w:val="0"/>
                <w:lang w:val="en-US" w:eastAsia="zh-CN"/>
              </w:rPr>
              <w:t>本项目年清洗柴油罐车900辆，则收集柴油残液45.36t/a。参考《排放源统计调查产排污核算方法和系数手册》中工业源挥发性有机物通用源项产排污核算系数手册一挥发性有机液体储存与装载，挥发性有机物产生量计算公式如下：</w:t>
            </w:r>
          </w:p>
          <w:p w14:paraId="17DE2753">
            <w:pPr>
              <w:keepNext w:val="0"/>
              <w:keepLines w:val="0"/>
              <w:pageBreakBefore w:val="0"/>
              <w:widowControl w:val="0"/>
              <w:kinsoku/>
              <w:wordWrap/>
              <w:overflowPunct/>
              <w:topLinePunct w:val="0"/>
              <w:autoSpaceDE/>
              <w:autoSpaceDN/>
              <w:bidi w:val="0"/>
              <w:adjustRightInd/>
              <w:snapToGrid/>
              <w:jc w:val="both"/>
              <w:textAlignment w:val="auto"/>
              <w:rPr>
                <w:rFonts w:hint="default"/>
                <w:color w:val="auto"/>
                <w:kern w:val="0"/>
                <w:lang w:val="en-US" w:eastAsia="zh-CN"/>
              </w:rPr>
            </w:pPr>
            <m:oMathPara>
              <m:oMath>
                <m:r>
                  <m:rPr>
                    <m:sty m:val="p"/>
                  </m:rPr>
                  <w:rPr>
                    <w:rFonts w:hint="default" w:ascii="Times New Roman" w:hAnsi="Times New Roman" w:cs="Times New Roman"/>
                    <w:color w:val="auto"/>
                    <w:kern w:val="0"/>
                    <w:sz w:val="24"/>
                    <w:szCs w:val="24"/>
                    <w:lang w:val="en-US" w:eastAsia="zh-CN" w:bidi="ar-SA"/>
                  </w:rPr>
                  <m:t>D=</m:t>
                </m:r>
                <m:nary>
                  <m:naryPr>
                    <m:chr m:val="∑"/>
                    <m:limLoc m:val="undOvr"/>
                    <m:subHide m:val="1"/>
                    <m:supHide m:val="1"/>
                    <m:ctrlPr>
                      <w:rPr>
                        <w:rFonts w:hint="default" w:ascii="Times New Roman" w:hAnsi="Times New Roman" w:cs="Times New Roman"/>
                        <w:i w:val="0"/>
                        <w:color w:val="auto"/>
                        <w:kern w:val="0"/>
                        <w:sz w:val="24"/>
                        <w:szCs w:val="24"/>
                        <w:lang w:val="en-US" w:eastAsia="zh-CN" w:bidi="ar-SA"/>
                      </w:rPr>
                    </m:ctrlPr>
                  </m:naryPr>
                  <m:sub>
                    <m:ctrlPr>
                      <w:rPr>
                        <w:rFonts w:hint="default" w:ascii="Times New Roman" w:hAnsi="Times New Roman" w:cs="Times New Roman"/>
                        <w:i w:val="0"/>
                        <w:color w:val="auto"/>
                        <w:kern w:val="0"/>
                        <w:sz w:val="24"/>
                        <w:szCs w:val="24"/>
                        <w:lang w:val="en-US" w:eastAsia="zh-CN" w:bidi="ar-SA"/>
                      </w:rPr>
                    </m:ctrlPr>
                  </m:sub>
                  <m:sup>
                    <m:ctrlPr>
                      <w:rPr>
                        <w:rFonts w:hint="default" w:ascii="Times New Roman" w:hAnsi="Times New Roman" w:cs="Times New Roman"/>
                        <w:i w:val="0"/>
                        <w:color w:val="auto"/>
                        <w:kern w:val="0"/>
                        <w:sz w:val="24"/>
                        <w:szCs w:val="24"/>
                        <w:lang w:val="en-US" w:eastAsia="zh-CN" w:bidi="ar-SA"/>
                      </w:rPr>
                    </m:ctrlPr>
                  </m:sup>
                  <m:e>
                    <m:r>
                      <m:rPr>
                        <m:nor/>
                        <m:sty m:val="p"/>
                      </m:rPr>
                      <w:rPr>
                        <w:rFonts w:hint="eastAsia" w:ascii="Times New Roman" w:hAnsi="Times New Roman" w:cs="Times New Roman"/>
                        <w:b w:val="0"/>
                        <w:i w:val="0"/>
                        <w:color w:val="auto"/>
                        <w:kern w:val="0"/>
                        <w:sz w:val="24"/>
                        <w:szCs w:val="24"/>
                        <w:lang w:val="en-US" w:eastAsia="zh-CN" w:bidi="ar-SA"/>
                      </w:rPr>
                      <m:t>（</m:t>
                    </m:r>
                    <m:sSub>
                      <m:sSubPr>
                        <m:ctrlPr>
                          <w:rPr>
                            <w:rFonts w:hint="default" w:ascii="Times New Roman" w:hAnsi="Times New Roman" w:cs="Times New Roman"/>
                            <w:i w:val="0"/>
                            <w:color w:val="auto"/>
                            <w:kern w:val="0"/>
                            <w:sz w:val="24"/>
                            <w:szCs w:val="24"/>
                            <w:lang w:val="en-US" w:eastAsia="zh-CN" w:bidi="ar-SA"/>
                          </w:rPr>
                        </m:ctrlPr>
                      </m:sSubPr>
                      <m:e>
                        <m:r>
                          <m:rPr>
                            <m:nor/>
                            <m:sty m:val="p"/>
                          </m:rPr>
                          <w:rPr>
                            <w:rFonts w:hint="default" w:ascii="Times New Roman" w:hAnsi="Times New Roman" w:cs="Times New Roman"/>
                            <w:b w:val="0"/>
                            <w:i w:val="0"/>
                            <w:color w:val="auto"/>
                            <w:kern w:val="0"/>
                            <w:sz w:val="24"/>
                            <w:szCs w:val="24"/>
                            <w:lang w:val="en-US" w:eastAsia="zh-CN" w:bidi="ar-SA"/>
                          </w:rPr>
                          <m:t>k</m:t>
                        </m:r>
                        <m:ctrlPr>
                          <w:rPr>
                            <w:rFonts w:hint="default" w:ascii="Times New Roman" w:hAnsi="Times New Roman" w:cs="Times New Roman"/>
                            <w:i w:val="0"/>
                            <w:color w:val="auto"/>
                            <w:kern w:val="0"/>
                            <w:sz w:val="24"/>
                            <w:szCs w:val="24"/>
                            <w:lang w:val="en-US" w:eastAsia="zh-CN" w:bidi="ar-SA"/>
                          </w:rPr>
                        </m:ctrlPr>
                      </m:e>
                      <m:sub>
                        <m:r>
                          <m:rPr>
                            <m:nor/>
                            <m:sty m:val="p"/>
                          </m:rPr>
                          <w:rPr>
                            <w:rFonts w:hint="default" w:ascii="Times New Roman" w:hAnsi="Times New Roman" w:cs="Times New Roman"/>
                            <w:b w:val="0"/>
                            <w:i w:val="0"/>
                            <w:color w:val="auto"/>
                            <w:kern w:val="0"/>
                            <w:sz w:val="24"/>
                            <w:szCs w:val="24"/>
                            <w:lang w:val="en-US" w:eastAsia="zh-CN" w:bidi="ar-SA"/>
                          </w:rPr>
                          <m:t>1</m:t>
                        </m:r>
                        <m:ctrlPr>
                          <w:rPr>
                            <w:rFonts w:hint="default" w:ascii="Cambria Math" w:hAnsi="Cambria Math" w:cs="Times New Roman"/>
                            <w:color w:val="auto"/>
                            <w:kern w:val="0"/>
                            <w:sz w:val="24"/>
                            <w:szCs w:val="24"/>
                            <w:lang w:val="en-US" w:eastAsia="zh-CN" w:bidi="ar-SA"/>
                          </w:rPr>
                        </m:ctrlPr>
                      </m:sub>
                    </m:sSub>
                    <m:r>
                      <m:rPr>
                        <m:nor/>
                        <m:sty m:val="p"/>
                      </m:rPr>
                      <w:rPr>
                        <w:rFonts w:ascii="Cambria Math" w:hAnsi="Cambria Math" w:cs="Times New Roman"/>
                        <w:b w:val="0"/>
                        <w:i w:val="0"/>
                        <w:color w:val="auto"/>
                        <w:kern w:val="0"/>
                        <w:sz w:val="24"/>
                        <w:szCs w:val="24"/>
                        <w:lang w:val="en-US" w:bidi="ar-SA"/>
                      </w:rPr>
                      <m:t>×</m:t>
                    </m:r>
                    <m:sSub>
                      <m:sSubPr>
                        <m:ctrlPr>
                          <w:rPr>
                            <w:rFonts w:hint="default" w:ascii="Cambria Math" w:hAnsi="Cambria Math" w:cs="Times New Roman"/>
                            <w:color w:val="auto"/>
                            <w:kern w:val="0"/>
                            <w:sz w:val="24"/>
                            <w:szCs w:val="24"/>
                            <w:lang w:val="en-US" w:bidi="ar-SA"/>
                          </w:rPr>
                        </m:ctrlPr>
                      </m:sSubPr>
                      <m:e>
                        <m:r>
                          <m:rPr>
                            <m:sty m:val="p"/>
                          </m:rPr>
                          <w:rPr>
                            <w:rFonts w:hint="default" w:ascii="Cambria Math" w:hAnsi="Cambria Math" w:cs="Times New Roman"/>
                            <w:color w:val="auto"/>
                            <w:kern w:val="0"/>
                            <w:sz w:val="24"/>
                            <w:szCs w:val="24"/>
                            <w:lang w:val="en-US" w:eastAsia="zh-CN" w:bidi="ar-SA"/>
                          </w:rPr>
                          <m:t>Q</m:t>
                        </m:r>
                        <m:ctrlPr>
                          <w:rPr>
                            <w:rFonts w:hint="default" w:ascii="Cambria Math" w:hAnsi="Cambria Math" w:cs="Times New Roman"/>
                            <w:color w:val="auto"/>
                            <w:kern w:val="0"/>
                            <w:sz w:val="24"/>
                            <w:szCs w:val="24"/>
                            <w:lang w:val="en-US" w:bidi="ar-SA"/>
                          </w:rPr>
                        </m:ctrlPr>
                      </m:e>
                      <m:sub>
                        <m:r>
                          <m:rPr>
                            <m:sty m:val="p"/>
                          </m:rPr>
                          <w:rPr>
                            <w:rFonts w:hint="default" w:ascii="Cambria Math" w:hAnsi="Cambria Math" w:cs="Times New Roman"/>
                            <w:color w:val="auto"/>
                            <w:kern w:val="0"/>
                            <w:sz w:val="24"/>
                            <w:szCs w:val="24"/>
                            <w:lang w:val="en-US" w:eastAsia="zh-CN" w:bidi="ar-SA"/>
                          </w:rPr>
                          <m:t>1</m:t>
                        </m:r>
                        <m:ctrlPr>
                          <w:rPr>
                            <w:rFonts w:hint="default" w:ascii="Cambria Math" w:hAnsi="Cambria Math" w:cs="Times New Roman"/>
                            <w:color w:val="auto"/>
                            <w:kern w:val="0"/>
                            <w:sz w:val="24"/>
                            <w:szCs w:val="24"/>
                            <w:lang w:val="en-US" w:bidi="ar-SA"/>
                          </w:rPr>
                        </m:ctrlPr>
                      </m:sub>
                    </m:sSub>
                    <m:r>
                      <m:rPr>
                        <m:nor/>
                        <m:sty m:val="p"/>
                      </m:rPr>
                      <w:rPr>
                        <w:rFonts w:hint="default" w:ascii="Cambria Math" w:hAnsi="Cambria Math" w:cs="Times New Roman"/>
                        <w:b w:val="0"/>
                        <w:i w:val="0"/>
                        <w:color w:val="auto"/>
                        <w:kern w:val="0"/>
                        <w:sz w:val="24"/>
                        <w:szCs w:val="24"/>
                        <w:lang w:val="en-US" w:eastAsia="zh-CN" w:bidi="ar-SA"/>
                      </w:rPr>
                      <m:t>+n</m:t>
                    </m:r>
                    <m:r>
                      <m:rPr>
                        <m:sty m:val="p"/>
                      </m:rPr>
                      <w:rPr>
                        <w:rFonts w:ascii="Cambria Math" w:hAnsi="Cambria Math" w:cs="Times New Roman"/>
                        <w:color w:val="auto"/>
                        <w:kern w:val="0"/>
                        <w:sz w:val="24"/>
                        <w:szCs w:val="24"/>
                        <w:lang w:val="en-US" w:bidi="ar-SA"/>
                      </w:rPr>
                      <m:t>×</m:t>
                    </m:r>
                    <m:sSub>
                      <m:sSubPr>
                        <m:ctrlPr>
                          <w:rPr>
                            <w:rFonts w:hint="default" w:ascii="Cambria Math" w:hAnsi="Cambria Math" w:cs="Times New Roman"/>
                            <w:i w:val="0"/>
                            <w:color w:val="auto"/>
                            <w:kern w:val="0"/>
                            <w:sz w:val="24"/>
                            <w:szCs w:val="24"/>
                            <w:lang w:val="en-US" w:eastAsia="zh-CN" w:bidi="ar-SA"/>
                          </w:rPr>
                        </m:ctrlPr>
                      </m:sSubPr>
                      <m:e>
                        <m:r>
                          <m:rPr>
                            <m:sty m:val="p"/>
                          </m:rPr>
                          <w:rPr>
                            <w:rFonts w:hint="default" w:ascii="Cambria Math" w:hAnsi="Cambria Math" w:cs="Times New Roman"/>
                            <w:color w:val="auto"/>
                            <w:kern w:val="0"/>
                            <w:sz w:val="24"/>
                            <w:szCs w:val="24"/>
                            <w:lang w:val="en-US" w:eastAsia="zh-CN" w:bidi="ar-SA"/>
                          </w:rPr>
                          <m:t>k</m:t>
                        </m:r>
                        <m:ctrlPr>
                          <w:rPr>
                            <w:rFonts w:hint="default" w:ascii="Cambria Math" w:hAnsi="Cambria Math" w:cs="Times New Roman"/>
                            <w:i w:val="0"/>
                            <w:color w:val="auto"/>
                            <w:kern w:val="0"/>
                            <w:sz w:val="24"/>
                            <w:szCs w:val="24"/>
                            <w:lang w:val="en-US" w:eastAsia="zh-CN" w:bidi="ar-SA"/>
                          </w:rPr>
                        </m:ctrlPr>
                      </m:e>
                      <m:sub>
                        <m:r>
                          <m:rPr>
                            <m:sty m:val="p"/>
                          </m:rPr>
                          <w:rPr>
                            <w:rFonts w:hint="default" w:ascii="Cambria Math" w:hAnsi="Cambria Math" w:cs="Times New Roman"/>
                            <w:color w:val="auto"/>
                            <w:kern w:val="0"/>
                            <w:sz w:val="24"/>
                            <w:szCs w:val="24"/>
                            <w:lang w:val="en-US" w:eastAsia="zh-CN" w:bidi="ar-SA"/>
                          </w:rPr>
                          <m:t>2</m:t>
                        </m:r>
                        <m:ctrlPr>
                          <w:rPr>
                            <w:rFonts w:hint="default" w:ascii="Cambria Math" w:hAnsi="Cambria Math" w:cs="Times New Roman"/>
                            <w:i w:val="0"/>
                            <w:color w:val="auto"/>
                            <w:kern w:val="0"/>
                            <w:sz w:val="24"/>
                            <w:szCs w:val="24"/>
                            <w:lang w:val="en-US" w:eastAsia="zh-CN" w:bidi="ar-SA"/>
                          </w:rPr>
                        </m:ctrlPr>
                      </m:sub>
                    </m:sSub>
                    <m:r>
                      <m:rPr>
                        <m:nor/>
                        <m:sty m:val="p"/>
                      </m:rPr>
                      <w:rPr>
                        <w:rFonts w:hint="eastAsia" w:ascii="Times New Roman" w:hAnsi="Times New Roman" w:cs="Times New Roman"/>
                        <w:b w:val="0"/>
                        <w:i w:val="0"/>
                        <w:color w:val="auto"/>
                        <w:kern w:val="0"/>
                        <w:sz w:val="24"/>
                        <w:szCs w:val="24"/>
                        <w:lang w:val="en-US" w:eastAsia="zh-CN" w:bidi="ar-SA"/>
                      </w:rPr>
                      <m:t>）</m:t>
                    </m:r>
                    <m:ctrlPr>
                      <w:rPr>
                        <w:rFonts w:hint="default" w:ascii="Times New Roman" w:hAnsi="Times New Roman" w:cs="Times New Roman"/>
                        <w:i w:val="0"/>
                        <w:color w:val="auto"/>
                        <w:kern w:val="0"/>
                        <w:sz w:val="24"/>
                        <w:szCs w:val="24"/>
                        <w:lang w:val="en-US" w:eastAsia="zh-CN" w:bidi="ar-SA"/>
                      </w:rPr>
                    </m:ctrlPr>
                  </m:e>
                </m:nary>
              </m:oMath>
            </m:oMathPara>
          </w:p>
          <w:p w14:paraId="00D9274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color w:val="auto"/>
                <w:kern w:val="0"/>
                <w:lang w:val="en-US" w:eastAsia="zh-CN"/>
              </w:rPr>
              <w:t>式中：</w:t>
            </w:r>
          </w:p>
          <w:p w14:paraId="62CA6FF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lang w:val="en-US" w:eastAsia="zh-CN"/>
              </w:rPr>
            </w:pPr>
            <w:r>
              <w:rPr>
                <w:rFonts w:hint="eastAsia"/>
                <w:color w:val="auto"/>
                <w:kern w:val="0"/>
                <w:lang w:val="en-US" w:eastAsia="zh-CN"/>
              </w:rPr>
              <w:t>D——挥发性有机物年产生量，千克/年；</w:t>
            </w:r>
          </w:p>
          <w:p w14:paraId="0DD4A61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vertAlign w:val="baseline"/>
                <w:lang w:val="en-US" w:eastAsia="zh-CN"/>
              </w:rPr>
            </w:pPr>
            <w:r>
              <w:rPr>
                <w:rFonts w:hint="eastAsia"/>
                <w:color w:val="auto"/>
                <w:kern w:val="0"/>
                <w:lang w:val="en-US" w:eastAsia="zh-CN"/>
              </w:rPr>
              <w:t>k</w:t>
            </w:r>
            <w:r>
              <w:rPr>
                <w:rFonts w:hint="eastAsia"/>
                <w:color w:val="auto"/>
                <w:kern w:val="0"/>
                <w:vertAlign w:val="subscript"/>
                <w:lang w:val="en-US" w:eastAsia="zh-CN"/>
              </w:rPr>
              <w:t>1</w:t>
            </w:r>
            <w:r>
              <w:rPr>
                <w:rFonts w:hint="eastAsia"/>
                <w:color w:val="auto"/>
                <w:kern w:val="0"/>
                <w:vertAlign w:val="baseline"/>
                <w:lang w:val="en-US" w:eastAsia="zh-CN"/>
              </w:rPr>
              <w:t>——工作损失排放系数，千克/吨-周转量；</w:t>
            </w:r>
            <w:r>
              <w:rPr>
                <w:rFonts w:hint="default" w:ascii="Times New Roman" w:hAnsi="Times New Roman" w:cs="Times New Roman"/>
                <w:color w:val="auto"/>
                <w:kern w:val="0"/>
                <w:vertAlign w:val="baseline"/>
                <w:lang w:val="en-US" w:eastAsia="zh-CN"/>
              </w:rPr>
              <w:t>根据附表6固定顶罐油品挥发性有机物产污系数表，</w:t>
            </w:r>
            <w:r>
              <w:rPr>
                <w:rFonts w:hint="eastAsia" w:ascii="Times New Roman" w:hAnsi="Times New Roman" w:cs="Times New Roman"/>
                <w:color w:val="auto"/>
                <w:kern w:val="0"/>
                <w:vertAlign w:val="baseline"/>
                <w:lang w:val="en-US" w:eastAsia="zh-CN"/>
              </w:rPr>
              <w:t>工作损失排放系数</w:t>
            </w:r>
            <w:r>
              <w:rPr>
                <w:rFonts w:hint="eastAsia" w:cs="Times New Roman"/>
                <w:color w:val="auto"/>
                <w:kern w:val="0"/>
                <w:vertAlign w:val="baseline"/>
                <w:lang w:val="en-US" w:eastAsia="zh-CN"/>
              </w:rPr>
              <w:t>取</w:t>
            </w:r>
            <w:r>
              <w:rPr>
                <w:rFonts w:hint="eastAsia" w:ascii="Times New Roman" w:hAnsi="Times New Roman" w:cs="Times New Roman"/>
                <w:color w:val="auto"/>
                <w:kern w:val="0"/>
                <w:vertAlign w:val="baseline"/>
                <w:lang w:val="en-US" w:eastAsia="zh-CN"/>
              </w:rPr>
              <w:t>0.09793（千克/吨-周转量）；</w:t>
            </w:r>
          </w:p>
          <w:p w14:paraId="5697422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vertAlign w:val="baseline"/>
                <w:lang w:val="en-US" w:eastAsia="zh-CN"/>
              </w:rPr>
            </w:pPr>
            <w:r>
              <w:rPr>
                <w:rFonts w:hint="eastAsia"/>
                <w:color w:val="auto"/>
                <w:kern w:val="0"/>
                <w:lang w:val="en-US" w:eastAsia="zh-CN"/>
              </w:rPr>
              <w:t>k</w:t>
            </w:r>
            <w:r>
              <w:rPr>
                <w:rFonts w:hint="eastAsia"/>
                <w:color w:val="auto"/>
                <w:kern w:val="0"/>
                <w:vertAlign w:val="subscript"/>
                <w:lang w:val="en-US" w:eastAsia="zh-CN"/>
              </w:rPr>
              <w:t>2</w:t>
            </w:r>
            <w:r>
              <w:rPr>
                <w:rFonts w:hint="default" w:ascii="Times New Roman" w:hAnsi="Times New Roman" w:cs="Times New Roman"/>
                <w:color w:val="auto"/>
                <w:kern w:val="0"/>
                <w:vertAlign w:val="baseline"/>
                <w:lang w:val="en-US" w:eastAsia="zh-CN"/>
              </w:rPr>
              <w:t>——静置损失排放系数，千克/年；根据附表6固定顶罐油品挥发性有机物产污系数表，本项目储罐容积为1.5t≤100m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vertAlign w:val="baseline"/>
                <w:lang w:val="en-US" w:eastAsia="zh-CN"/>
              </w:rPr>
              <w:t>，储存温度为常温（</w:t>
            </w:r>
            <w:r>
              <w:rPr>
                <w:rFonts w:hint="default" w:ascii="Times New Roman" w:hAnsi="Times New Roman" w:eastAsia="宋体" w:cs="Times New Roman"/>
                <w:color w:val="auto"/>
                <w:sz w:val="24"/>
                <w:szCs w:val="24"/>
              </w:rPr>
              <w:t>22.5</w:t>
            </w:r>
            <w:r>
              <w:rPr>
                <w:rFonts w:hint="default" w:ascii="Times New Roman" w:hAnsi="Times New Roman" w:eastAsia="微软雅黑" w:cs="Times New Roman"/>
                <w:color w:val="auto"/>
                <w:sz w:val="24"/>
                <w:szCs w:val="24"/>
              </w:rPr>
              <w:t>&lt;</w:t>
            </w:r>
            <w:r>
              <w:rPr>
                <w:rFonts w:hint="default" w:ascii="Times New Roman" w:hAnsi="Times New Roman" w:eastAsia="宋体" w:cs="Times New Roman"/>
                <w:color w:val="auto"/>
                <w:sz w:val="24"/>
                <w:szCs w:val="24"/>
              </w:rPr>
              <w:t>T≤27.5</w:t>
            </w:r>
            <w:r>
              <w:rPr>
                <w:rFonts w:hint="default" w:ascii="Times New Roman" w:hAnsi="Times New Roman" w:cs="Times New Roman"/>
                <w:color w:val="auto"/>
                <w:kern w:val="0"/>
                <w:vertAlign w:val="baseline"/>
                <w:lang w:val="en-US" w:eastAsia="zh-CN"/>
              </w:rPr>
              <w:t>）</w:t>
            </w:r>
            <w:r>
              <w:rPr>
                <w:rFonts w:hint="eastAsia" w:ascii="Times New Roman" w:hAnsi="Times New Roman" w:cs="Times New Roman"/>
                <w:color w:val="auto"/>
                <w:kern w:val="0"/>
                <w:vertAlign w:val="baseline"/>
                <w:lang w:val="en-US" w:eastAsia="zh-CN"/>
              </w:rPr>
              <w:t>，静置损失排放系数取18.549千克/年；</w:t>
            </w:r>
          </w:p>
          <w:p w14:paraId="7C37669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lang w:val="en-US" w:eastAsia="zh-CN"/>
              </w:rPr>
            </w:pPr>
            <w:r>
              <w:rPr>
                <w:rFonts w:hint="eastAsia"/>
                <w:color w:val="auto"/>
                <w:kern w:val="0"/>
                <w:lang w:val="en-US" w:eastAsia="zh-CN"/>
              </w:rPr>
              <w:t>n——相同物料、储罐类型、储罐容积、储存温度下的储罐个数；</w:t>
            </w:r>
          </w:p>
          <w:p w14:paraId="45DE737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vertAlign w:val="baseline"/>
                <w:lang w:val="en-US" w:eastAsia="zh-CN"/>
              </w:rPr>
            </w:pPr>
            <w:r>
              <w:rPr>
                <w:rFonts w:hint="eastAsia"/>
                <w:color w:val="auto"/>
                <w:kern w:val="0"/>
                <w:lang w:val="en-US" w:eastAsia="zh-CN"/>
              </w:rPr>
              <w:t>Q</w:t>
            </w:r>
            <w:r>
              <w:rPr>
                <w:rFonts w:hint="eastAsia"/>
                <w:color w:val="auto"/>
                <w:kern w:val="0"/>
                <w:vertAlign w:val="subscript"/>
                <w:lang w:val="en-US" w:eastAsia="zh-CN"/>
              </w:rPr>
              <w:t>1</w:t>
            </w:r>
            <w:r>
              <w:rPr>
                <w:rFonts w:hint="eastAsia"/>
                <w:color w:val="auto"/>
                <w:kern w:val="0"/>
                <w:vertAlign w:val="baseline"/>
                <w:lang w:val="en-US" w:eastAsia="zh-CN"/>
              </w:rPr>
              <w:t>——物料的年周转量，吨/年。</w:t>
            </w:r>
          </w:p>
          <w:p w14:paraId="3D2230C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color w:val="auto"/>
                <w:kern w:val="0"/>
                <w:lang w:val="en-US" w:eastAsia="zh-CN"/>
              </w:rPr>
              <w:t>根据《工业源挥发性有机物通用源项产排污核算系数手册》中附表6 固定顶罐油品挥发性有机物产污系数表以及本项目特点，”可知，柴油储罐工作损失排放系数为0.09793（千克/吨一周转量），</w:t>
            </w:r>
            <w:r>
              <w:rPr>
                <w:rFonts w:hint="default" w:ascii="Times New Roman" w:hAnsi="Times New Roman" w:eastAsia="宋体" w:cs="Times New Roman"/>
                <w:color w:val="auto"/>
                <w:sz w:val="24"/>
                <w:szCs w:val="24"/>
              </w:rPr>
              <w:t>静置损失排放系数</w:t>
            </w:r>
            <w:r>
              <w:rPr>
                <w:rFonts w:hint="eastAsia" w:cs="Times New Roman"/>
                <w:color w:val="auto"/>
                <w:sz w:val="24"/>
                <w:szCs w:val="24"/>
                <w:lang w:val="en-US" w:eastAsia="zh-CN"/>
              </w:rPr>
              <w:t>18.549（</w:t>
            </w:r>
            <w:r>
              <w:rPr>
                <w:rFonts w:hint="default" w:ascii="Times New Roman" w:hAnsi="Times New Roman" w:eastAsia="宋体" w:cs="Times New Roman"/>
                <w:color w:val="auto"/>
                <w:sz w:val="24"/>
                <w:szCs w:val="24"/>
              </w:rPr>
              <w:t>千克/年</w:t>
            </w:r>
            <w:r>
              <w:rPr>
                <w:rFonts w:hint="eastAsia" w:cs="Times New Roman"/>
                <w:color w:val="auto"/>
                <w:sz w:val="24"/>
                <w:szCs w:val="24"/>
                <w:lang w:eastAsia="zh-CN"/>
              </w:rPr>
              <w:t>），</w:t>
            </w:r>
            <w:r>
              <w:rPr>
                <w:rFonts w:hint="eastAsia"/>
                <w:color w:val="auto"/>
                <w:kern w:val="0"/>
                <w:lang w:val="en-US" w:eastAsia="zh-CN"/>
              </w:rPr>
              <w:t>本项目罐车残液抽排到收集桶时周转1次，收集桶转移到残液储罐时周转1次，汞设置3个柴油残液储罐，本项目废气产排量见下表。</w:t>
            </w:r>
          </w:p>
          <w:p w14:paraId="1A498BDF">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表4-1 非甲烷总烃产排情况一览表</w:t>
            </w:r>
          </w:p>
          <w:tbl>
            <w:tblPr>
              <w:tblStyle w:val="30"/>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273"/>
              <w:gridCol w:w="931"/>
              <w:gridCol w:w="942"/>
              <w:gridCol w:w="1156"/>
              <w:gridCol w:w="1156"/>
              <w:gridCol w:w="754"/>
              <w:gridCol w:w="1158"/>
            </w:tblGrid>
            <w:tr w14:paraId="686E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07" w:type="dxa"/>
                  <w:vAlign w:val="center"/>
                </w:tcPr>
                <w:p w14:paraId="1AC8F5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1273" w:type="dxa"/>
                  <w:vAlign w:val="center"/>
                </w:tcPr>
                <w:p w14:paraId="56703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工作损失排放系数</w:t>
                  </w:r>
                </w:p>
              </w:tc>
              <w:tc>
                <w:tcPr>
                  <w:tcW w:w="931" w:type="dxa"/>
                  <w:vAlign w:val="center"/>
                </w:tcPr>
                <w:p w14:paraId="1F7AF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年周转量</w:t>
                  </w:r>
                </w:p>
              </w:tc>
              <w:tc>
                <w:tcPr>
                  <w:tcW w:w="942" w:type="dxa"/>
                  <w:vAlign w:val="center"/>
                </w:tcPr>
                <w:p w14:paraId="3306F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周转次数</w:t>
                  </w:r>
                </w:p>
              </w:tc>
              <w:tc>
                <w:tcPr>
                  <w:tcW w:w="1156" w:type="dxa"/>
                  <w:vAlign w:val="center"/>
                </w:tcPr>
                <w:p w14:paraId="14324F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静置损失排放系数</w:t>
                  </w:r>
                </w:p>
              </w:tc>
              <w:tc>
                <w:tcPr>
                  <w:tcW w:w="1156" w:type="dxa"/>
                  <w:vAlign w:val="center"/>
                </w:tcPr>
                <w:p w14:paraId="35A02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非甲烷总烃产生量</w:t>
                  </w:r>
                </w:p>
              </w:tc>
              <w:tc>
                <w:tcPr>
                  <w:tcW w:w="754" w:type="dxa"/>
                  <w:vAlign w:val="center"/>
                </w:tcPr>
                <w:p w14:paraId="003D1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措施</w:t>
                  </w:r>
                </w:p>
              </w:tc>
              <w:tc>
                <w:tcPr>
                  <w:tcW w:w="1158" w:type="dxa"/>
                  <w:vAlign w:val="center"/>
                </w:tcPr>
                <w:p w14:paraId="02177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非甲烷总烃排放量</w:t>
                  </w:r>
                </w:p>
              </w:tc>
            </w:tr>
            <w:tr w14:paraId="39FE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07" w:type="dxa"/>
                  <w:vAlign w:val="center"/>
                </w:tcPr>
                <w:p w14:paraId="35191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柴油</w:t>
                  </w:r>
                </w:p>
              </w:tc>
              <w:tc>
                <w:tcPr>
                  <w:tcW w:w="1273" w:type="dxa"/>
                  <w:vAlign w:val="center"/>
                </w:tcPr>
                <w:p w14:paraId="4B89A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kern w:val="0"/>
                      <w:sz w:val="21"/>
                      <w:szCs w:val="21"/>
                      <w:lang w:val="en-US" w:eastAsia="zh-CN"/>
                    </w:rPr>
                    <w:t>0.09793（千克/吨-周转量）</w:t>
                  </w:r>
                </w:p>
              </w:tc>
              <w:tc>
                <w:tcPr>
                  <w:tcW w:w="931" w:type="dxa"/>
                  <w:vAlign w:val="center"/>
                </w:tcPr>
                <w:p w14:paraId="727CF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45.36t/a</w:t>
                  </w:r>
                </w:p>
              </w:tc>
              <w:tc>
                <w:tcPr>
                  <w:tcW w:w="942" w:type="dxa"/>
                  <w:vAlign w:val="center"/>
                </w:tcPr>
                <w:p w14:paraId="45367F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2次</w:t>
                  </w:r>
                </w:p>
              </w:tc>
              <w:tc>
                <w:tcPr>
                  <w:tcW w:w="1156" w:type="dxa"/>
                  <w:vAlign w:val="center"/>
                </w:tcPr>
                <w:p w14:paraId="29216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18.549千克/年</w:t>
                  </w:r>
                </w:p>
              </w:tc>
              <w:tc>
                <w:tcPr>
                  <w:tcW w:w="1156" w:type="dxa"/>
                  <w:vAlign w:val="center"/>
                </w:tcPr>
                <w:p w14:paraId="08676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18.6kg/a</w:t>
                  </w:r>
                </w:p>
              </w:tc>
              <w:tc>
                <w:tcPr>
                  <w:tcW w:w="754" w:type="dxa"/>
                  <w:vAlign w:val="center"/>
                </w:tcPr>
                <w:p w14:paraId="536E7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158" w:type="dxa"/>
                  <w:vAlign w:val="center"/>
                </w:tcPr>
                <w:p w14:paraId="340D4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64.53kg/a</w:t>
                  </w:r>
                </w:p>
              </w:tc>
            </w:tr>
          </w:tbl>
          <w:p w14:paraId="7E57042D">
            <w:pPr>
              <w:ind w:firstLine="482" w:firstLineChars="200"/>
              <w:rPr>
                <w:rFonts w:hint="default" w:eastAsia="宋体"/>
                <w:b/>
                <w:color w:val="auto"/>
                <w:kern w:val="0"/>
                <w:lang w:val="en-US" w:eastAsia="zh-CN"/>
              </w:rPr>
            </w:pPr>
            <w:r>
              <w:rPr>
                <w:rFonts w:hint="eastAsia"/>
                <w:b/>
                <w:color w:val="auto"/>
                <w:kern w:val="0"/>
              </w:rPr>
              <w:t>②</w:t>
            </w:r>
            <w:r>
              <w:rPr>
                <w:rFonts w:hint="eastAsia"/>
                <w:b/>
                <w:color w:val="auto"/>
                <w:kern w:val="0"/>
                <w:lang w:val="en-US" w:eastAsia="zh-CN"/>
              </w:rPr>
              <w:t>蒸汽清洗时产生的非甲烷总烃</w:t>
            </w:r>
          </w:p>
          <w:p w14:paraId="247B2DB8">
            <w:pPr>
              <w:adjustRightInd w:val="0"/>
              <w:snapToGrid w:val="0"/>
              <w:spacing w:line="360" w:lineRule="auto"/>
              <w:ind w:firstLine="480" w:firstLineChars="200"/>
              <w:jc w:val="left"/>
              <w:rPr>
                <w:rFonts w:hint="default" w:ascii="Times New Roman" w:hAnsi="Times New Roman"/>
                <w:b w:val="0"/>
                <w:bCs w:val="0"/>
                <w:color w:val="auto"/>
                <w:sz w:val="24"/>
                <w:lang w:val="en-US" w:eastAsia="zh-CN"/>
              </w:rPr>
            </w:pPr>
            <w:r>
              <w:rPr>
                <w:rFonts w:hint="eastAsia"/>
                <w:b w:val="0"/>
                <w:bCs/>
                <w:color w:val="auto"/>
                <w:kern w:val="0"/>
                <w:lang w:val="en-US" w:eastAsia="zh-CN"/>
              </w:rPr>
              <w:t>每辆油罐车的容积大约为40m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w:t>
            </w:r>
            <w:r>
              <w:rPr>
                <w:rFonts w:hint="eastAsia"/>
                <w:b w:val="0"/>
                <w:bCs/>
                <w:color w:val="auto"/>
                <w:kern w:val="0"/>
                <w:lang w:val="en-US" w:eastAsia="zh-CN"/>
              </w:rPr>
              <w:t>根据柴油安全技术说明书（MSDS），</w:t>
            </w:r>
            <w:r>
              <w:rPr>
                <w:rFonts w:hint="default" w:ascii="Times New Roman" w:hAnsi="Times New Roman"/>
                <w:b w:val="0"/>
                <w:bCs w:val="0"/>
                <w:color w:val="auto"/>
                <w:sz w:val="24"/>
                <w:lang w:val="en-US" w:eastAsia="zh-CN"/>
              </w:rPr>
              <w:t>柴油的油蒸汽爆炸下限为0.6%，油蒸汽的密度为4kg/m</w:t>
            </w:r>
            <w:r>
              <w:rPr>
                <w:rFonts w:hint="default" w:ascii="Times New Roman" w:hAnsi="Times New Roman"/>
                <w:b w:val="0"/>
                <w:bCs w:val="0"/>
                <w:color w:val="auto"/>
                <w:sz w:val="24"/>
                <w:vertAlign w:val="superscript"/>
                <w:lang w:val="en-US" w:eastAsia="zh-CN"/>
              </w:rPr>
              <w:t>3</w:t>
            </w:r>
            <w:r>
              <w:rPr>
                <w:rFonts w:hint="default" w:ascii="Times New Roman" w:hAnsi="Times New Roman"/>
                <w:b w:val="0"/>
                <w:bCs w:val="0"/>
                <w:color w:val="auto"/>
                <w:sz w:val="24"/>
                <w:lang w:val="en-US" w:eastAsia="zh-CN"/>
              </w:rPr>
              <w:t>，按最不利的分析，则柴油油罐车内油蒸汽的爆炸下限的量为</w:t>
            </w:r>
            <w:r>
              <w:rPr>
                <w:rFonts w:hint="eastAsia" w:ascii="Times New Roman" w:hAnsi="Times New Roman"/>
                <w:b w:val="0"/>
                <w:bCs w:val="0"/>
                <w:color w:val="auto"/>
                <w:sz w:val="24"/>
                <w:lang w:val="en-US" w:eastAsia="zh-CN"/>
              </w:rPr>
              <w:t>0.96</w:t>
            </w:r>
            <w:r>
              <w:rPr>
                <w:rFonts w:hint="default" w:ascii="Times New Roman" w:hAnsi="Times New Roman"/>
                <w:b w:val="0"/>
                <w:bCs w:val="0"/>
                <w:color w:val="auto"/>
                <w:sz w:val="24"/>
                <w:lang w:val="en-US" w:eastAsia="zh-CN"/>
              </w:rPr>
              <w:t>kg，即每辆柴油油罐车在确保安全清洗的前提下，油气（以非甲烷总烃计）的最大</w:t>
            </w:r>
            <w:r>
              <w:rPr>
                <w:rFonts w:hint="eastAsia" w:ascii="Times New Roman" w:hAnsi="Times New Roman"/>
                <w:b w:val="0"/>
                <w:bCs w:val="0"/>
                <w:color w:val="auto"/>
                <w:sz w:val="24"/>
                <w:lang w:val="en-US" w:eastAsia="zh-CN"/>
              </w:rPr>
              <w:t>产生</w:t>
            </w:r>
            <w:r>
              <w:rPr>
                <w:rFonts w:hint="default" w:ascii="Times New Roman" w:hAnsi="Times New Roman"/>
                <w:b w:val="0"/>
                <w:bCs w:val="0"/>
                <w:color w:val="auto"/>
                <w:sz w:val="24"/>
                <w:lang w:val="en-US" w:eastAsia="zh-CN"/>
              </w:rPr>
              <w:t>量为</w:t>
            </w:r>
            <w:r>
              <w:rPr>
                <w:rFonts w:hint="eastAsia" w:ascii="Times New Roman" w:hAnsi="Times New Roman"/>
                <w:b w:val="0"/>
                <w:bCs w:val="0"/>
                <w:color w:val="auto"/>
                <w:sz w:val="24"/>
                <w:lang w:val="en-US" w:eastAsia="zh-CN"/>
              </w:rPr>
              <w:t>0.96</w:t>
            </w:r>
            <w:r>
              <w:rPr>
                <w:rFonts w:hint="default" w:ascii="Times New Roman" w:hAnsi="Times New Roman"/>
                <w:b w:val="0"/>
                <w:bCs w:val="0"/>
                <w:color w:val="auto"/>
                <w:sz w:val="24"/>
                <w:lang w:val="en-US" w:eastAsia="zh-CN"/>
              </w:rPr>
              <w:t>kg</w:t>
            </w:r>
            <w:r>
              <w:rPr>
                <w:rFonts w:hint="eastAsia" w:ascii="Times New Roman" w:hAnsi="Times New Roman"/>
                <w:b w:val="0"/>
                <w:bCs w:val="0"/>
                <w:color w:val="auto"/>
                <w:sz w:val="24"/>
                <w:lang w:val="en-US" w:eastAsia="zh-CN"/>
              </w:rPr>
              <w:t>。本项目</w:t>
            </w:r>
            <w:r>
              <w:rPr>
                <w:rFonts w:hint="eastAsia"/>
                <w:b w:val="0"/>
                <w:bCs w:val="0"/>
                <w:color w:val="auto"/>
                <w:sz w:val="24"/>
                <w:lang w:val="en-US" w:eastAsia="zh-CN"/>
              </w:rPr>
              <w:t>每年需用蒸汽</w:t>
            </w:r>
            <w:r>
              <w:rPr>
                <w:rFonts w:hint="eastAsia" w:ascii="Times New Roman" w:hAnsi="Times New Roman"/>
                <w:b w:val="0"/>
                <w:bCs w:val="0"/>
                <w:color w:val="auto"/>
                <w:sz w:val="24"/>
                <w:lang w:val="en-US" w:eastAsia="zh-CN"/>
              </w:rPr>
              <w:t>清洗</w:t>
            </w:r>
            <w:r>
              <w:rPr>
                <w:rFonts w:hint="eastAsia"/>
                <w:b w:val="0"/>
                <w:bCs w:val="0"/>
                <w:color w:val="auto"/>
                <w:sz w:val="24"/>
                <w:lang w:val="en-US" w:eastAsia="zh-CN"/>
              </w:rPr>
              <w:t>270</w:t>
            </w:r>
            <w:r>
              <w:rPr>
                <w:rFonts w:hint="eastAsia" w:ascii="Times New Roman" w:hAnsi="Times New Roman"/>
                <w:b w:val="0"/>
                <w:bCs w:val="0"/>
                <w:color w:val="auto"/>
                <w:sz w:val="24"/>
                <w:lang w:val="en-US" w:eastAsia="zh-CN"/>
              </w:rPr>
              <w:t>辆柴油罐车，故</w:t>
            </w:r>
            <w:r>
              <w:rPr>
                <w:rFonts w:hint="eastAsia"/>
                <w:b w:val="0"/>
                <w:bCs w:val="0"/>
                <w:color w:val="auto"/>
                <w:sz w:val="24"/>
                <w:lang w:val="en-US" w:eastAsia="zh-CN"/>
              </w:rPr>
              <w:t>产生</w:t>
            </w:r>
            <w:r>
              <w:rPr>
                <w:rFonts w:hint="eastAsia" w:ascii="Times New Roman" w:hAnsi="Times New Roman"/>
                <w:b w:val="0"/>
                <w:bCs w:val="0"/>
                <w:color w:val="auto"/>
                <w:sz w:val="24"/>
                <w:lang w:val="en-US" w:eastAsia="zh-CN"/>
              </w:rPr>
              <w:t>非甲烷总烃的量为</w:t>
            </w:r>
            <w:r>
              <w:rPr>
                <w:rFonts w:hint="eastAsia"/>
                <w:b w:val="0"/>
                <w:bCs w:val="0"/>
                <w:color w:val="auto"/>
                <w:sz w:val="24"/>
                <w:lang w:val="en-US" w:eastAsia="zh-CN"/>
              </w:rPr>
              <w:t>0.259</w:t>
            </w:r>
            <w:r>
              <w:rPr>
                <w:rFonts w:hint="eastAsia" w:ascii="Times New Roman" w:hAnsi="Times New Roman"/>
                <w:b w:val="0"/>
                <w:bCs w:val="0"/>
                <w:color w:val="auto"/>
                <w:sz w:val="24"/>
                <w:lang w:val="en-US" w:eastAsia="zh-CN"/>
              </w:rPr>
              <w:t>t/a</w:t>
            </w:r>
            <w:r>
              <w:rPr>
                <w:rFonts w:hint="eastAsia"/>
                <w:b w:val="0"/>
                <w:bCs w:val="0"/>
                <w:color w:val="auto"/>
                <w:sz w:val="24"/>
                <w:lang w:val="en-US" w:eastAsia="zh-CN"/>
              </w:rPr>
              <w:t>，</w:t>
            </w:r>
            <w:r>
              <w:rPr>
                <w:rFonts w:hint="eastAsia"/>
                <w:b w:val="0"/>
                <w:bCs/>
                <w:color w:val="auto"/>
                <w:kern w:val="0"/>
                <w:lang w:val="en-US" w:eastAsia="zh-CN"/>
              </w:rPr>
              <w:t>产生速率为0.108kg/h。</w:t>
            </w:r>
          </w:p>
          <w:p w14:paraId="05942361">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color w:val="auto"/>
                <w:kern w:val="0"/>
                <w:lang w:val="en-US" w:eastAsia="zh-CN"/>
              </w:rPr>
            </w:pPr>
            <w:r>
              <w:rPr>
                <w:rFonts w:hint="default" w:ascii="Times New Roman" w:hAnsi="Times New Roman" w:cs="Times New Roman"/>
                <w:b w:val="0"/>
                <w:bCs/>
                <w:color w:val="auto"/>
                <w:kern w:val="0"/>
                <w:lang w:val="en-US" w:eastAsia="zh-CN"/>
              </w:rPr>
              <w:t>根据《挥发性有机物无组织排放控制标准》（GB37822-2019），收集的废气中NMHC初始排放速率≥3kg</w:t>
            </w:r>
            <w:r>
              <w:rPr>
                <w:rFonts w:hint="eastAsia" w:ascii="Times New Roman" w:hAnsi="Times New Roman" w:cs="Times New Roman"/>
                <w:b w:val="0"/>
                <w:bCs/>
                <w:color w:val="auto"/>
                <w:kern w:val="0"/>
                <w:lang w:val="en-US" w:eastAsia="zh-CN"/>
              </w:rPr>
              <w:t>/</w:t>
            </w:r>
            <w:r>
              <w:rPr>
                <w:rFonts w:hint="default" w:ascii="Times New Roman" w:hAnsi="Times New Roman" w:cs="Times New Roman"/>
                <w:b w:val="0"/>
                <w:bCs/>
                <w:color w:val="auto"/>
                <w:kern w:val="0"/>
                <w:lang w:val="en-US" w:eastAsia="zh-CN"/>
              </w:rPr>
              <w:t>h时，应配置VOCs处理设施，处理效率不应低于80%。本项目非甲烷总烃产生量为</w:t>
            </w:r>
            <w:r>
              <w:rPr>
                <w:rFonts w:hint="eastAsia" w:ascii="Times New Roman" w:hAnsi="Times New Roman" w:cs="Times New Roman"/>
                <w:b w:val="0"/>
                <w:bCs/>
                <w:color w:val="auto"/>
                <w:kern w:val="0"/>
                <w:lang w:val="en-US" w:eastAsia="zh-CN"/>
              </w:rPr>
              <w:t>0.324</w:t>
            </w:r>
            <w:r>
              <w:rPr>
                <w:rFonts w:hint="default" w:ascii="Times New Roman" w:hAnsi="Times New Roman" w:cs="Times New Roman"/>
                <w:b w:val="0"/>
                <w:bCs/>
                <w:color w:val="auto"/>
                <w:kern w:val="0"/>
                <w:lang w:val="en-US" w:eastAsia="zh-CN"/>
              </w:rPr>
              <w:t>t/a，产生速率为0.1</w:t>
            </w:r>
            <w:r>
              <w:rPr>
                <w:rFonts w:hint="eastAsia" w:ascii="Times New Roman" w:hAnsi="Times New Roman" w:cs="Times New Roman"/>
                <w:b w:val="0"/>
                <w:bCs/>
                <w:color w:val="auto"/>
                <w:kern w:val="0"/>
                <w:lang w:val="en-US" w:eastAsia="zh-CN"/>
              </w:rPr>
              <w:t>35</w:t>
            </w:r>
            <w:r>
              <w:rPr>
                <w:rFonts w:hint="default" w:ascii="Times New Roman" w:hAnsi="Times New Roman" w:cs="Times New Roman"/>
                <w:b w:val="0"/>
                <w:bCs/>
                <w:color w:val="auto"/>
                <w:kern w:val="0"/>
                <w:lang w:val="en-US" w:eastAsia="zh-CN"/>
              </w:rPr>
              <w:t>kg/h</w:t>
            </w:r>
            <w:r>
              <w:rPr>
                <w:rFonts w:hint="default" w:ascii="Times New Roman" w:hAnsi="Times New Roman" w:eastAsia="微软雅黑" w:cs="Times New Roman"/>
                <w:b w:val="0"/>
                <w:bCs/>
                <w:color w:val="auto"/>
                <w:kern w:val="0"/>
                <w:lang w:val="en-US" w:eastAsia="zh-CN"/>
              </w:rPr>
              <w:t>&lt;</w:t>
            </w:r>
            <w:r>
              <w:rPr>
                <w:rFonts w:hint="default" w:ascii="Times New Roman" w:hAnsi="Times New Roman" w:cs="Times New Roman"/>
                <w:b w:val="0"/>
                <w:bCs/>
                <w:color w:val="auto"/>
                <w:kern w:val="0"/>
                <w:lang w:val="en-US" w:eastAsia="zh-CN"/>
              </w:rPr>
              <w:t>3kg/h</w:t>
            </w:r>
            <w:r>
              <w:rPr>
                <w:rFonts w:hint="eastAsia" w:ascii="Times New Roman" w:hAnsi="Times New Roman" w:cs="Times New Roman"/>
                <w:b w:val="0"/>
                <w:bCs/>
                <w:color w:val="auto"/>
                <w:kern w:val="0"/>
                <w:lang w:val="en-US" w:eastAsia="zh-CN"/>
              </w:rPr>
              <w:t>，非甲烷总烃产生量较小，速率较低。因此，本项目非甲烷总烃呈无组织排放。</w:t>
            </w:r>
          </w:p>
          <w:p w14:paraId="174F521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color w:val="auto"/>
                <w:vertAlign w:val="baseline"/>
                <w:lang w:eastAsia="zh-CN"/>
              </w:rPr>
            </w:pPr>
            <w:r>
              <w:rPr>
                <w:rFonts w:hint="default" w:ascii="Times New Roman" w:hAnsi="Times New Roman" w:cs="Times New Roman"/>
                <w:b/>
                <w:bCs w:val="0"/>
                <w:color w:val="auto"/>
                <w:kern w:val="0"/>
                <w:lang w:val="en-US" w:eastAsia="zh-CN"/>
              </w:rPr>
              <w:t>（2）</w:t>
            </w:r>
            <w:r>
              <w:rPr>
                <w:rFonts w:hint="default" w:ascii="Times New Roman" w:hAnsi="Times New Roman" w:cs="Times New Roman"/>
                <w:b/>
                <w:bCs/>
                <w:color w:val="auto"/>
                <w:vertAlign w:val="baseline"/>
                <w:lang w:eastAsia="zh-CN"/>
              </w:rPr>
              <w:t>汽车尾气</w:t>
            </w:r>
          </w:p>
          <w:p w14:paraId="5774BADD">
            <w:pPr>
              <w:pStyle w:val="20"/>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vertAlign w:val="baseline"/>
                <w:lang w:eastAsia="zh-CN"/>
              </w:rPr>
              <w:t>本项目罐车进出</w:t>
            </w:r>
            <w:r>
              <w:rPr>
                <w:rFonts w:hint="default" w:ascii="Times New Roman" w:hAnsi="Times New Roman" w:cs="Times New Roman"/>
                <w:color w:val="auto"/>
                <w:vertAlign w:val="baseline"/>
                <w:lang w:val="en-US" w:eastAsia="zh-CN"/>
              </w:rPr>
              <w:t>会</w:t>
            </w:r>
            <w:r>
              <w:rPr>
                <w:rFonts w:hint="default" w:ascii="Times New Roman" w:hAnsi="Times New Roman" w:cs="Times New Roman"/>
                <w:color w:val="auto"/>
                <w:vertAlign w:val="baseline"/>
                <w:lang w:eastAsia="zh-CN"/>
              </w:rPr>
              <w:t>产生汽车尾气，汽车尾气主要污染物为NO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vertAlign w:val="baseline"/>
                <w:lang w:eastAsia="zh-CN"/>
              </w:rPr>
              <w:t>、SO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vertAlign w:val="baseline"/>
                <w:lang w:eastAsia="zh-CN"/>
              </w:rPr>
              <w:t>、THC，车辆在厂区范围内行驶距离较短，间断产污，经大气稀释扩散</w:t>
            </w:r>
            <w:r>
              <w:rPr>
                <w:rFonts w:hint="default" w:ascii="Times New Roman" w:hAnsi="Times New Roman" w:cs="Times New Roman"/>
                <w:color w:val="auto"/>
                <w:vertAlign w:val="baseline"/>
                <w:lang w:val="en-US" w:eastAsia="zh-CN"/>
              </w:rPr>
              <w:t>后对环境影响较小</w:t>
            </w:r>
            <w:r>
              <w:rPr>
                <w:rFonts w:hint="default" w:ascii="Times New Roman" w:hAnsi="Times New Roman" w:cs="Times New Roman"/>
                <w:color w:val="auto"/>
                <w:vertAlign w:val="baseline"/>
                <w:lang w:eastAsia="zh-CN"/>
              </w:rPr>
              <w:t>。</w:t>
            </w:r>
          </w:p>
          <w:p w14:paraId="2700D82A">
            <w:pPr>
              <w:ind w:firstLine="482" w:firstLineChars="200"/>
              <w:rPr>
                <w:b/>
                <w:color w:val="auto"/>
                <w:kern w:val="0"/>
              </w:rPr>
            </w:pPr>
            <w:r>
              <w:rPr>
                <w:rFonts w:hint="eastAsia"/>
                <w:b/>
                <w:color w:val="auto"/>
                <w:kern w:val="0"/>
              </w:rPr>
              <w:t>2、废气产排污情况</w:t>
            </w:r>
          </w:p>
          <w:p w14:paraId="7A8712A0">
            <w:pPr>
              <w:ind w:firstLine="480" w:firstLineChars="200"/>
              <w:rPr>
                <w:rFonts w:hint="default" w:eastAsia="宋体"/>
                <w:color w:val="auto"/>
                <w:kern w:val="0"/>
                <w:highlight w:val="green"/>
                <w:lang w:val="en-US" w:eastAsia="zh-CN"/>
              </w:rPr>
            </w:pPr>
            <w:r>
              <w:rPr>
                <w:rFonts w:hint="eastAsia"/>
                <w:color w:val="auto"/>
                <w:kern w:val="0"/>
              </w:rPr>
              <w:t>项目废气产排污情况见下表。</w:t>
            </w:r>
          </w:p>
          <w:p w14:paraId="0AFC4E9A">
            <w:pPr>
              <w:jc w:val="center"/>
              <w:rPr>
                <w:rFonts w:hint="eastAsia"/>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2</w:t>
            </w:r>
            <w:r>
              <w:rPr>
                <w:rFonts w:hint="eastAsia"/>
                <w:b/>
                <w:color w:val="auto"/>
                <w:kern w:val="0"/>
                <w:sz w:val="21"/>
                <w:szCs w:val="21"/>
              </w:rPr>
              <w:t>项目废气产排污情况一览表</w:t>
            </w:r>
          </w:p>
          <w:tbl>
            <w:tblPr>
              <w:tblStyle w:val="2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019"/>
              <w:gridCol w:w="834"/>
              <w:gridCol w:w="1611"/>
              <w:gridCol w:w="1218"/>
              <w:gridCol w:w="1222"/>
              <w:gridCol w:w="1931"/>
            </w:tblGrid>
            <w:tr w14:paraId="3480D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5000" w:type="pct"/>
                  <w:gridSpan w:val="6"/>
                  <w:tcBorders>
                    <w:tl2br w:val="nil"/>
                    <w:tr2bl w:val="nil"/>
                  </w:tcBorders>
                  <w:shd w:val="clear" w:color="auto" w:fill="auto"/>
                  <w:vAlign w:val="center"/>
                </w:tcPr>
                <w:p w14:paraId="2808C27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排放形式</w:t>
                  </w:r>
                </w:p>
              </w:tc>
            </w:tr>
            <w:tr w14:paraId="034EB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2211" w:type="pct"/>
                  <w:gridSpan w:val="3"/>
                  <w:tcBorders>
                    <w:tl2br w:val="nil"/>
                    <w:tr2bl w:val="nil"/>
                  </w:tcBorders>
                  <w:shd w:val="clear" w:color="auto" w:fill="auto"/>
                  <w:vAlign w:val="center"/>
                </w:tcPr>
                <w:p w14:paraId="0B3F57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产污环节</w:t>
                  </w:r>
                </w:p>
              </w:tc>
              <w:tc>
                <w:tcPr>
                  <w:tcW w:w="777" w:type="pct"/>
                  <w:tcBorders>
                    <w:tl2br w:val="nil"/>
                    <w:tr2bl w:val="nil"/>
                  </w:tcBorders>
                  <w:shd w:val="clear" w:color="auto" w:fill="auto"/>
                  <w:vAlign w:val="center"/>
                </w:tcPr>
                <w:p w14:paraId="313508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抽排残液</w:t>
                  </w:r>
                </w:p>
              </w:tc>
              <w:tc>
                <w:tcPr>
                  <w:tcW w:w="779" w:type="pct"/>
                  <w:tcBorders>
                    <w:tl2br w:val="nil"/>
                    <w:tr2bl w:val="nil"/>
                  </w:tcBorders>
                  <w:shd w:val="clear" w:color="auto" w:fill="auto"/>
                  <w:vAlign w:val="center"/>
                </w:tcPr>
                <w:p w14:paraId="4E67ED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蒸汽清洗</w:t>
                  </w:r>
                </w:p>
              </w:tc>
              <w:tc>
                <w:tcPr>
                  <w:tcW w:w="1231" w:type="pct"/>
                  <w:tcBorders>
                    <w:tl2br w:val="nil"/>
                    <w:tr2bl w:val="nil"/>
                  </w:tcBorders>
                  <w:shd w:val="clear" w:color="auto" w:fill="auto"/>
                  <w:vAlign w:val="center"/>
                </w:tcPr>
                <w:p w14:paraId="25EE05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汽车尾气</w:t>
                  </w:r>
                </w:p>
              </w:tc>
            </w:tr>
            <w:tr w14:paraId="46DA0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tcBorders>
                    <w:tl2br w:val="nil"/>
                    <w:tr2bl w:val="nil"/>
                  </w:tcBorders>
                  <w:shd w:val="clear" w:color="auto" w:fill="auto"/>
                  <w:vAlign w:val="center"/>
                </w:tcPr>
                <w:p w14:paraId="4B63BE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污染物种类</w:t>
                  </w:r>
                </w:p>
              </w:tc>
              <w:tc>
                <w:tcPr>
                  <w:tcW w:w="1028" w:type="pct"/>
                  <w:tcBorders>
                    <w:tl2br w:val="nil"/>
                    <w:tr2bl w:val="nil"/>
                  </w:tcBorders>
                  <w:shd w:val="clear" w:color="auto" w:fill="auto"/>
                  <w:vAlign w:val="center"/>
                </w:tcPr>
                <w:p w14:paraId="516248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w:t>
                  </w:r>
                </w:p>
              </w:tc>
              <w:tc>
                <w:tcPr>
                  <w:tcW w:w="1557" w:type="pct"/>
                  <w:gridSpan w:val="2"/>
                  <w:tcBorders>
                    <w:tl2br w:val="nil"/>
                    <w:tr2bl w:val="nil"/>
                  </w:tcBorders>
                  <w:shd w:val="clear" w:color="auto" w:fill="auto"/>
                  <w:vAlign w:val="center"/>
                </w:tcPr>
                <w:p w14:paraId="4111F6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非甲烷总烃</w:t>
                  </w:r>
                </w:p>
              </w:tc>
              <w:tc>
                <w:tcPr>
                  <w:tcW w:w="1231" w:type="pct"/>
                  <w:tcBorders>
                    <w:tl2br w:val="nil"/>
                    <w:tr2bl w:val="nil"/>
                  </w:tcBorders>
                  <w:shd w:val="clear" w:color="auto" w:fill="auto"/>
                  <w:vAlign w:val="center"/>
                </w:tcPr>
                <w:p w14:paraId="0CD7A9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Style w:val="52"/>
                      <w:rFonts w:eastAsia="宋体"/>
                      <w:color w:val="auto"/>
                      <w:sz w:val="21"/>
                      <w:szCs w:val="21"/>
                      <w:lang w:val="en-US" w:eastAsia="zh-CN" w:bidi="ar"/>
                    </w:rPr>
                    <w:t>2</w:t>
                  </w:r>
                  <w:r>
                    <w:rPr>
                      <w:rStyle w:val="53"/>
                      <w:color w:val="auto"/>
                      <w:sz w:val="21"/>
                      <w:szCs w:val="21"/>
                      <w:lang w:val="en-US" w:eastAsia="zh-CN" w:bidi="ar"/>
                    </w:rPr>
                    <w:t>、</w:t>
                  </w:r>
                  <w:r>
                    <w:rPr>
                      <w:rStyle w:val="54"/>
                      <w:rFonts w:eastAsia="宋体"/>
                      <w:color w:val="auto"/>
                      <w:sz w:val="21"/>
                      <w:szCs w:val="21"/>
                      <w:lang w:val="en-US" w:eastAsia="zh-CN" w:bidi="ar"/>
                    </w:rPr>
                    <w:t>SO</w:t>
                  </w:r>
                  <w:r>
                    <w:rPr>
                      <w:rStyle w:val="52"/>
                      <w:rFonts w:eastAsia="宋体"/>
                      <w:color w:val="auto"/>
                      <w:sz w:val="21"/>
                      <w:szCs w:val="21"/>
                      <w:lang w:val="en-US" w:eastAsia="zh-CN" w:bidi="ar"/>
                    </w:rPr>
                    <w:t>2</w:t>
                  </w:r>
                  <w:r>
                    <w:rPr>
                      <w:rStyle w:val="53"/>
                      <w:color w:val="auto"/>
                      <w:sz w:val="21"/>
                      <w:szCs w:val="21"/>
                      <w:lang w:val="en-US" w:eastAsia="zh-CN" w:bidi="ar"/>
                    </w:rPr>
                    <w:t>、</w:t>
                  </w:r>
                  <w:r>
                    <w:rPr>
                      <w:rStyle w:val="54"/>
                      <w:rFonts w:eastAsia="宋体"/>
                      <w:color w:val="auto"/>
                      <w:sz w:val="21"/>
                      <w:szCs w:val="21"/>
                      <w:lang w:val="en-US" w:eastAsia="zh-CN" w:bidi="ar"/>
                    </w:rPr>
                    <w:t>THC</w:t>
                  </w:r>
                </w:p>
              </w:tc>
            </w:tr>
            <w:tr w14:paraId="7EDEE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restart"/>
                  <w:tcBorders>
                    <w:tl2br w:val="nil"/>
                    <w:tr2bl w:val="nil"/>
                  </w:tcBorders>
                  <w:shd w:val="clear" w:color="auto" w:fill="auto"/>
                  <w:vAlign w:val="center"/>
                </w:tcPr>
                <w:p w14:paraId="4847E5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产生情况</w:t>
                  </w:r>
                </w:p>
              </w:tc>
              <w:tc>
                <w:tcPr>
                  <w:tcW w:w="532" w:type="pct"/>
                  <w:tcBorders>
                    <w:tl2br w:val="nil"/>
                    <w:tr2bl w:val="nil"/>
                  </w:tcBorders>
                  <w:shd w:val="clear" w:color="auto" w:fill="auto"/>
                  <w:vAlign w:val="center"/>
                </w:tcPr>
                <w:p w14:paraId="04C4CA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速率</w:t>
                  </w:r>
                </w:p>
              </w:tc>
              <w:tc>
                <w:tcPr>
                  <w:tcW w:w="1028" w:type="pct"/>
                  <w:tcBorders>
                    <w:tl2br w:val="nil"/>
                    <w:tr2bl w:val="nil"/>
                  </w:tcBorders>
                  <w:shd w:val="clear" w:color="auto" w:fill="auto"/>
                  <w:vAlign w:val="center"/>
                </w:tcPr>
                <w:p w14:paraId="6CEADA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777" w:type="pct"/>
                  <w:tcBorders>
                    <w:tl2br w:val="nil"/>
                    <w:tr2bl w:val="nil"/>
                  </w:tcBorders>
                  <w:shd w:val="clear" w:color="auto" w:fill="auto"/>
                  <w:vAlign w:val="center"/>
                </w:tcPr>
                <w:p w14:paraId="3242AD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27</w:t>
                  </w:r>
                </w:p>
              </w:tc>
              <w:tc>
                <w:tcPr>
                  <w:tcW w:w="779" w:type="pct"/>
                  <w:tcBorders>
                    <w:tl2br w:val="nil"/>
                    <w:tr2bl w:val="nil"/>
                  </w:tcBorders>
                  <w:shd w:val="clear" w:color="auto" w:fill="auto"/>
                  <w:vAlign w:val="center"/>
                </w:tcPr>
                <w:p w14:paraId="13D69A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0.108</w:t>
                  </w:r>
                </w:p>
              </w:tc>
              <w:tc>
                <w:tcPr>
                  <w:tcW w:w="1231" w:type="pct"/>
                  <w:tcBorders>
                    <w:tl2br w:val="nil"/>
                    <w:tr2bl w:val="nil"/>
                  </w:tcBorders>
                  <w:shd w:val="clear" w:color="auto" w:fill="auto"/>
                  <w:vAlign w:val="center"/>
                </w:tcPr>
                <w:p w14:paraId="4A861F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695F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continue"/>
                  <w:tcBorders>
                    <w:tl2br w:val="nil"/>
                    <w:tr2bl w:val="nil"/>
                  </w:tcBorders>
                  <w:shd w:val="clear" w:color="auto" w:fill="auto"/>
                  <w:vAlign w:val="center"/>
                </w:tcPr>
                <w:p w14:paraId="2BEDA4C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532" w:type="pct"/>
                  <w:tcBorders>
                    <w:tl2br w:val="nil"/>
                    <w:tr2bl w:val="nil"/>
                  </w:tcBorders>
                  <w:shd w:val="clear" w:color="auto" w:fill="auto"/>
                  <w:vAlign w:val="center"/>
                </w:tcPr>
                <w:p w14:paraId="42A10E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量</w:t>
                  </w:r>
                </w:p>
              </w:tc>
              <w:tc>
                <w:tcPr>
                  <w:tcW w:w="1028" w:type="pct"/>
                  <w:tcBorders>
                    <w:tl2br w:val="nil"/>
                    <w:tr2bl w:val="nil"/>
                  </w:tcBorders>
                  <w:shd w:val="clear" w:color="auto" w:fill="auto"/>
                  <w:vAlign w:val="center"/>
                </w:tcPr>
                <w:p w14:paraId="3CD8C1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t/a</w:t>
                  </w:r>
                </w:p>
              </w:tc>
              <w:tc>
                <w:tcPr>
                  <w:tcW w:w="777" w:type="pct"/>
                  <w:tcBorders>
                    <w:tl2br w:val="nil"/>
                    <w:tr2bl w:val="nil"/>
                  </w:tcBorders>
                  <w:shd w:val="clear" w:color="auto" w:fill="auto"/>
                  <w:vAlign w:val="center"/>
                </w:tcPr>
                <w:p w14:paraId="47A482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65</w:t>
                  </w:r>
                </w:p>
              </w:tc>
              <w:tc>
                <w:tcPr>
                  <w:tcW w:w="779" w:type="pct"/>
                  <w:tcBorders>
                    <w:tl2br w:val="nil"/>
                    <w:tr2bl w:val="nil"/>
                  </w:tcBorders>
                  <w:shd w:val="clear" w:color="auto" w:fill="auto"/>
                  <w:vAlign w:val="center"/>
                </w:tcPr>
                <w:p w14:paraId="5DA567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0.259</w:t>
                  </w:r>
                </w:p>
              </w:tc>
              <w:tc>
                <w:tcPr>
                  <w:tcW w:w="1231" w:type="pct"/>
                  <w:tcBorders>
                    <w:tl2br w:val="nil"/>
                    <w:tr2bl w:val="nil"/>
                  </w:tcBorders>
                  <w:shd w:val="clear" w:color="auto" w:fill="auto"/>
                  <w:vAlign w:val="center"/>
                </w:tcPr>
                <w:p w14:paraId="740E7F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少量</w:t>
                  </w:r>
                </w:p>
              </w:tc>
            </w:tr>
            <w:tr w14:paraId="47A6C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continue"/>
                  <w:tcBorders>
                    <w:tl2br w:val="nil"/>
                    <w:tr2bl w:val="nil"/>
                  </w:tcBorders>
                  <w:shd w:val="clear" w:color="auto" w:fill="auto"/>
                  <w:vAlign w:val="center"/>
                </w:tcPr>
                <w:p w14:paraId="46CA07E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532" w:type="pct"/>
                  <w:tcBorders>
                    <w:tl2br w:val="nil"/>
                    <w:tr2bl w:val="nil"/>
                  </w:tcBorders>
                  <w:shd w:val="clear" w:color="auto" w:fill="auto"/>
                  <w:vAlign w:val="center"/>
                </w:tcPr>
                <w:p w14:paraId="064064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浓度</w:t>
                  </w:r>
                </w:p>
              </w:tc>
              <w:tc>
                <w:tcPr>
                  <w:tcW w:w="1028" w:type="pct"/>
                  <w:tcBorders>
                    <w:tl2br w:val="nil"/>
                    <w:tr2bl w:val="nil"/>
                  </w:tcBorders>
                  <w:shd w:val="clear" w:color="auto" w:fill="auto"/>
                  <w:vAlign w:val="center"/>
                </w:tcPr>
                <w:p w14:paraId="3A9DB2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mg/m</w:t>
                  </w:r>
                  <w:r>
                    <w:rPr>
                      <w:rStyle w:val="55"/>
                      <w:rFonts w:eastAsia="宋体"/>
                      <w:color w:val="auto"/>
                      <w:sz w:val="21"/>
                      <w:szCs w:val="21"/>
                      <w:lang w:val="en-US" w:eastAsia="zh-CN" w:bidi="ar"/>
                    </w:rPr>
                    <w:t>3</w:t>
                  </w:r>
                </w:p>
              </w:tc>
              <w:tc>
                <w:tcPr>
                  <w:tcW w:w="777" w:type="pct"/>
                  <w:tcBorders>
                    <w:tl2br w:val="nil"/>
                    <w:tr2bl w:val="nil"/>
                  </w:tcBorders>
                  <w:shd w:val="clear" w:color="auto" w:fill="auto"/>
                  <w:vAlign w:val="center"/>
                </w:tcPr>
                <w:p w14:paraId="1FBDC2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312834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1A9CEF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5DAF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vMerge w:val="restart"/>
                  <w:tcBorders>
                    <w:tl2br w:val="nil"/>
                    <w:tr2bl w:val="nil"/>
                  </w:tcBorders>
                  <w:shd w:val="clear" w:color="auto" w:fill="auto"/>
                  <w:vAlign w:val="center"/>
                </w:tcPr>
                <w:p w14:paraId="08EDA4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治理措施</w:t>
                  </w:r>
                </w:p>
              </w:tc>
              <w:tc>
                <w:tcPr>
                  <w:tcW w:w="1028" w:type="pct"/>
                  <w:tcBorders>
                    <w:tl2br w:val="nil"/>
                    <w:tr2bl w:val="nil"/>
                  </w:tcBorders>
                  <w:shd w:val="clear" w:color="auto" w:fill="auto"/>
                  <w:vAlign w:val="center"/>
                </w:tcPr>
                <w:p w14:paraId="799A88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治理措施</w:t>
                  </w:r>
                </w:p>
              </w:tc>
              <w:tc>
                <w:tcPr>
                  <w:tcW w:w="777" w:type="pct"/>
                  <w:tcBorders>
                    <w:tl2br w:val="nil"/>
                    <w:tr2bl w:val="nil"/>
                  </w:tcBorders>
                  <w:shd w:val="clear" w:color="auto" w:fill="auto"/>
                  <w:vAlign w:val="center"/>
                </w:tcPr>
                <w:p w14:paraId="613D9F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无组织排放</w:t>
                  </w:r>
                </w:p>
              </w:tc>
              <w:tc>
                <w:tcPr>
                  <w:tcW w:w="779" w:type="pct"/>
                  <w:tcBorders>
                    <w:tl2br w:val="nil"/>
                    <w:tr2bl w:val="nil"/>
                  </w:tcBorders>
                  <w:shd w:val="clear" w:color="auto" w:fill="auto"/>
                  <w:vAlign w:val="center"/>
                </w:tcPr>
                <w:p w14:paraId="2722FD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无组织排放</w:t>
                  </w:r>
                </w:p>
              </w:tc>
              <w:tc>
                <w:tcPr>
                  <w:tcW w:w="1231" w:type="pct"/>
                  <w:tcBorders>
                    <w:tl2br w:val="nil"/>
                    <w:tr2bl w:val="nil"/>
                  </w:tcBorders>
                  <w:shd w:val="clear" w:color="auto" w:fill="auto"/>
                  <w:vAlign w:val="center"/>
                </w:tcPr>
                <w:p w14:paraId="794833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大气稀释扩散</w:t>
                  </w:r>
                </w:p>
              </w:tc>
            </w:tr>
            <w:tr w14:paraId="469F0C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vMerge w:val="continue"/>
                  <w:tcBorders>
                    <w:tl2br w:val="nil"/>
                    <w:tr2bl w:val="nil"/>
                  </w:tcBorders>
                  <w:shd w:val="clear" w:color="auto" w:fill="auto"/>
                  <w:vAlign w:val="center"/>
                </w:tcPr>
                <w:p w14:paraId="2D99CEE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1028" w:type="pct"/>
                  <w:tcBorders>
                    <w:tl2br w:val="nil"/>
                    <w:tr2bl w:val="nil"/>
                  </w:tcBorders>
                  <w:shd w:val="clear" w:color="auto" w:fill="auto"/>
                  <w:vAlign w:val="center"/>
                </w:tcPr>
                <w:p w14:paraId="793E80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处理能力（</w:t>
                  </w:r>
                  <w:r>
                    <w:rPr>
                      <w:rStyle w:val="56"/>
                      <w:rFonts w:eastAsia="宋体"/>
                      <w:color w:val="auto"/>
                      <w:sz w:val="21"/>
                      <w:szCs w:val="21"/>
                      <w:lang w:val="en-US" w:eastAsia="zh-CN" w:bidi="ar"/>
                    </w:rPr>
                    <w:t>m</w:t>
                  </w:r>
                  <w:r>
                    <w:rPr>
                      <w:rStyle w:val="55"/>
                      <w:rFonts w:eastAsia="宋体"/>
                      <w:color w:val="auto"/>
                      <w:sz w:val="21"/>
                      <w:szCs w:val="21"/>
                      <w:lang w:val="en-US" w:eastAsia="zh-CN" w:bidi="ar"/>
                    </w:rPr>
                    <w:t>3</w:t>
                  </w:r>
                  <w:r>
                    <w:rPr>
                      <w:rStyle w:val="56"/>
                      <w:rFonts w:eastAsia="宋体"/>
                      <w:color w:val="auto"/>
                      <w:sz w:val="21"/>
                      <w:szCs w:val="21"/>
                      <w:lang w:val="en-US" w:eastAsia="zh-CN" w:bidi="ar"/>
                    </w:rPr>
                    <w:t>/h</w:t>
                  </w:r>
                  <w:r>
                    <w:rPr>
                      <w:rStyle w:val="39"/>
                      <w:color w:val="auto"/>
                      <w:sz w:val="21"/>
                      <w:szCs w:val="21"/>
                      <w:lang w:val="en-US" w:eastAsia="zh-CN" w:bidi="ar"/>
                    </w:rPr>
                    <w:t>）</w:t>
                  </w:r>
                </w:p>
              </w:tc>
              <w:tc>
                <w:tcPr>
                  <w:tcW w:w="777" w:type="pct"/>
                  <w:tcBorders>
                    <w:tl2br w:val="nil"/>
                    <w:tr2bl w:val="nil"/>
                  </w:tcBorders>
                  <w:shd w:val="clear" w:color="auto" w:fill="auto"/>
                  <w:vAlign w:val="center"/>
                </w:tcPr>
                <w:p w14:paraId="2B7316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10595A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7B1C57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D2EB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vMerge w:val="continue"/>
                  <w:tcBorders>
                    <w:tl2br w:val="nil"/>
                    <w:tr2bl w:val="nil"/>
                  </w:tcBorders>
                  <w:shd w:val="clear" w:color="auto" w:fill="auto"/>
                  <w:vAlign w:val="center"/>
                </w:tcPr>
                <w:p w14:paraId="1399050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1028" w:type="pct"/>
                  <w:tcBorders>
                    <w:tl2br w:val="nil"/>
                    <w:tr2bl w:val="nil"/>
                  </w:tcBorders>
                  <w:shd w:val="clear" w:color="auto" w:fill="auto"/>
                  <w:vAlign w:val="center"/>
                </w:tcPr>
                <w:p w14:paraId="5FE5FD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收集效率（</w:t>
                  </w:r>
                  <w:r>
                    <w:rPr>
                      <w:rStyle w:val="56"/>
                      <w:rFonts w:eastAsia="宋体"/>
                      <w:color w:val="auto"/>
                      <w:sz w:val="21"/>
                      <w:szCs w:val="21"/>
                      <w:lang w:val="en-US" w:eastAsia="zh-CN" w:bidi="ar"/>
                    </w:rPr>
                    <w:t>%</w:t>
                  </w:r>
                  <w:r>
                    <w:rPr>
                      <w:rStyle w:val="39"/>
                      <w:color w:val="auto"/>
                      <w:sz w:val="21"/>
                      <w:szCs w:val="21"/>
                      <w:lang w:val="en-US" w:eastAsia="zh-CN" w:bidi="ar"/>
                    </w:rPr>
                    <w:t>）</w:t>
                  </w:r>
                </w:p>
              </w:tc>
              <w:tc>
                <w:tcPr>
                  <w:tcW w:w="777" w:type="pct"/>
                  <w:tcBorders>
                    <w:tl2br w:val="nil"/>
                    <w:tr2bl w:val="nil"/>
                  </w:tcBorders>
                  <w:shd w:val="clear" w:color="auto" w:fill="auto"/>
                  <w:vAlign w:val="center"/>
                </w:tcPr>
                <w:p w14:paraId="49B01D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34A17E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0DA5E6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7C7E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vMerge w:val="continue"/>
                  <w:tcBorders>
                    <w:tl2br w:val="nil"/>
                    <w:tr2bl w:val="nil"/>
                  </w:tcBorders>
                  <w:shd w:val="clear" w:color="auto" w:fill="auto"/>
                  <w:vAlign w:val="center"/>
                </w:tcPr>
                <w:p w14:paraId="6B9C558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1028" w:type="pct"/>
                  <w:tcBorders>
                    <w:tl2br w:val="nil"/>
                    <w:tr2bl w:val="nil"/>
                  </w:tcBorders>
                  <w:shd w:val="clear" w:color="auto" w:fill="auto"/>
                  <w:vAlign w:val="center"/>
                </w:tcPr>
                <w:p w14:paraId="5FC74F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处理效率（</w:t>
                  </w:r>
                  <w:r>
                    <w:rPr>
                      <w:rStyle w:val="56"/>
                      <w:rFonts w:eastAsia="宋体"/>
                      <w:color w:val="auto"/>
                      <w:sz w:val="21"/>
                      <w:szCs w:val="21"/>
                      <w:lang w:val="en-US" w:eastAsia="zh-CN" w:bidi="ar"/>
                    </w:rPr>
                    <w:t>%</w:t>
                  </w:r>
                  <w:r>
                    <w:rPr>
                      <w:rStyle w:val="39"/>
                      <w:color w:val="auto"/>
                      <w:sz w:val="21"/>
                      <w:szCs w:val="21"/>
                      <w:lang w:val="en-US" w:eastAsia="zh-CN" w:bidi="ar"/>
                    </w:rPr>
                    <w:t>）</w:t>
                  </w:r>
                </w:p>
              </w:tc>
              <w:tc>
                <w:tcPr>
                  <w:tcW w:w="777" w:type="pct"/>
                  <w:tcBorders>
                    <w:tl2br w:val="nil"/>
                    <w:tr2bl w:val="nil"/>
                  </w:tcBorders>
                  <w:shd w:val="clear" w:color="auto" w:fill="auto"/>
                  <w:vAlign w:val="center"/>
                </w:tcPr>
                <w:p w14:paraId="59457E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119AF3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669151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FEAF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183" w:type="pct"/>
                  <w:gridSpan w:val="2"/>
                  <w:vMerge w:val="continue"/>
                  <w:tcBorders>
                    <w:tl2br w:val="nil"/>
                    <w:tr2bl w:val="nil"/>
                  </w:tcBorders>
                  <w:shd w:val="clear" w:color="auto" w:fill="auto"/>
                  <w:vAlign w:val="center"/>
                </w:tcPr>
                <w:p w14:paraId="798D34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1028" w:type="pct"/>
                  <w:tcBorders>
                    <w:tl2br w:val="nil"/>
                    <w:tr2bl w:val="nil"/>
                  </w:tcBorders>
                  <w:shd w:val="clear" w:color="auto" w:fill="auto"/>
                  <w:vAlign w:val="center"/>
                </w:tcPr>
                <w:p w14:paraId="67E5E9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是否为可行技术</w:t>
                  </w:r>
                </w:p>
              </w:tc>
              <w:tc>
                <w:tcPr>
                  <w:tcW w:w="777" w:type="pct"/>
                  <w:tcBorders>
                    <w:tl2br w:val="nil"/>
                    <w:tr2bl w:val="nil"/>
                  </w:tcBorders>
                  <w:shd w:val="clear" w:color="auto" w:fill="auto"/>
                  <w:vAlign w:val="center"/>
                </w:tcPr>
                <w:p w14:paraId="060F09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0CAEE9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3F20A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F6FF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restart"/>
                  <w:tcBorders>
                    <w:tl2br w:val="nil"/>
                    <w:tr2bl w:val="nil"/>
                  </w:tcBorders>
                  <w:shd w:val="clear" w:color="auto" w:fill="auto"/>
                  <w:vAlign w:val="center"/>
                </w:tcPr>
                <w:p w14:paraId="093916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排放情况</w:t>
                  </w:r>
                </w:p>
              </w:tc>
              <w:tc>
                <w:tcPr>
                  <w:tcW w:w="532" w:type="pct"/>
                  <w:tcBorders>
                    <w:tl2br w:val="nil"/>
                    <w:tr2bl w:val="nil"/>
                  </w:tcBorders>
                  <w:shd w:val="clear" w:color="auto" w:fill="auto"/>
                  <w:vAlign w:val="center"/>
                </w:tcPr>
                <w:p w14:paraId="5008FF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速率</w:t>
                  </w:r>
                </w:p>
              </w:tc>
              <w:tc>
                <w:tcPr>
                  <w:tcW w:w="1028" w:type="pct"/>
                  <w:tcBorders>
                    <w:tl2br w:val="nil"/>
                    <w:tr2bl w:val="nil"/>
                  </w:tcBorders>
                  <w:shd w:val="clear" w:color="auto" w:fill="auto"/>
                  <w:vAlign w:val="center"/>
                </w:tcPr>
                <w:p w14:paraId="56D35E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777" w:type="pct"/>
                  <w:tcBorders>
                    <w:tl2br w:val="nil"/>
                    <w:tr2bl w:val="nil"/>
                  </w:tcBorders>
                  <w:shd w:val="clear" w:color="auto" w:fill="auto"/>
                  <w:vAlign w:val="center"/>
                </w:tcPr>
                <w:p w14:paraId="20A20D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27</w:t>
                  </w:r>
                </w:p>
              </w:tc>
              <w:tc>
                <w:tcPr>
                  <w:tcW w:w="779" w:type="pct"/>
                  <w:tcBorders>
                    <w:tl2br w:val="nil"/>
                    <w:tr2bl w:val="nil"/>
                  </w:tcBorders>
                  <w:shd w:val="clear" w:color="auto" w:fill="auto"/>
                  <w:vAlign w:val="center"/>
                </w:tcPr>
                <w:p w14:paraId="63A93C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0.108</w:t>
                  </w:r>
                </w:p>
              </w:tc>
              <w:tc>
                <w:tcPr>
                  <w:tcW w:w="1231" w:type="pct"/>
                  <w:tcBorders>
                    <w:tl2br w:val="nil"/>
                    <w:tr2bl w:val="nil"/>
                  </w:tcBorders>
                  <w:shd w:val="clear" w:color="auto" w:fill="auto"/>
                  <w:vAlign w:val="center"/>
                </w:tcPr>
                <w:p w14:paraId="66B10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CFF0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continue"/>
                  <w:tcBorders>
                    <w:tl2br w:val="nil"/>
                    <w:tr2bl w:val="nil"/>
                  </w:tcBorders>
                  <w:shd w:val="clear" w:color="auto" w:fill="auto"/>
                  <w:vAlign w:val="center"/>
                </w:tcPr>
                <w:p w14:paraId="26DF7FD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532" w:type="pct"/>
                  <w:tcBorders>
                    <w:tl2br w:val="nil"/>
                    <w:tr2bl w:val="nil"/>
                  </w:tcBorders>
                  <w:shd w:val="clear" w:color="auto" w:fill="auto"/>
                  <w:vAlign w:val="center"/>
                </w:tcPr>
                <w:p w14:paraId="3CC787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量</w:t>
                  </w:r>
                </w:p>
              </w:tc>
              <w:tc>
                <w:tcPr>
                  <w:tcW w:w="1028" w:type="pct"/>
                  <w:tcBorders>
                    <w:tl2br w:val="nil"/>
                    <w:tr2bl w:val="nil"/>
                  </w:tcBorders>
                  <w:shd w:val="clear" w:color="auto" w:fill="auto"/>
                  <w:vAlign w:val="center"/>
                </w:tcPr>
                <w:p w14:paraId="73B042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t/a</w:t>
                  </w:r>
                </w:p>
              </w:tc>
              <w:tc>
                <w:tcPr>
                  <w:tcW w:w="777" w:type="pct"/>
                  <w:tcBorders>
                    <w:tl2br w:val="nil"/>
                    <w:tr2bl w:val="nil"/>
                  </w:tcBorders>
                  <w:shd w:val="clear" w:color="auto" w:fill="auto"/>
                  <w:vAlign w:val="center"/>
                </w:tcPr>
                <w:p w14:paraId="2EECD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65</w:t>
                  </w:r>
                </w:p>
              </w:tc>
              <w:tc>
                <w:tcPr>
                  <w:tcW w:w="779" w:type="pct"/>
                  <w:tcBorders>
                    <w:tl2br w:val="nil"/>
                    <w:tr2bl w:val="nil"/>
                  </w:tcBorders>
                  <w:shd w:val="clear" w:color="auto" w:fill="auto"/>
                  <w:vAlign w:val="center"/>
                </w:tcPr>
                <w:p w14:paraId="26482A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0.259</w:t>
                  </w:r>
                </w:p>
              </w:tc>
              <w:tc>
                <w:tcPr>
                  <w:tcW w:w="1231" w:type="pct"/>
                  <w:tcBorders>
                    <w:tl2br w:val="nil"/>
                    <w:tr2bl w:val="nil"/>
                  </w:tcBorders>
                  <w:shd w:val="clear" w:color="auto" w:fill="auto"/>
                  <w:vAlign w:val="center"/>
                </w:tcPr>
                <w:p w14:paraId="686FAB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少量</w:t>
                  </w:r>
                </w:p>
              </w:tc>
            </w:tr>
            <w:tr w14:paraId="68A1A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651" w:type="pct"/>
                  <w:vMerge w:val="continue"/>
                  <w:tcBorders>
                    <w:tl2br w:val="nil"/>
                    <w:tr2bl w:val="nil"/>
                  </w:tcBorders>
                  <w:shd w:val="clear" w:color="auto" w:fill="auto"/>
                  <w:vAlign w:val="center"/>
                </w:tcPr>
                <w:p w14:paraId="5D329EC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21"/>
                      <w:szCs w:val="21"/>
                      <w:u w:val="none"/>
                    </w:rPr>
                  </w:pPr>
                </w:p>
              </w:tc>
              <w:tc>
                <w:tcPr>
                  <w:tcW w:w="532" w:type="pct"/>
                  <w:tcBorders>
                    <w:tl2br w:val="nil"/>
                    <w:tr2bl w:val="nil"/>
                  </w:tcBorders>
                  <w:shd w:val="clear" w:color="auto" w:fill="auto"/>
                  <w:vAlign w:val="center"/>
                </w:tcPr>
                <w:p w14:paraId="175F8A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浓度</w:t>
                  </w:r>
                </w:p>
              </w:tc>
              <w:tc>
                <w:tcPr>
                  <w:tcW w:w="1028" w:type="pct"/>
                  <w:tcBorders>
                    <w:tl2br w:val="nil"/>
                    <w:tr2bl w:val="nil"/>
                  </w:tcBorders>
                  <w:shd w:val="clear" w:color="auto" w:fill="auto"/>
                  <w:vAlign w:val="center"/>
                </w:tcPr>
                <w:p w14:paraId="346450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mg/m</w:t>
                  </w:r>
                  <w:r>
                    <w:rPr>
                      <w:rStyle w:val="55"/>
                      <w:rFonts w:eastAsia="宋体"/>
                      <w:color w:val="auto"/>
                      <w:sz w:val="21"/>
                      <w:szCs w:val="21"/>
                      <w:lang w:val="en-US" w:eastAsia="zh-CN" w:bidi="ar"/>
                    </w:rPr>
                    <w:t>3</w:t>
                  </w:r>
                </w:p>
              </w:tc>
              <w:tc>
                <w:tcPr>
                  <w:tcW w:w="777" w:type="pct"/>
                  <w:tcBorders>
                    <w:tl2br w:val="nil"/>
                    <w:tr2bl w:val="nil"/>
                  </w:tcBorders>
                  <w:shd w:val="clear" w:color="auto" w:fill="auto"/>
                  <w:vAlign w:val="center"/>
                </w:tcPr>
                <w:p w14:paraId="26C8CA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79" w:type="pct"/>
                  <w:tcBorders>
                    <w:tl2br w:val="nil"/>
                    <w:tr2bl w:val="nil"/>
                  </w:tcBorders>
                  <w:shd w:val="clear" w:color="auto" w:fill="auto"/>
                  <w:vAlign w:val="center"/>
                </w:tcPr>
                <w:p w14:paraId="36A3B3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1" w:type="pct"/>
                  <w:tcBorders>
                    <w:tl2br w:val="nil"/>
                    <w:tr2bl w:val="nil"/>
                  </w:tcBorders>
                  <w:shd w:val="clear" w:color="auto" w:fill="auto"/>
                  <w:vAlign w:val="center"/>
                </w:tcPr>
                <w:p w14:paraId="3E49B7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1EACDF23">
            <w:pPr>
              <w:ind w:firstLine="482" w:firstLineChars="200"/>
              <w:rPr>
                <w:b/>
                <w:color w:val="auto"/>
                <w:kern w:val="0"/>
              </w:rPr>
            </w:pPr>
            <w:r>
              <w:rPr>
                <w:rFonts w:hint="eastAsia"/>
                <w:b/>
                <w:color w:val="auto"/>
                <w:kern w:val="0"/>
              </w:rPr>
              <w:t>3、废气达标排放分析</w:t>
            </w:r>
          </w:p>
          <w:p w14:paraId="27B28F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项目运营期产生的废气主要为柴油罐车抽排残液和清洗过程挥发出的非甲烷总烃，产生量较小且为间断排放，通过大气稀释扩散后对环境影响较小。</w:t>
            </w:r>
          </w:p>
          <w:p w14:paraId="45F8B3A5">
            <w:pPr>
              <w:ind w:firstLine="480" w:firstLineChars="200"/>
              <w:contextualSpacing/>
              <w:rPr>
                <w:rFonts w:hint="eastAsia"/>
                <w:color w:val="auto"/>
                <w:kern w:val="0"/>
              </w:rPr>
            </w:pPr>
            <w:r>
              <w:rPr>
                <w:rFonts w:hint="eastAsia"/>
                <w:color w:val="auto"/>
                <w:kern w:val="0"/>
              </w:rPr>
              <w:t>无组织</w:t>
            </w:r>
            <w:r>
              <w:rPr>
                <w:rFonts w:hint="eastAsia"/>
                <w:color w:val="auto"/>
                <w:kern w:val="0"/>
                <w:lang w:val="en-US" w:eastAsia="zh-CN"/>
              </w:rPr>
              <w:t>非甲烷总烃</w:t>
            </w:r>
            <w:r>
              <w:rPr>
                <w:rFonts w:hint="eastAsia"/>
                <w:color w:val="auto"/>
                <w:kern w:val="0"/>
              </w:rPr>
              <w:t>厂界达标性分析，采用ARESCREEN模型估算，计算起始距离为厂界外1m，根据估算模式结果，项目无组织排放的</w:t>
            </w:r>
            <w:r>
              <w:rPr>
                <w:rFonts w:hint="eastAsia"/>
                <w:color w:val="auto"/>
                <w:kern w:val="0"/>
                <w:lang w:val="en-US" w:eastAsia="zh-CN"/>
              </w:rPr>
              <w:t>非甲烷总烃</w:t>
            </w:r>
            <w:r>
              <w:rPr>
                <w:rFonts w:hint="eastAsia"/>
                <w:color w:val="auto"/>
                <w:kern w:val="0"/>
              </w:rPr>
              <w:t>污染物最大地面落地浓度距离源距离为源下风向</w:t>
            </w:r>
            <w:r>
              <w:rPr>
                <w:rFonts w:hint="eastAsia"/>
                <w:color w:val="auto"/>
                <w:kern w:val="0"/>
                <w:lang w:val="en-US" w:eastAsia="zh-CN"/>
              </w:rPr>
              <w:t>142</w:t>
            </w:r>
            <w:r>
              <w:rPr>
                <w:rFonts w:hint="eastAsia"/>
                <w:color w:val="auto"/>
                <w:kern w:val="0"/>
              </w:rPr>
              <w:t>m处，最大落地度为</w:t>
            </w:r>
            <w:r>
              <w:rPr>
                <w:rFonts w:hint="eastAsia"/>
                <w:color w:val="auto"/>
                <w:kern w:val="0"/>
                <w:lang w:val="en-US" w:eastAsia="zh-CN"/>
              </w:rPr>
              <w:t>0.3473</w:t>
            </w:r>
            <w:r>
              <w:rPr>
                <w:rFonts w:hint="eastAsia"/>
                <w:color w:val="auto"/>
                <w:kern w:val="0"/>
              </w:rPr>
              <w:t>mg/m</w:t>
            </w:r>
            <w:r>
              <w:rPr>
                <w:rFonts w:hint="eastAsia"/>
                <w:color w:val="auto"/>
                <w:kern w:val="0"/>
                <w:vertAlign w:val="superscript"/>
              </w:rPr>
              <w:t>3</w:t>
            </w:r>
            <w:r>
              <w:rPr>
                <w:rFonts w:hint="eastAsia"/>
                <w:color w:val="auto"/>
                <w:kern w:val="0"/>
              </w:rPr>
              <w:t>，最大落地浓度未超过 GB16297-1996《大气污染物综合排放标准》表2二级限值中</w:t>
            </w:r>
            <w:r>
              <w:rPr>
                <w:rFonts w:hint="eastAsia"/>
                <w:color w:val="auto"/>
                <w:kern w:val="0"/>
                <w:lang w:val="en-US" w:eastAsia="zh-CN"/>
              </w:rPr>
              <w:t>4</w:t>
            </w:r>
            <w:r>
              <w:rPr>
                <w:rFonts w:hint="eastAsia"/>
                <w:color w:val="auto"/>
                <w:kern w:val="0"/>
              </w:rPr>
              <w:t>.0mg/m</w:t>
            </w:r>
            <w:r>
              <w:rPr>
                <w:rFonts w:hint="eastAsia"/>
                <w:color w:val="auto"/>
                <w:kern w:val="0"/>
                <w:vertAlign w:val="superscript"/>
              </w:rPr>
              <w:t>3</w:t>
            </w:r>
            <w:r>
              <w:rPr>
                <w:rFonts w:hint="eastAsia"/>
                <w:color w:val="auto"/>
                <w:kern w:val="0"/>
              </w:rPr>
              <w:t>的要求，无组织</w:t>
            </w:r>
            <w:r>
              <w:rPr>
                <w:rFonts w:hint="eastAsia"/>
                <w:color w:val="auto"/>
                <w:kern w:val="0"/>
                <w:lang w:val="en-US" w:eastAsia="zh-CN"/>
              </w:rPr>
              <w:t>非甲烷总烃</w:t>
            </w:r>
            <w:r>
              <w:rPr>
                <w:rFonts w:hint="eastAsia"/>
                <w:color w:val="auto"/>
                <w:kern w:val="0"/>
              </w:rPr>
              <w:t>可实现厂界达标排放。</w:t>
            </w:r>
          </w:p>
          <w:p w14:paraId="441DDAC0">
            <w:pPr>
              <w:ind w:firstLine="482" w:firstLineChars="200"/>
              <w:contextualSpacing/>
              <w:rPr>
                <w:rFonts w:hint="eastAsia"/>
                <w:b/>
                <w:bCs/>
                <w:color w:val="auto"/>
                <w:kern w:val="0"/>
              </w:rPr>
            </w:pPr>
            <w:r>
              <w:rPr>
                <w:rFonts w:hint="eastAsia"/>
                <w:b/>
                <w:bCs/>
                <w:color w:val="auto"/>
                <w:kern w:val="0"/>
                <w:lang w:val="en-US" w:eastAsia="zh-CN"/>
              </w:rPr>
              <w:t>4</w:t>
            </w:r>
            <w:r>
              <w:rPr>
                <w:rFonts w:hint="eastAsia"/>
                <w:b/>
                <w:bCs/>
                <w:color w:val="auto"/>
                <w:kern w:val="0"/>
              </w:rPr>
              <w:t>、</w:t>
            </w:r>
            <w:r>
              <w:rPr>
                <w:rFonts w:hint="eastAsia"/>
                <w:b/>
                <w:bCs/>
                <w:color w:val="auto"/>
                <w:kern w:val="0"/>
                <w:lang w:val="en-US" w:eastAsia="zh-CN"/>
              </w:rPr>
              <w:t>大气</w:t>
            </w:r>
            <w:r>
              <w:rPr>
                <w:rFonts w:hint="eastAsia"/>
                <w:b/>
                <w:bCs/>
                <w:color w:val="auto"/>
                <w:kern w:val="0"/>
              </w:rPr>
              <w:t>环境影响分析</w:t>
            </w:r>
          </w:p>
          <w:p w14:paraId="086935AB">
            <w:pPr>
              <w:snapToGrid w:val="0"/>
              <w:spacing w:line="360" w:lineRule="auto"/>
              <w:ind w:firstLine="480" w:firstLineChars="200"/>
              <w:rPr>
                <w:rFonts w:hint="default" w:ascii="Times New Roman" w:hAnsi="Times New Roman" w:cs="Times New Roman"/>
                <w:color w:val="auto"/>
                <w:sz w:val="24"/>
                <w:szCs w:val="24"/>
                <w:highlight w:val="none"/>
                <w:lang w:val="en-US"/>
              </w:rPr>
            </w:pPr>
            <w:r>
              <w:rPr>
                <w:rFonts w:hint="eastAsia"/>
                <w:color w:val="auto"/>
                <w:kern w:val="0"/>
              </w:rPr>
              <w:t>项目非甲烷总烃</w:t>
            </w:r>
            <w:r>
              <w:rPr>
                <w:rFonts w:hint="eastAsia"/>
                <w:color w:val="auto"/>
                <w:kern w:val="0"/>
                <w:lang w:val="en-US" w:eastAsia="zh-CN"/>
              </w:rPr>
              <w:t>主要是柴油罐车排空残液和蒸汽清洗过程</w:t>
            </w:r>
            <w:r>
              <w:rPr>
                <w:rFonts w:hint="eastAsia"/>
                <w:color w:val="auto"/>
                <w:kern w:val="0"/>
              </w:rPr>
              <w:t>产生的，本项目入场车辆均为空载，仅会残留极少量</w:t>
            </w:r>
            <w:r>
              <w:rPr>
                <w:rFonts w:hint="eastAsia"/>
                <w:color w:val="auto"/>
                <w:kern w:val="0"/>
                <w:lang w:val="en-US" w:eastAsia="zh-CN"/>
              </w:rPr>
              <w:t>油品</w:t>
            </w:r>
            <w:r>
              <w:rPr>
                <w:rFonts w:hint="eastAsia"/>
                <w:color w:val="auto"/>
                <w:kern w:val="0"/>
              </w:rPr>
              <w:t>，且柴油挥发性较弱。收集柴油残液时打开罐底卸料口阀门，采用专用软管连接罐体卸料口，残余物料直接通过软管接入收集桶（加盖密封）</w:t>
            </w:r>
            <w:r>
              <w:rPr>
                <w:rFonts w:hint="eastAsia"/>
                <w:color w:val="auto"/>
                <w:kern w:val="0"/>
                <w:lang w:eastAsia="zh-CN"/>
              </w:rPr>
              <w:t>，</w:t>
            </w:r>
            <w:r>
              <w:rPr>
                <w:rFonts w:hint="eastAsia"/>
                <w:color w:val="auto"/>
                <w:kern w:val="0"/>
              </w:rPr>
              <w:t>收集的残液立即进入危废暂存间暂存</w:t>
            </w:r>
            <w:r>
              <w:rPr>
                <w:rFonts w:hint="eastAsia"/>
                <w:color w:val="auto"/>
                <w:kern w:val="0"/>
                <w:lang w:eastAsia="zh-CN"/>
              </w:rPr>
              <w:t>。</w:t>
            </w:r>
            <w:r>
              <w:rPr>
                <w:rFonts w:hint="eastAsia"/>
                <w:color w:val="auto"/>
                <w:kern w:val="0"/>
                <w:lang w:val="en-US" w:eastAsia="zh-CN"/>
              </w:rPr>
              <w:t>蒸汽清洗</w:t>
            </w:r>
            <w:r>
              <w:rPr>
                <w:rFonts w:hint="eastAsia"/>
                <w:color w:val="auto"/>
                <w:lang w:val="en-US" w:eastAsia="zh-CN"/>
              </w:rPr>
              <w:t>只对长期</w:t>
            </w:r>
            <w:r>
              <w:rPr>
                <w:rFonts w:hint="default" w:ascii="Times New Roman" w:hAnsi="Times New Roman" w:cs="Times New Roman"/>
                <w:color w:val="auto"/>
                <w:lang w:val="en-US" w:eastAsia="zh-CN"/>
              </w:rPr>
              <w:t>（≥3个月）</w:t>
            </w:r>
            <w:r>
              <w:rPr>
                <w:rFonts w:hint="eastAsia"/>
                <w:color w:val="auto"/>
                <w:lang w:val="en-US" w:eastAsia="zh-CN"/>
              </w:rPr>
              <w:t>装柴油未彻底清洗，罐内形成氧化油泥、胶质，死角/焊缝积垢严重的罐车进行蒸汽清洗，需蒸汽清洗的车辆仅占30%，</w:t>
            </w:r>
            <w:r>
              <w:rPr>
                <w:rFonts w:hint="eastAsia"/>
                <w:color w:val="auto"/>
                <w:kern w:val="0"/>
                <w:lang w:val="en-US" w:eastAsia="zh-CN"/>
              </w:rPr>
              <w:t>蒸汽清洗时产生的非甲烷总烃为少量，呈无组织排放。</w:t>
            </w:r>
          </w:p>
          <w:p w14:paraId="0F79CB13">
            <w:pPr>
              <w:ind w:firstLine="480" w:firstLineChars="200"/>
              <w:contextualSpacing/>
              <w:rPr>
                <w:rFonts w:hint="eastAsia"/>
                <w:color w:val="auto"/>
                <w:kern w:val="0"/>
              </w:rPr>
            </w:pPr>
            <w:r>
              <w:rPr>
                <w:rFonts w:hint="eastAsia"/>
                <w:color w:val="auto"/>
                <w:kern w:val="0"/>
              </w:rPr>
              <w:t>根据《202</w:t>
            </w:r>
            <w:r>
              <w:rPr>
                <w:rFonts w:hint="eastAsia"/>
                <w:color w:val="auto"/>
                <w:kern w:val="0"/>
                <w:lang w:val="en-US" w:eastAsia="zh-CN"/>
              </w:rPr>
              <w:t>4</w:t>
            </w:r>
            <w:r>
              <w:rPr>
                <w:rFonts w:hint="eastAsia"/>
                <w:color w:val="auto"/>
                <w:kern w:val="0"/>
              </w:rPr>
              <w:t>年度昆明市生态环境状况公报》</w:t>
            </w:r>
            <w:r>
              <w:rPr>
                <w:rFonts w:hint="eastAsia"/>
                <w:color w:val="auto"/>
                <w:kern w:val="0"/>
                <w:lang w:eastAsia="zh-CN"/>
              </w:rPr>
              <w:t>，</w:t>
            </w:r>
            <w:r>
              <w:rPr>
                <w:rFonts w:hint="eastAsia"/>
                <w:color w:val="auto"/>
                <w:kern w:val="0"/>
              </w:rPr>
              <w:t>全市环境空气质量达到国家二级标准，建设项目所在区域为环境空气二类区，项目区非甲烷总烃均可满足</w:t>
            </w:r>
            <w:r>
              <w:rPr>
                <w:rFonts w:hint="eastAsia"/>
                <w:color w:val="auto"/>
                <w:kern w:val="0"/>
                <w:highlight w:val="none"/>
              </w:rPr>
              <w:t>《大气污染物综合排放标准详解》标准限值。</w:t>
            </w:r>
            <w:r>
              <w:rPr>
                <w:rFonts w:hint="eastAsia"/>
                <w:color w:val="auto"/>
                <w:kern w:val="0"/>
              </w:rPr>
              <w:t>且大气环境容量充裕，项目的建设不会造成区域环境质量降低。根据现场勘查，项目周边500m范围内空气保护目标</w:t>
            </w:r>
            <w:r>
              <w:rPr>
                <w:rFonts w:hint="eastAsia"/>
                <w:color w:val="auto"/>
                <w:kern w:val="0"/>
                <w:lang w:val="en-US" w:eastAsia="zh-CN"/>
              </w:rPr>
              <w:t>为西侧230m处的</w:t>
            </w:r>
            <w:r>
              <w:rPr>
                <w:rFonts w:hint="eastAsia" w:ascii="Times New Roman" w:hAnsi="Times New Roman"/>
                <w:color w:val="auto"/>
                <w:highlight w:val="none"/>
              </w:rPr>
              <w:t>寻甸特色产业园区居民搬迁安置小区</w:t>
            </w:r>
            <w:r>
              <w:rPr>
                <w:rFonts w:hint="eastAsia"/>
                <w:color w:val="auto"/>
                <w:highlight w:val="none"/>
                <w:lang w:val="en-US" w:eastAsia="zh-CN"/>
              </w:rPr>
              <w:t>和南侧230m处的寻甸同和精神病医院</w:t>
            </w:r>
            <w:r>
              <w:rPr>
                <w:rFonts w:hint="eastAsia" w:ascii="Times New Roman" w:hAnsi="Times New Roman"/>
                <w:color w:val="auto"/>
                <w:highlight w:val="none"/>
                <w:lang w:eastAsia="zh-CN"/>
              </w:rPr>
              <w:t>，</w:t>
            </w:r>
            <w:r>
              <w:rPr>
                <w:rFonts w:hint="eastAsia"/>
                <w:color w:val="auto"/>
                <w:highlight w:val="none"/>
                <w:lang w:val="en-US" w:eastAsia="zh-CN"/>
              </w:rPr>
              <w:t>敏感目标均</w:t>
            </w:r>
            <w:r>
              <w:rPr>
                <w:rFonts w:hint="eastAsia" w:ascii="Times New Roman" w:hAnsi="Times New Roman"/>
                <w:color w:val="auto"/>
                <w:highlight w:val="none"/>
              </w:rPr>
              <w:t>位于项目侧上风向</w:t>
            </w:r>
            <w:r>
              <w:rPr>
                <w:rFonts w:hint="eastAsia"/>
                <w:color w:val="auto"/>
                <w:highlight w:val="none"/>
                <w:lang w:eastAsia="zh-CN"/>
              </w:rPr>
              <w:t>，</w:t>
            </w:r>
            <w:r>
              <w:rPr>
                <w:rFonts w:hint="eastAsia"/>
                <w:color w:val="auto"/>
                <w:kern w:val="0"/>
              </w:rPr>
              <w:t>无组织废气通过大气扩散稀释后，对周边环境的影响较少可接受。</w:t>
            </w:r>
          </w:p>
          <w:p w14:paraId="79AD1911">
            <w:pPr>
              <w:ind w:firstLine="480" w:firstLineChars="200"/>
              <w:contextualSpacing/>
              <w:rPr>
                <w:rFonts w:hint="eastAsia"/>
                <w:color w:val="auto"/>
                <w:kern w:val="0"/>
                <w:lang w:val="en-US" w:eastAsia="zh-CN"/>
              </w:rPr>
            </w:pPr>
            <w:r>
              <w:rPr>
                <w:rFonts w:hint="default" w:ascii="Times New Roman" w:hAnsi="Times New Roman" w:cs="Times New Roman"/>
                <w:color w:val="auto"/>
                <w:sz w:val="24"/>
                <w:szCs w:val="24"/>
                <w:highlight w:val="none"/>
                <w:lang w:val="en-US" w:eastAsia="zh-CN"/>
              </w:rPr>
              <w:t>综上所述，项目运营期间产生的大气污染物</w:t>
            </w:r>
            <w:r>
              <w:rPr>
                <w:rFonts w:hint="eastAsia" w:ascii="Times New Roman" w:hAnsi="Times New Roman" w:cs="Times New Roman"/>
                <w:color w:val="auto"/>
                <w:sz w:val="24"/>
                <w:szCs w:val="24"/>
                <w:highlight w:val="none"/>
                <w:lang w:val="en-US" w:eastAsia="zh-CN"/>
              </w:rPr>
              <w:t>种类单一，不会长时间持续排放</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项目区地域开阔，利于废气的无组织扩散，</w:t>
            </w:r>
            <w:r>
              <w:rPr>
                <w:rFonts w:hint="default" w:ascii="Times New Roman" w:hAnsi="Times New Roman" w:cs="Times New Roman"/>
                <w:color w:val="auto"/>
                <w:sz w:val="24"/>
                <w:szCs w:val="24"/>
                <w:highlight w:val="none"/>
                <w:lang w:val="en-US" w:eastAsia="zh-CN"/>
              </w:rPr>
              <w:t>不会对大气环境造成明显不良影响。</w:t>
            </w:r>
          </w:p>
          <w:p w14:paraId="139F9D4E">
            <w:pPr>
              <w:ind w:firstLine="482" w:firstLineChars="200"/>
              <w:contextualSpacing/>
              <w:rPr>
                <w:rFonts w:hint="default"/>
                <w:b/>
                <w:bCs/>
                <w:color w:val="auto"/>
                <w:kern w:val="0"/>
                <w:lang w:val="en-US" w:eastAsia="zh-CN"/>
              </w:rPr>
            </w:pPr>
            <w:r>
              <w:rPr>
                <w:rFonts w:hint="eastAsia"/>
                <w:b/>
                <w:bCs/>
                <w:color w:val="auto"/>
                <w:kern w:val="0"/>
                <w:lang w:val="en-US" w:eastAsia="zh-CN"/>
              </w:rPr>
              <w:t>5、自行监测计划</w:t>
            </w:r>
          </w:p>
          <w:p w14:paraId="404CDFAA">
            <w:pPr>
              <w:pageBreakBefore w:val="0"/>
              <w:widowControl w:val="0"/>
              <w:kinsoku/>
              <w:wordWrap/>
              <w:bidi w:val="0"/>
              <w:adjustRightInd/>
              <w:snapToGrid/>
              <w:spacing w:line="360" w:lineRule="auto"/>
              <w:ind w:left="0" w:leftChars="0" w:right="0" w:rightChars="0" w:firstLine="480" w:firstLineChars="200"/>
              <w:outlineLvl w:val="9"/>
              <w:rPr>
                <w:rFonts w:hint="default" w:ascii="Times New Roman" w:hAnsi="Times New Roman" w:eastAsia="宋体" w:cs="Times New Roman"/>
                <w:b/>
                <w:bCs/>
                <w:color w:val="auto"/>
                <w:kern w:val="2"/>
                <w:sz w:val="21"/>
                <w:szCs w:val="21"/>
                <w:shd w:val="clear" w:color="auto" w:fill="auto"/>
                <w:lang w:val="en-GB" w:eastAsia="zh-CN" w:bidi="ar-SA"/>
              </w:rPr>
            </w:pPr>
            <w:r>
              <w:rPr>
                <w:rFonts w:hint="eastAsia" w:ascii="Times New Roman" w:hAnsi="Times New Roman" w:eastAsia="宋体" w:cs="Times New Roman"/>
                <w:color w:val="auto"/>
                <w:sz w:val="24"/>
                <w:szCs w:val="24"/>
                <w:highlight w:val="none"/>
                <w:lang w:val="en-US" w:eastAsia="zh-CN"/>
              </w:rPr>
              <w:t>参照《排污单位自行监测技术指南  总则》（HJ819-2017），确定本项目废气自行监测计划如下。</w:t>
            </w:r>
          </w:p>
          <w:p w14:paraId="0E5FDF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1"/>
                <w:szCs w:val="21"/>
                <w:lang w:val="en-GB" w:eastAsia="zh-CN"/>
              </w:rPr>
            </w:pPr>
            <w:r>
              <w:rPr>
                <w:rFonts w:hint="default" w:ascii="Times New Roman" w:hAnsi="Times New Roman" w:eastAsia="宋体" w:cs="Times New Roman"/>
                <w:b/>
                <w:color w:val="auto"/>
                <w:sz w:val="21"/>
                <w:szCs w:val="21"/>
                <w:lang w:val="en-GB" w:eastAsia="zh-CN"/>
              </w:rPr>
              <w:t>表</w:t>
            </w:r>
            <w:r>
              <w:rPr>
                <w:rFonts w:hint="default"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lang w:val="en-US" w:eastAsia="zh-CN"/>
              </w:rPr>
              <w:t xml:space="preserve">3 </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GB" w:eastAsia="zh-CN"/>
              </w:rPr>
              <w:t>废气</w:t>
            </w:r>
            <w:r>
              <w:rPr>
                <w:rFonts w:hint="default" w:ascii="Times New Roman" w:hAnsi="Times New Roman" w:eastAsia="宋体" w:cs="Times New Roman"/>
                <w:b/>
                <w:color w:val="auto"/>
                <w:sz w:val="21"/>
                <w:szCs w:val="21"/>
                <w:lang w:val="en-GB" w:eastAsia="zh-CN"/>
              </w:rPr>
              <w:t>监测计划一览表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866"/>
              <w:gridCol w:w="1336"/>
              <w:gridCol w:w="1064"/>
              <w:gridCol w:w="2939"/>
            </w:tblGrid>
            <w:tr w14:paraId="4D5A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noWrap w:val="0"/>
                  <w:vAlign w:val="center"/>
                </w:tcPr>
                <w:p w14:paraId="2555D3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1189" w:type="pct"/>
                  <w:tcBorders>
                    <w:tl2br w:val="nil"/>
                    <w:tr2bl w:val="nil"/>
                  </w:tcBorders>
                  <w:noWrap w:val="0"/>
                  <w:vAlign w:val="center"/>
                </w:tcPr>
                <w:p w14:paraId="699C49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污染源或监测点名称</w:t>
                  </w:r>
                </w:p>
              </w:tc>
              <w:tc>
                <w:tcPr>
                  <w:tcW w:w="851" w:type="pct"/>
                  <w:tcBorders>
                    <w:tl2br w:val="nil"/>
                    <w:tr2bl w:val="nil"/>
                  </w:tcBorders>
                  <w:noWrap w:val="0"/>
                  <w:vAlign w:val="center"/>
                </w:tcPr>
                <w:p w14:paraId="14E576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678" w:type="pct"/>
                  <w:tcBorders>
                    <w:tl2br w:val="nil"/>
                    <w:tr2bl w:val="nil"/>
                  </w:tcBorders>
                  <w:noWrap w:val="0"/>
                  <w:vAlign w:val="center"/>
                </w:tcPr>
                <w:p w14:paraId="2EC5C0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873" w:type="pct"/>
                  <w:tcBorders>
                    <w:tl2br w:val="nil"/>
                    <w:tr2bl w:val="nil"/>
                  </w:tcBorders>
                  <w:noWrap w:val="0"/>
                  <w:vAlign w:val="center"/>
                </w:tcPr>
                <w:p w14:paraId="286AB16D">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b/>
                      <w:bCs/>
                      <w:color w:val="auto"/>
                      <w:sz w:val="21"/>
                      <w:szCs w:val="21"/>
                    </w:rPr>
                    <w:t>执行排放标准</w:t>
                  </w:r>
                </w:p>
              </w:tc>
            </w:tr>
            <w:tr w14:paraId="53F3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6" w:type="pct"/>
                  <w:vMerge w:val="restart"/>
                  <w:tcBorders>
                    <w:tl2br w:val="nil"/>
                    <w:tr2bl w:val="nil"/>
                  </w:tcBorders>
                  <w:noWrap w:val="0"/>
                  <w:vAlign w:val="center"/>
                </w:tcPr>
                <w:p w14:paraId="03E4AC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eastAsia="zh-CN"/>
                    </w:rPr>
                    <w:t>无组织</w:t>
                  </w:r>
                  <w:r>
                    <w:rPr>
                      <w:rFonts w:hint="default" w:ascii="Times New Roman" w:hAnsi="Times New Roman" w:eastAsia="宋体" w:cs="Times New Roman"/>
                      <w:b w:val="0"/>
                      <w:bCs w:val="0"/>
                      <w:color w:val="auto"/>
                      <w:sz w:val="21"/>
                      <w:szCs w:val="21"/>
                    </w:rPr>
                    <w:t>废气</w:t>
                  </w:r>
                </w:p>
              </w:tc>
              <w:tc>
                <w:tcPr>
                  <w:tcW w:w="1189" w:type="pct"/>
                  <w:tcBorders>
                    <w:tl2br w:val="nil"/>
                    <w:tr2bl w:val="nil"/>
                  </w:tcBorders>
                  <w:noWrap w:val="0"/>
                  <w:vAlign w:val="center"/>
                </w:tcPr>
                <w:p w14:paraId="782D9C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厂界四周(上风向1个，下风向3个)</w:t>
                  </w:r>
                </w:p>
              </w:tc>
              <w:tc>
                <w:tcPr>
                  <w:tcW w:w="851" w:type="pct"/>
                  <w:tcBorders>
                    <w:tl2br w:val="nil"/>
                    <w:tr2bl w:val="nil"/>
                  </w:tcBorders>
                  <w:noWrap w:val="0"/>
                  <w:vAlign w:val="center"/>
                </w:tcPr>
                <w:p w14:paraId="62A98A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非甲烷总烃</w:t>
                  </w:r>
                  <w:r>
                    <w:rPr>
                      <w:rFonts w:hint="eastAsia" w:cs="Times New Roman"/>
                      <w:b w:val="0"/>
                      <w:bCs w:val="0"/>
                      <w:color w:val="auto"/>
                      <w:sz w:val="21"/>
                      <w:szCs w:val="21"/>
                      <w:lang w:val="en-US" w:eastAsia="zh-CN"/>
                    </w:rPr>
                    <w:t>、臭气浓度</w:t>
                  </w:r>
                </w:p>
              </w:tc>
              <w:tc>
                <w:tcPr>
                  <w:tcW w:w="678" w:type="pct"/>
                  <w:tcBorders>
                    <w:tl2br w:val="nil"/>
                    <w:tr2bl w:val="nil"/>
                  </w:tcBorders>
                  <w:noWrap w:val="0"/>
                  <w:vAlign w:val="center"/>
                </w:tcPr>
                <w:p w14:paraId="65FD99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1次/年</w:t>
                  </w:r>
                </w:p>
              </w:tc>
              <w:tc>
                <w:tcPr>
                  <w:tcW w:w="1873" w:type="pct"/>
                  <w:tcBorders>
                    <w:tl2br w:val="nil"/>
                    <w:tr2bl w:val="nil"/>
                  </w:tcBorders>
                  <w:noWrap w:val="0"/>
                  <w:vAlign w:val="center"/>
                </w:tcPr>
                <w:p w14:paraId="3BC2500E">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b w:val="0"/>
                      <w:bCs w:val="0"/>
                      <w:color w:val="auto"/>
                      <w:kern w:val="0"/>
                      <w:sz w:val="21"/>
                      <w:szCs w:val="21"/>
                      <w:lang w:val="en-US" w:eastAsia="zh-CN"/>
                    </w:rPr>
                    <w:t>《大气污染物综合排放标准》（GB16297-1996）</w:t>
                  </w:r>
                </w:p>
              </w:tc>
            </w:tr>
            <w:tr w14:paraId="3392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6" w:type="pct"/>
                  <w:vMerge w:val="continue"/>
                  <w:tcBorders>
                    <w:tl2br w:val="nil"/>
                    <w:tr2bl w:val="nil"/>
                  </w:tcBorders>
                  <w:noWrap w:val="0"/>
                  <w:vAlign w:val="center"/>
                </w:tcPr>
                <w:p w14:paraId="39D3C1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eastAsia="zh-CN"/>
                    </w:rPr>
                  </w:pPr>
                </w:p>
              </w:tc>
              <w:tc>
                <w:tcPr>
                  <w:tcW w:w="1189" w:type="pct"/>
                  <w:tcBorders>
                    <w:tl2br w:val="nil"/>
                    <w:tr2bl w:val="nil"/>
                  </w:tcBorders>
                  <w:noWrap w:val="0"/>
                  <w:vAlign w:val="center"/>
                </w:tcPr>
                <w:p w14:paraId="45ABC2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项目区内（清洗车间外）</w:t>
                  </w:r>
                </w:p>
              </w:tc>
              <w:tc>
                <w:tcPr>
                  <w:tcW w:w="851" w:type="pct"/>
                  <w:tcBorders>
                    <w:tl2br w:val="nil"/>
                    <w:tr2bl w:val="nil"/>
                  </w:tcBorders>
                  <w:noWrap w:val="0"/>
                  <w:vAlign w:val="center"/>
                </w:tcPr>
                <w:p w14:paraId="70CD42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非甲烷总烃</w:t>
                  </w:r>
                </w:p>
              </w:tc>
              <w:tc>
                <w:tcPr>
                  <w:tcW w:w="678" w:type="pct"/>
                  <w:tcBorders>
                    <w:tl2br w:val="nil"/>
                    <w:tr2bl w:val="nil"/>
                  </w:tcBorders>
                  <w:noWrap w:val="0"/>
                  <w:vAlign w:val="center"/>
                </w:tcPr>
                <w:p w14:paraId="74A63F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1次/年</w:t>
                  </w:r>
                </w:p>
              </w:tc>
              <w:tc>
                <w:tcPr>
                  <w:tcW w:w="1873" w:type="pct"/>
                  <w:tcBorders>
                    <w:tl2br w:val="nil"/>
                    <w:tr2bl w:val="nil"/>
                  </w:tcBorders>
                  <w:noWrap w:val="0"/>
                  <w:vAlign w:val="center"/>
                </w:tcPr>
                <w:p w14:paraId="39E0FF62">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b w:val="0"/>
                      <w:bCs w:val="0"/>
                      <w:color w:val="auto"/>
                      <w:kern w:val="0"/>
                      <w:sz w:val="21"/>
                      <w:szCs w:val="21"/>
                      <w:lang w:val="en-US" w:eastAsia="zh-CN"/>
                    </w:rPr>
                  </w:pPr>
                  <w:r>
                    <w:rPr>
                      <w:rFonts w:hint="eastAsia" w:ascii="Times New Roman" w:hAnsi="Times New Roman"/>
                      <w:b w:val="0"/>
                      <w:bCs w:val="0"/>
                      <w:color w:val="auto"/>
                      <w:kern w:val="0"/>
                      <w:sz w:val="21"/>
                      <w:szCs w:val="21"/>
                      <w:lang w:val="en-US" w:eastAsia="zh-CN"/>
                    </w:rPr>
                    <w:t>《挥发性有机物无组织排放控制标准》（GB37822-2019）厂区内VOCs无组织排放限值</w:t>
                  </w:r>
                </w:p>
              </w:tc>
            </w:tr>
          </w:tbl>
          <w:p w14:paraId="699314FD">
            <w:pPr>
              <w:ind w:firstLine="482" w:firstLineChars="200"/>
              <w:rPr>
                <w:b/>
                <w:color w:val="auto"/>
                <w:kern w:val="0"/>
                <w:highlight w:val="none"/>
              </w:rPr>
            </w:pPr>
            <w:r>
              <w:rPr>
                <w:rFonts w:hint="eastAsia"/>
                <w:b/>
                <w:color w:val="auto"/>
                <w:kern w:val="0"/>
                <w:highlight w:val="none"/>
              </w:rPr>
              <w:t>二、废水</w:t>
            </w:r>
          </w:p>
          <w:p w14:paraId="3AF776E3">
            <w:pPr>
              <w:ind w:firstLine="482" w:firstLineChars="200"/>
              <w:rPr>
                <w:b/>
                <w:color w:val="auto"/>
                <w:kern w:val="0"/>
              </w:rPr>
            </w:pPr>
            <w:r>
              <w:rPr>
                <w:rFonts w:hint="eastAsia"/>
                <w:b/>
                <w:color w:val="auto"/>
                <w:kern w:val="0"/>
              </w:rPr>
              <w:t>1、废水污染物排放源核算</w:t>
            </w:r>
          </w:p>
          <w:p w14:paraId="4E375CE5">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本项目用水主要包括生活用水及生产用水，其中生产用水主要为高压清洗用水和蒸汽清洗用水，本项目罐车清洗过程中只使用清水，不添加任何清洗剂。</w:t>
            </w:r>
          </w:p>
          <w:p w14:paraId="35D2109A">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w:t>
            </w:r>
            <w:r>
              <w:rPr>
                <w:rFonts w:hint="eastAsia"/>
                <w:b/>
                <w:color w:val="auto"/>
                <w:kern w:val="0"/>
              </w:rPr>
              <w:t>1</w:t>
            </w:r>
            <w:r>
              <w:rPr>
                <w:rFonts w:hint="eastAsia" w:ascii="宋体" w:hAnsi="宋体"/>
                <w:b/>
                <w:color w:val="auto"/>
                <w:kern w:val="0"/>
              </w:rPr>
              <w:t>）生活用水</w:t>
            </w:r>
          </w:p>
          <w:p w14:paraId="76E02CC2">
            <w:pPr>
              <w:keepNext w:val="0"/>
              <w:keepLines w:val="0"/>
              <w:suppressLineNumbers w:val="0"/>
              <w:spacing w:before="0" w:beforeAutospacing="0" w:after="0" w:afterAutospacing="0"/>
              <w:ind w:left="0" w:right="0" w:firstLine="480" w:firstLineChars="200"/>
              <w:rPr>
                <w:rFonts w:hint="default"/>
                <w:color w:val="auto"/>
              </w:rPr>
            </w:pPr>
            <w:r>
              <w:rPr>
                <w:rFonts w:hint="eastAsia" w:ascii="宋体" w:hAnsi="宋体"/>
                <w:color w:val="auto"/>
                <w:kern w:val="0"/>
                <w:lang w:val="en-US" w:eastAsia="zh-CN"/>
              </w:rPr>
              <w:t>根据项目水平衡，</w:t>
            </w:r>
            <w:r>
              <w:rPr>
                <w:rFonts w:hint="eastAsia" w:ascii="宋体" w:hAnsi="宋体"/>
                <w:color w:val="auto"/>
                <w:kern w:val="0"/>
              </w:rPr>
              <w:t>本项目职工共</w:t>
            </w:r>
            <w:r>
              <w:rPr>
                <w:rFonts w:hint="eastAsia"/>
                <w:color w:val="auto"/>
                <w:kern w:val="0"/>
              </w:rPr>
              <w:t>2</w:t>
            </w:r>
            <w:r>
              <w:rPr>
                <w:rFonts w:hint="eastAsia" w:ascii="宋体" w:hAnsi="宋体"/>
                <w:color w:val="auto"/>
                <w:kern w:val="0"/>
              </w:rPr>
              <w:t>人，生活用</w:t>
            </w:r>
            <w:r>
              <w:rPr>
                <w:rFonts w:hint="default" w:ascii="Times New Roman" w:hAnsi="Times New Roman" w:cs="Times New Roman"/>
                <w:color w:val="auto"/>
                <w:kern w:val="0"/>
              </w:rPr>
              <w:t>水量为</w:t>
            </w:r>
            <w:r>
              <w:rPr>
                <w:rFonts w:hint="default" w:ascii="Times New Roman" w:hAnsi="Times New Roman" w:cs="Times New Roman"/>
                <w:color w:val="auto"/>
                <w:kern w:val="0"/>
                <w:lang w:val="en-US" w:eastAsia="zh-CN"/>
              </w:rPr>
              <w:t>0</w:t>
            </w:r>
            <w:r>
              <w:rPr>
                <w:rFonts w:hint="default" w:ascii="Times New Roman" w:hAnsi="Times New Roman" w:cs="Times New Roman"/>
                <w:color w:val="auto"/>
                <w:kern w:val="0"/>
              </w:rPr>
              <w:t>.2m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60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/a，废水产生系数按0.8计，则生活废水量为</w:t>
            </w:r>
            <w:r>
              <w:rPr>
                <w:rFonts w:hint="default" w:ascii="Times New Roman" w:hAnsi="Times New Roman" w:cs="Times New Roman"/>
                <w:color w:val="auto"/>
                <w:kern w:val="0"/>
                <w:lang w:val="en-US" w:eastAsia="zh-CN"/>
              </w:rPr>
              <w:t>0.16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48</w:t>
            </w:r>
            <w:r>
              <w:rPr>
                <w:rFonts w:hint="default" w:ascii="Times New Roman" w:hAnsi="Times New Roman" w:cs="Times New Roman"/>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w:t>
            </w:r>
          </w:p>
          <w:p w14:paraId="0B8B41D5">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eastAsia"/>
                <w:b/>
                <w:color w:val="auto"/>
                <w:kern w:val="0"/>
              </w:rPr>
              <w:t>（2）</w:t>
            </w:r>
            <w:r>
              <w:rPr>
                <w:rFonts w:hint="eastAsia"/>
                <w:b/>
                <w:color w:val="auto"/>
                <w:kern w:val="0"/>
                <w:lang w:val="en-US" w:eastAsia="zh-CN"/>
              </w:rPr>
              <w:t>生产用水</w:t>
            </w:r>
          </w:p>
          <w:p w14:paraId="5EF2D5B1">
            <w:pPr>
              <w:keepNext w:val="0"/>
              <w:keepLines w:val="0"/>
              <w:suppressLineNumbers w:val="0"/>
              <w:spacing w:before="0" w:beforeAutospacing="0" w:after="0" w:afterAutospacing="0"/>
              <w:ind w:left="0" w:right="0" w:firstLine="480" w:firstLineChars="200"/>
              <w:rPr>
                <w:rFonts w:hint="default"/>
                <w:color w:val="auto"/>
                <w:lang w:val="en-US" w:eastAsia="zh-CN"/>
              </w:rPr>
            </w:pPr>
            <w:r>
              <w:rPr>
                <w:rFonts w:hint="eastAsia" w:ascii="宋体" w:hAnsi="宋体"/>
                <w:color w:val="auto"/>
                <w:kern w:val="0"/>
                <w:lang w:val="en-US" w:eastAsia="zh-CN"/>
              </w:rPr>
              <w:t>根据项目水平衡，</w:t>
            </w:r>
            <w:r>
              <w:rPr>
                <w:rFonts w:hint="eastAsia"/>
                <w:color w:val="auto"/>
                <w:lang w:val="en-US" w:eastAsia="zh-CN"/>
              </w:rPr>
              <w:t>本项目生产用水量为1.053</w:t>
            </w:r>
            <w:r>
              <w:rPr>
                <w:rFonts w:hint="eastAsia"/>
                <w:b w:val="0"/>
                <w:bCs/>
                <w:color w:val="auto"/>
                <w:kern w:val="0"/>
                <w:lang w:val="en-US" w:eastAsia="zh-CN"/>
              </w:rPr>
              <w:t>m</w:t>
            </w:r>
            <w:r>
              <w:rPr>
                <w:rFonts w:hint="eastAsia"/>
                <w:b w:val="0"/>
                <w:bCs/>
                <w:color w:val="auto"/>
                <w:kern w:val="0"/>
                <w:vertAlign w:val="superscript"/>
                <w:lang w:val="en-US" w:eastAsia="zh-CN"/>
              </w:rPr>
              <w:t>3</w:t>
            </w:r>
            <w:r>
              <w:rPr>
                <w:rFonts w:hint="eastAsia"/>
                <w:b w:val="0"/>
                <w:bCs/>
                <w:color w:val="auto"/>
                <w:kern w:val="0"/>
                <w:lang w:val="en-US" w:eastAsia="zh-CN"/>
              </w:rPr>
              <w:t>/d，315.9m</w:t>
            </w:r>
            <w:r>
              <w:rPr>
                <w:rFonts w:hint="eastAsia"/>
                <w:b w:val="0"/>
                <w:bCs/>
                <w:color w:val="auto"/>
                <w:kern w:val="0"/>
                <w:vertAlign w:val="superscript"/>
                <w:lang w:val="en-US" w:eastAsia="zh-CN"/>
              </w:rPr>
              <w:t>3</w:t>
            </w:r>
            <w:r>
              <w:rPr>
                <w:rFonts w:hint="eastAsia"/>
                <w:b w:val="0"/>
                <w:bCs/>
                <w:color w:val="auto"/>
                <w:kern w:val="0"/>
                <w:lang w:val="en-US" w:eastAsia="zh-CN"/>
              </w:rPr>
              <w:t>/a。废水产生量为1.023m</w:t>
            </w:r>
            <w:r>
              <w:rPr>
                <w:rFonts w:hint="eastAsia"/>
                <w:b w:val="0"/>
                <w:bCs/>
                <w:color w:val="auto"/>
                <w:kern w:val="0"/>
                <w:vertAlign w:val="superscript"/>
                <w:lang w:val="en-US" w:eastAsia="zh-CN"/>
              </w:rPr>
              <w:t>3</w:t>
            </w:r>
            <w:r>
              <w:rPr>
                <w:rFonts w:hint="eastAsia"/>
                <w:b w:val="0"/>
                <w:bCs/>
                <w:color w:val="auto"/>
                <w:kern w:val="0"/>
                <w:lang w:val="en-US" w:eastAsia="zh-CN"/>
              </w:rPr>
              <w:t>/d，306.9m</w:t>
            </w:r>
            <w:r>
              <w:rPr>
                <w:rFonts w:hint="eastAsia"/>
                <w:b w:val="0"/>
                <w:bCs/>
                <w:color w:val="auto"/>
                <w:kern w:val="0"/>
                <w:vertAlign w:val="superscript"/>
                <w:lang w:val="en-US" w:eastAsia="zh-CN"/>
              </w:rPr>
              <w:t>3</w:t>
            </w:r>
            <w:r>
              <w:rPr>
                <w:rFonts w:hint="eastAsia"/>
                <w:b w:val="0"/>
                <w:bCs/>
                <w:color w:val="auto"/>
                <w:kern w:val="0"/>
                <w:lang w:val="en-US" w:eastAsia="zh-CN"/>
              </w:rPr>
              <w:t>/a。。清洗废水采用排污管连接罐体卸料口，直接通过排污管接入隔油沉淀池，再进入一体化污水处理设施处理。</w:t>
            </w:r>
          </w:p>
          <w:p w14:paraId="51FE84BB">
            <w:pPr>
              <w:keepNext w:val="0"/>
              <w:keepLines w:val="0"/>
              <w:suppressLineNumbers w:val="0"/>
              <w:spacing w:before="0" w:beforeAutospacing="0" w:after="0" w:afterAutospacing="0"/>
              <w:ind w:left="0" w:right="0" w:firstLine="482" w:firstLineChars="200"/>
              <w:rPr>
                <w:rFonts w:hint="default"/>
                <w:b/>
                <w:bCs w:val="0"/>
                <w:color w:val="auto"/>
                <w:kern w:val="0"/>
                <w:highlight w:val="none"/>
                <w:lang w:val="en-US" w:eastAsia="zh-CN"/>
              </w:rPr>
            </w:pPr>
            <w:r>
              <w:rPr>
                <w:rFonts w:hint="eastAsia"/>
                <w:b/>
                <w:bCs w:val="0"/>
                <w:color w:val="auto"/>
                <w:kern w:val="0"/>
                <w:highlight w:val="none"/>
                <w:lang w:val="en-US" w:eastAsia="zh-CN"/>
              </w:rPr>
              <w:t>（3）初期雨水</w:t>
            </w:r>
          </w:p>
          <w:p w14:paraId="3C86E5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color w:val="auto"/>
                <w:kern w:val="0"/>
                <w:lang w:val="en-US" w:eastAsia="zh-CN"/>
              </w:rPr>
            </w:pPr>
            <w:r>
              <w:rPr>
                <w:rFonts w:hint="eastAsia"/>
                <w:b w:val="0"/>
                <w:bCs/>
                <w:color w:val="auto"/>
                <w:kern w:val="0"/>
                <w:lang w:val="en-US" w:eastAsia="zh-CN"/>
              </w:rPr>
              <w:t>在停车场周边设置截排水沟、经计算，项目场地暴雨强度q为63.04L/s·hm</w:t>
            </w:r>
            <w:r>
              <w:rPr>
                <w:rFonts w:hint="eastAsia"/>
                <w:b w:val="0"/>
                <w:bCs/>
                <w:color w:val="auto"/>
                <w:kern w:val="0"/>
                <w:vertAlign w:val="superscript"/>
                <w:lang w:val="en-US" w:eastAsia="zh-CN"/>
              </w:rPr>
              <w:t>2</w:t>
            </w:r>
            <w:r>
              <w:rPr>
                <w:rFonts w:hint="eastAsia"/>
                <w:b w:val="0"/>
                <w:bCs/>
                <w:color w:val="auto"/>
                <w:kern w:val="0"/>
                <w:lang w:val="en-US" w:eastAsia="zh-CN"/>
              </w:rPr>
              <w:t>，雨水流量Q为39.72L/s，142.99m</w:t>
            </w:r>
            <w:r>
              <w:rPr>
                <w:rFonts w:hint="eastAsia"/>
                <w:b w:val="0"/>
                <w:bCs/>
                <w:color w:val="auto"/>
                <w:kern w:val="0"/>
                <w:vertAlign w:val="superscript"/>
                <w:lang w:val="en-US" w:eastAsia="zh-CN"/>
              </w:rPr>
              <w:t>3</w:t>
            </w:r>
            <w:r>
              <w:rPr>
                <w:rFonts w:hint="eastAsia"/>
                <w:b w:val="0"/>
                <w:bCs/>
                <w:color w:val="auto"/>
                <w:kern w:val="0"/>
                <w:lang w:val="en-US" w:eastAsia="zh-CN"/>
              </w:rPr>
              <w:t>/h，则暴雨情况下需收集前15min的初期雨水量约35.7m</w:t>
            </w:r>
            <w:r>
              <w:rPr>
                <w:rFonts w:hint="eastAsia"/>
                <w:b w:val="0"/>
                <w:bCs/>
                <w:color w:val="auto"/>
                <w:kern w:val="0"/>
                <w:vertAlign w:val="superscript"/>
                <w:lang w:val="en-US" w:eastAsia="zh-CN"/>
              </w:rPr>
              <w:t>3</w:t>
            </w:r>
            <w:r>
              <w:rPr>
                <w:rFonts w:hint="eastAsia"/>
                <w:b w:val="0"/>
                <w:bCs/>
                <w:color w:val="auto"/>
                <w:kern w:val="0"/>
                <w:lang w:val="en-US" w:eastAsia="zh-CN"/>
              </w:rPr>
              <w:t>。考虑1.2的安全系数，根据项目平面布局和地形高差，在厂区西南侧设置1个容积不小于43m</w:t>
            </w:r>
            <w:r>
              <w:rPr>
                <w:rFonts w:hint="eastAsia"/>
                <w:b w:val="0"/>
                <w:bCs/>
                <w:color w:val="auto"/>
                <w:kern w:val="0"/>
                <w:vertAlign w:val="superscript"/>
                <w:lang w:val="en-US" w:eastAsia="zh-CN"/>
              </w:rPr>
              <w:t>3</w:t>
            </w:r>
            <w:r>
              <w:rPr>
                <w:rFonts w:hint="eastAsia"/>
                <w:b w:val="0"/>
                <w:bCs/>
                <w:color w:val="auto"/>
                <w:kern w:val="0"/>
                <w:lang w:val="en-US" w:eastAsia="zh-CN"/>
              </w:rPr>
              <w:t>的初期雨水收集池。</w:t>
            </w:r>
          </w:p>
          <w:p w14:paraId="35C81BB0">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2、废水水质情况</w:t>
            </w:r>
          </w:p>
          <w:p w14:paraId="4243057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（1）生活污水</w:t>
            </w:r>
          </w:p>
          <w:p w14:paraId="401F8298">
            <w:pPr>
              <w:ind w:firstLine="480"/>
              <w:rPr>
                <w:rFonts w:ascii="Times New Roman" w:hAnsi="Times New Roman"/>
                <w:color w:val="auto"/>
                <w:highlight w:val="none"/>
              </w:rPr>
            </w:pPr>
            <w:r>
              <w:rPr>
                <w:rFonts w:ascii="Times New Roman" w:hAnsi="Times New Roman"/>
                <w:color w:val="auto"/>
                <w:highlight w:val="none"/>
              </w:rPr>
              <w:t>根据生态环境部发布的《排放源统计调查产排核算方法和系数手册》（环境部公告2021年第24号）中的</w:t>
            </w:r>
            <w:r>
              <w:rPr>
                <w:rFonts w:hint="eastAsia" w:ascii="Times New Roman" w:hAnsi="Times New Roman"/>
                <w:color w:val="auto"/>
                <w:highlight w:val="none"/>
              </w:rPr>
              <w:t>“</w:t>
            </w:r>
            <w:r>
              <w:rPr>
                <w:rFonts w:ascii="Times New Roman" w:hAnsi="Times New Roman"/>
                <w:color w:val="auto"/>
                <w:highlight w:val="none"/>
              </w:rPr>
              <w:t>生活源产排污核算方法和系数手册（六区城镇生活源水污染物产污校核系数）</w:t>
            </w:r>
            <w:r>
              <w:rPr>
                <w:rFonts w:hint="eastAsia" w:ascii="Times New Roman" w:hAnsi="Times New Roman"/>
                <w:color w:val="auto"/>
                <w:highlight w:val="none"/>
              </w:rPr>
              <w:t>”</w:t>
            </w:r>
            <w:r>
              <w:rPr>
                <w:rFonts w:ascii="Times New Roman" w:hAnsi="Times New Roman"/>
                <w:color w:val="auto"/>
                <w:highlight w:val="none"/>
              </w:rPr>
              <w:t>可知，寻甸生活污水中污染物浓度分别为CODcr：325mg/L、BOD</w:t>
            </w:r>
            <w:r>
              <w:rPr>
                <w:rFonts w:ascii="Times New Roman" w:hAnsi="Times New Roman"/>
                <w:color w:val="auto"/>
                <w:highlight w:val="none"/>
                <w:vertAlign w:val="subscript"/>
              </w:rPr>
              <w:t>5</w:t>
            </w:r>
            <w:r>
              <w:rPr>
                <w:rFonts w:ascii="Times New Roman" w:hAnsi="Times New Roman"/>
                <w:color w:val="auto"/>
                <w:highlight w:val="none"/>
              </w:rPr>
              <w:t>：128mg/L、氨氮：37.7mg/L、TP：4.28mg/L、SS：200mg/L、动植物油：4.38mg/L。</w:t>
            </w:r>
          </w:p>
          <w:p w14:paraId="7DF16CEF">
            <w:pPr>
              <w:ind w:firstLine="480"/>
              <w:rPr>
                <w:rFonts w:ascii="Times New Roman" w:hAnsi="Times New Roman"/>
                <w:color w:val="auto"/>
                <w:highlight w:val="none"/>
              </w:rPr>
            </w:pPr>
            <w:r>
              <w:rPr>
                <w:rFonts w:hint="eastAsia" w:ascii="Times New Roman" w:hAnsi="Times New Roman"/>
                <w:color w:val="auto"/>
                <w:highlight w:val="none"/>
              </w:rPr>
              <w:t>根据《常用污水处理设备及去除率》，隔油池对动植物油去除率为60%，化粪池对各项污染物的去除率分别为：CODcr：15%、BOD</w:t>
            </w:r>
            <w:r>
              <w:rPr>
                <w:rFonts w:hint="eastAsia" w:ascii="Times New Roman" w:hAnsi="Times New Roman"/>
                <w:color w:val="auto"/>
                <w:highlight w:val="none"/>
                <w:vertAlign w:val="subscript"/>
              </w:rPr>
              <w:t>5</w:t>
            </w:r>
            <w:r>
              <w:rPr>
                <w:rFonts w:hint="eastAsia" w:ascii="Times New Roman" w:hAnsi="Times New Roman"/>
                <w:color w:val="auto"/>
                <w:highlight w:val="none"/>
              </w:rPr>
              <w:t>：9%、SS：30%、NH</w:t>
            </w:r>
            <w:r>
              <w:rPr>
                <w:rFonts w:hint="eastAsia" w:ascii="Times New Roman" w:hAnsi="Times New Roman"/>
                <w:color w:val="auto"/>
                <w:highlight w:val="none"/>
                <w:vertAlign w:val="subscript"/>
              </w:rPr>
              <w:t>3</w:t>
            </w:r>
            <w:r>
              <w:rPr>
                <w:rFonts w:hint="eastAsia" w:ascii="Times New Roman" w:hAnsi="Times New Roman"/>
                <w:color w:val="auto"/>
                <w:highlight w:val="none"/>
              </w:rPr>
              <w:t>-N：3%、动植物油：10%。</w:t>
            </w:r>
            <w:r>
              <w:rPr>
                <w:rFonts w:ascii="Times New Roman" w:hAnsi="Times New Roman"/>
                <w:color w:val="auto"/>
                <w:highlight w:val="none"/>
              </w:rPr>
              <w:t>项目生活污水主要污染物产生量及排放量见</w:t>
            </w:r>
            <w:r>
              <w:rPr>
                <w:rFonts w:hint="eastAsia" w:ascii="Times New Roman" w:hAnsi="Times New Roman"/>
                <w:color w:val="auto"/>
                <w:highlight w:val="none"/>
              </w:rPr>
              <w:t>下</w:t>
            </w:r>
            <w:r>
              <w:rPr>
                <w:rFonts w:ascii="Times New Roman" w:hAnsi="Times New Roman"/>
                <w:color w:val="auto"/>
                <w:highlight w:val="none"/>
              </w:rPr>
              <w:t>表。</w:t>
            </w:r>
          </w:p>
          <w:p w14:paraId="75F8DEE9">
            <w:pPr>
              <w:keepNext w:val="0"/>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表4-</w:t>
            </w:r>
            <w:r>
              <w:rPr>
                <w:rFonts w:hint="eastAsia"/>
                <w:b/>
                <w:color w:val="auto"/>
                <w:kern w:val="0"/>
                <w:sz w:val="21"/>
                <w:szCs w:val="21"/>
                <w:lang w:val="en-US" w:eastAsia="zh-CN"/>
              </w:rPr>
              <w:t>4</w:t>
            </w:r>
            <w:r>
              <w:rPr>
                <w:rFonts w:hint="default"/>
                <w:b/>
                <w:color w:val="auto"/>
                <w:kern w:val="0"/>
                <w:sz w:val="21"/>
                <w:szCs w:val="21"/>
              </w:rPr>
              <w:t xml:space="preserve"> </w:t>
            </w:r>
            <w:r>
              <w:rPr>
                <w:rFonts w:hint="eastAsia"/>
                <w:b/>
                <w:color w:val="auto"/>
                <w:kern w:val="0"/>
                <w:sz w:val="21"/>
                <w:szCs w:val="21"/>
                <w:lang w:val="en-US" w:eastAsia="zh-CN"/>
              </w:rPr>
              <w:t>生活污水</w:t>
            </w:r>
            <w:r>
              <w:rPr>
                <w:rFonts w:hint="default"/>
                <w:b/>
                <w:color w:val="auto"/>
                <w:kern w:val="0"/>
                <w:sz w:val="21"/>
                <w:szCs w:val="21"/>
              </w:rPr>
              <w:t>产排情况一览表</w:t>
            </w:r>
          </w:p>
          <w:tbl>
            <w:tblPr>
              <w:tblStyle w:val="29"/>
              <w:tblW w:w="7951" w:type="dxa"/>
              <w:jc w:val="center"/>
              <w:tblLayout w:type="autofit"/>
              <w:tblCellMar>
                <w:top w:w="0" w:type="dxa"/>
                <w:left w:w="108" w:type="dxa"/>
                <w:bottom w:w="0" w:type="dxa"/>
                <w:right w:w="108" w:type="dxa"/>
              </w:tblCellMar>
            </w:tblPr>
            <w:tblGrid>
              <w:gridCol w:w="860"/>
              <w:gridCol w:w="1454"/>
              <w:gridCol w:w="1126"/>
              <w:gridCol w:w="1126"/>
              <w:gridCol w:w="1126"/>
              <w:gridCol w:w="1126"/>
              <w:gridCol w:w="1133"/>
            </w:tblGrid>
            <w:tr w14:paraId="144075E9">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298E722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产排污环节</w:t>
                  </w:r>
                </w:p>
              </w:tc>
              <w:tc>
                <w:tcPr>
                  <w:tcW w:w="5637" w:type="dxa"/>
                  <w:gridSpan w:val="5"/>
                  <w:tcBorders>
                    <w:top w:val="single" w:color="auto" w:sz="4" w:space="0"/>
                    <w:left w:val="nil"/>
                    <w:bottom w:val="single" w:color="auto" w:sz="4" w:space="0"/>
                    <w:right w:val="single" w:color="auto" w:sz="4" w:space="0"/>
                  </w:tcBorders>
                  <w:vAlign w:val="center"/>
                </w:tcPr>
                <w:p w14:paraId="0C41C0D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生活</w:t>
                  </w:r>
                  <w:r>
                    <w:rPr>
                      <w:rFonts w:hint="eastAsia" w:ascii="宋体" w:hAnsi="宋体"/>
                      <w:color w:val="auto"/>
                      <w:sz w:val="21"/>
                      <w:szCs w:val="21"/>
                      <w:lang w:val="en-US" w:eastAsia="zh-CN"/>
                    </w:rPr>
                    <w:t>污</w:t>
                  </w:r>
                  <w:r>
                    <w:rPr>
                      <w:rFonts w:hint="default" w:ascii="宋体" w:hAnsi="宋体"/>
                      <w:color w:val="auto"/>
                      <w:sz w:val="21"/>
                      <w:szCs w:val="21"/>
                    </w:rPr>
                    <w:t>水</w:t>
                  </w:r>
                </w:p>
              </w:tc>
            </w:tr>
            <w:tr w14:paraId="2AE5802D">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387877E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产生量（</w:t>
                  </w:r>
                  <w:r>
                    <w:rPr>
                      <w:rFonts w:hint="default"/>
                      <w:color w:val="auto"/>
                      <w:sz w:val="21"/>
                      <w:szCs w:val="21"/>
                    </w:rPr>
                    <w:t>m</w:t>
                  </w:r>
                  <w:r>
                    <w:rPr>
                      <w:rFonts w:hint="default"/>
                      <w:color w:val="auto"/>
                      <w:sz w:val="21"/>
                      <w:szCs w:val="21"/>
                      <w:vertAlign w:val="superscript"/>
                    </w:rPr>
                    <w:t>3</w:t>
                  </w:r>
                  <w:r>
                    <w:rPr>
                      <w:rFonts w:hint="default"/>
                      <w:color w:val="auto"/>
                      <w:sz w:val="21"/>
                      <w:szCs w:val="21"/>
                    </w:rPr>
                    <w:t>/a</w:t>
                  </w:r>
                  <w:r>
                    <w:rPr>
                      <w:rFonts w:hint="default" w:ascii="宋体" w:hAnsi="宋体"/>
                      <w:color w:val="auto"/>
                      <w:sz w:val="21"/>
                      <w:szCs w:val="21"/>
                    </w:rPr>
                    <w:t>）</w:t>
                  </w:r>
                </w:p>
              </w:tc>
              <w:tc>
                <w:tcPr>
                  <w:tcW w:w="5637" w:type="dxa"/>
                  <w:gridSpan w:val="5"/>
                  <w:tcBorders>
                    <w:top w:val="single" w:color="auto" w:sz="4" w:space="0"/>
                    <w:left w:val="nil"/>
                    <w:bottom w:val="single" w:color="auto" w:sz="4" w:space="0"/>
                    <w:right w:val="single" w:color="auto" w:sz="4" w:space="0"/>
                  </w:tcBorders>
                  <w:vAlign w:val="center"/>
                </w:tcPr>
                <w:p w14:paraId="534E1639">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48</w:t>
                  </w:r>
                </w:p>
              </w:tc>
            </w:tr>
            <w:tr w14:paraId="69C1EC4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758C61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污染物种类</w:t>
                  </w:r>
                </w:p>
              </w:tc>
              <w:tc>
                <w:tcPr>
                  <w:tcW w:w="1126" w:type="dxa"/>
                  <w:tcBorders>
                    <w:top w:val="single" w:color="auto" w:sz="4" w:space="0"/>
                    <w:left w:val="nil"/>
                    <w:bottom w:val="single" w:color="auto" w:sz="4" w:space="0"/>
                    <w:right w:val="single" w:color="auto" w:sz="4" w:space="0"/>
                  </w:tcBorders>
                  <w:vAlign w:val="center"/>
                </w:tcPr>
                <w:p w14:paraId="3A9AEFA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CODcr</w:t>
                  </w:r>
                </w:p>
              </w:tc>
              <w:tc>
                <w:tcPr>
                  <w:tcW w:w="1126" w:type="dxa"/>
                  <w:tcBorders>
                    <w:top w:val="single" w:color="auto" w:sz="4" w:space="0"/>
                    <w:left w:val="nil"/>
                    <w:bottom w:val="single" w:color="auto" w:sz="4" w:space="0"/>
                    <w:right w:val="single" w:color="auto" w:sz="4" w:space="0"/>
                  </w:tcBorders>
                  <w:vAlign w:val="center"/>
                </w:tcPr>
                <w:p w14:paraId="39E7D20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BOD</w:t>
                  </w:r>
                  <w:r>
                    <w:rPr>
                      <w:rFonts w:hint="default"/>
                      <w:color w:val="auto"/>
                      <w:sz w:val="21"/>
                      <w:szCs w:val="21"/>
                      <w:vertAlign w:val="subscript"/>
                    </w:rPr>
                    <w:t>5</w:t>
                  </w:r>
                </w:p>
              </w:tc>
              <w:tc>
                <w:tcPr>
                  <w:tcW w:w="1126" w:type="dxa"/>
                  <w:tcBorders>
                    <w:top w:val="single" w:color="auto" w:sz="4" w:space="0"/>
                    <w:left w:val="nil"/>
                    <w:bottom w:val="single" w:color="auto" w:sz="4" w:space="0"/>
                    <w:right w:val="single" w:color="auto" w:sz="4" w:space="0"/>
                  </w:tcBorders>
                  <w:vAlign w:val="center"/>
                </w:tcPr>
                <w:p w14:paraId="4B4BC4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SS</w:t>
                  </w:r>
                </w:p>
              </w:tc>
              <w:tc>
                <w:tcPr>
                  <w:tcW w:w="1126" w:type="dxa"/>
                  <w:tcBorders>
                    <w:top w:val="single" w:color="auto" w:sz="4" w:space="0"/>
                    <w:left w:val="nil"/>
                    <w:bottom w:val="single" w:color="auto" w:sz="4" w:space="0"/>
                    <w:right w:val="single" w:color="auto" w:sz="4" w:space="0"/>
                  </w:tcBorders>
                  <w:vAlign w:val="center"/>
                </w:tcPr>
                <w:p w14:paraId="43BC1C1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-N</w:t>
                  </w:r>
                </w:p>
              </w:tc>
              <w:tc>
                <w:tcPr>
                  <w:tcW w:w="1133" w:type="dxa"/>
                  <w:tcBorders>
                    <w:top w:val="single" w:color="auto" w:sz="4" w:space="0"/>
                    <w:left w:val="nil"/>
                    <w:bottom w:val="single" w:color="auto" w:sz="4" w:space="0"/>
                    <w:right w:val="single" w:color="auto" w:sz="4" w:space="0"/>
                  </w:tcBorders>
                  <w:vAlign w:val="center"/>
                </w:tcPr>
                <w:p w14:paraId="49195CC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TP</w:t>
                  </w:r>
                </w:p>
              </w:tc>
            </w:tr>
            <w:tr w14:paraId="153B40CE">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69C37C7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产生浓度（</w:t>
                  </w:r>
                  <w:r>
                    <w:rPr>
                      <w:rFonts w:hint="default"/>
                      <w:color w:val="auto"/>
                      <w:sz w:val="21"/>
                      <w:szCs w:val="21"/>
                    </w:rPr>
                    <w:t>mg/L</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58ADCFA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325</w:t>
                  </w:r>
                </w:p>
              </w:tc>
              <w:tc>
                <w:tcPr>
                  <w:tcW w:w="1126" w:type="dxa"/>
                  <w:tcBorders>
                    <w:top w:val="single" w:color="auto" w:sz="4" w:space="0"/>
                    <w:left w:val="nil"/>
                    <w:bottom w:val="single" w:color="auto" w:sz="4" w:space="0"/>
                    <w:right w:val="single" w:color="auto" w:sz="4" w:space="0"/>
                  </w:tcBorders>
                  <w:vAlign w:val="center"/>
                </w:tcPr>
                <w:p w14:paraId="31B5F4A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128</w:t>
                  </w:r>
                </w:p>
              </w:tc>
              <w:tc>
                <w:tcPr>
                  <w:tcW w:w="1126" w:type="dxa"/>
                  <w:tcBorders>
                    <w:top w:val="single" w:color="auto" w:sz="4" w:space="0"/>
                    <w:left w:val="nil"/>
                    <w:bottom w:val="single" w:color="auto" w:sz="4" w:space="0"/>
                    <w:right w:val="single" w:color="auto" w:sz="4" w:space="0"/>
                  </w:tcBorders>
                  <w:vAlign w:val="center"/>
                </w:tcPr>
                <w:p w14:paraId="76FE0A1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200</w:t>
                  </w:r>
                </w:p>
              </w:tc>
              <w:tc>
                <w:tcPr>
                  <w:tcW w:w="1126" w:type="dxa"/>
                  <w:tcBorders>
                    <w:top w:val="single" w:color="auto" w:sz="4" w:space="0"/>
                    <w:left w:val="nil"/>
                    <w:bottom w:val="single" w:color="auto" w:sz="4" w:space="0"/>
                    <w:right w:val="single" w:color="auto" w:sz="4" w:space="0"/>
                  </w:tcBorders>
                  <w:vAlign w:val="center"/>
                </w:tcPr>
                <w:p w14:paraId="22384C3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37.7</w:t>
                  </w:r>
                </w:p>
              </w:tc>
              <w:tc>
                <w:tcPr>
                  <w:tcW w:w="1133" w:type="dxa"/>
                  <w:tcBorders>
                    <w:top w:val="single" w:color="auto" w:sz="4" w:space="0"/>
                    <w:left w:val="nil"/>
                    <w:bottom w:val="single" w:color="auto" w:sz="4" w:space="0"/>
                    <w:right w:val="single" w:color="auto" w:sz="4" w:space="0"/>
                  </w:tcBorders>
                  <w:vAlign w:val="center"/>
                </w:tcPr>
                <w:p w14:paraId="4691C31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4.28</w:t>
                  </w:r>
                </w:p>
              </w:tc>
            </w:tr>
            <w:tr w14:paraId="519EB2ED">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01C9FE0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产生量（</w:t>
                  </w:r>
                  <w:r>
                    <w:rPr>
                      <w:rFonts w:hint="default"/>
                      <w:color w:val="auto"/>
                      <w:sz w:val="21"/>
                      <w:szCs w:val="21"/>
                    </w:rPr>
                    <w:t>t/a</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44799CFD">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0.0156</w:t>
                  </w:r>
                </w:p>
              </w:tc>
              <w:tc>
                <w:tcPr>
                  <w:tcW w:w="1126" w:type="dxa"/>
                  <w:tcBorders>
                    <w:top w:val="single" w:color="auto" w:sz="4" w:space="0"/>
                    <w:left w:val="nil"/>
                    <w:bottom w:val="single" w:color="auto" w:sz="4" w:space="0"/>
                    <w:right w:val="single" w:color="auto" w:sz="4" w:space="0"/>
                  </w:tcBorders>
                  <w:vAlign w:val="center"/>
                </w:tcPr>
                <w:p w14:paraId="1477CA4F">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0.0061</w:t>
                  </w:r>
                </w:p>
              </w:tc>
              <w:tc>
                <w:tcPr>
                  <w:tcW w:w="1126" w:type="dxa"/>
                  <w:tcBorders>
                    <w:top w:val="single" w:color="auto" w:sz="4" w:space="0"/>
                    <w:left w:val="nil"/>
                    <w:bottom w:val="single" w:color="auto" w:sz="4" w:space="0"/>
                    <w:right w:val="single" w:color="auto" w:sz="4" w:space="0"/>
                  </w:tcBorders>
                  <w:vAlign w:val="center"/>
                </w:tcPr>
                <w:p w14:paraId="5CAEEC9E">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0.0096</w:t>
                  </w:r>
                </w:p>
              </w:tc>
              <w:tc>
                <w:tcPr>
                  <w:tcW w:w="1126" w:type="dxa"/>
                  <w:tcBorders>
                    <w:top w:val="single" w:color="auto" w:sz="4" w:space="0"/>
                    <w:left w:val="nil"/>
                    <w:bottom w:val="single" w:color="auto" w:sz="4" w:space="0"/>
                    <w:right w:val="single" w:color="auto" w:sz="4" w:space="0"/>
                  </w:tcBorders>
                  <w:vAlign w:val="center"/>
                </w:tcPr>
                <w:p w14:paraId="3F72F221">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0.0018</w:t>
                  </w:r>
                </w:p>
              </w:tc>
              <w:tc>
                <w:tcPr>
                  <w:tcW w:w="1133" w:type="dxa"/>
                  <w:tcBorders>
                    <w:top w:val="single" w:color="auto" w:sz="4" w:space="0"/>
                    <w:left w:val="nil"/>
                    <w:bottom w:val="single" w:color="auto" w:sz="4" w:space="0"/>
                    <w:right w:val="single" w:color="auto" w:sz="4" w:space="0"/>
                  </w:tcBorders>
                  <w:vAlign w:val="center"/>
                </w:tcPr>
                <w:p w14:paraId="29369592">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02</w:t>
                  </w:r>
                </w:p>
              </w:tc>
            </w:tr>
            <w:tr w14:paraId="37369222">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41B9A85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排放形式</w:t>
                  </w:r>
                </w:p>
              </w:tc>
              <w:tc>
                <w:tcPr>
                  <w:tcW w:w="5637" w:type="dxa"/>
                  <w:gridSpan w:val="5"/>
                  <w:tcBorders>
                    <w:top w:val="single" w:color="auto" w:sz="4" w:space="0"/>
                    <w:left w:val="nil"/>
                    <w:bottom w:val="single" w:color="auto" w:sz="4" w:space="0"/>
                    <w:right w:val="single" w:color="auto" w:sz="4" w:space="0"/>
                  </w:tcBorders>
                  <w:vAlign w:val="center"/>
                </w:tcPr>
                <w:p w14:paraId="127F1859">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ascii="宋体" w:hAnsi="宋体"/>
                      <w:color w:val="auto"/>
                      <w:sz w:val="21"/>
                      <w:szCs w:val="21"/>
                      <w:lang w:val="en-US" w:eastAsia="zh-CN"/>
                    </w:rPr>
                    <w:t>不排放</w:t>
                  </w:r>
                </w:p>
              </w:tc>
            </w:tr>
            <w:tr w14:paraId="5E4CDACB">
              <w:tblPrEx>
                <w:tblCellMar>
                  <w:top w:w="0" w:type="dxa"/>
                  <w:left w:w="108" w:type="dxa"/>
                  <w:bottom w:w="0" w:type="dxa"/>
                  <w:right w:w="108" w:type="dxa"/>
                </w:tblCellMar>
              </w:tblPrEx>
              <w:trPr>
                <w:trHeight w:val="23" w:hRule="atLeast"/>
                <w:jc w:val="center"/>
              </w:trPr>
              <w:tc>
                <w:tcPr>
                  <w:tcW w:w="860" w:type="dxa"/>
                  <w:vMerge w:val="restart"/>
                  <w:tcBorders>
                    <w:top w:val="nil"/>
                    <w:left w:val="single" w:color="auto" w:sz="4" w:space="0"/>
                    <w:bottom w:val="single" w:color="auto" w:sz="4" w:space="0"/>
                    <w:right w:val="single" w:color="auto" w:sz="4" w:space="0"/>
                  </w:tcBorders>
                  <w:vAlign w:val="center"/>
                </w:tcPr>
                <w:p w14:paraId="13E947FD">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治理设施</w:t>
                  </w:r>
                </w:p>
              </w:tc>
              <w:tc>
                <w:tcPr>
                  <w:tcW w:w="1454" w:type="dxa"/>
                  <w:tcBorders>
                    <w:top w:val="single" w:color="auto" w:sz="4" w:space="0"/>
                    <w:left w:val="nil"/>
                    <w:bottom w:val="single" w:color="auto" w:sz="4" w:space="0"/>
                    <w:right w:val="single" w:color="auto" w:sz="4" w:space="0"/>
                  </w:tcBorders>
                  <w:vAlign w:val="center"/>
                </w:tcPr>
                <w:p w14:paraId="23BF095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处理能力</w:t>
                  </w:r>
                </w:p>
              </w:tc>
              <w:tc>
                <w:tcPr>
                  <w:tcW w:w="5637" w:type="dxa"/>
                  <w:gridSpan w:val="5"/>
                  <w:tcBorders>
                    <w:top w:val="single" w:color="auto" w:sz="4" w:space="0"/>
                    <w:left w:val="nil"/>
                    <w:bottom w:val="single" w:color="auto" w:sz="4" w:space="0"/>
                    <w:right w:val="single" w:color="auto" w:sz="4" w:space="0"/>
                  </w:tcBorders>
                  <w:vAlign w:val="center"/>
                </w:tcPr>
                <w:p w14:paraId="69CAD26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化粪池容积为</w:t>
                  </w:r>
                  <w:r>
                    <w:rPr>
                      <w:rFonts w:hint="eastAsia"/>
                      <w:color w:val="auto"/>
                      <w:sz w:val="21"/>
                      <w:szCs w:val="21"/>
                      <w:lang w:val="en-US" w:eastAsia="zh-CN"/>
                    </w:rPr>
                    <w:t>2</w:t>
                  </w:r>
                  <w:r>
                    <w:rPr>
                      <w:rFonts w:hint="eastAsia"/>
                      <w:color w:val="auto"/>
                      <w:sz w:val="21"/>
                      <w:szCs w:val="21"/>
                    </w:rPr>
                    <w:t>m</w:t>
                  </w:r>
                  <w:r>
                    <w:rPr>
                      <w:rFonts w:hint="eastAsia"/>
                      <w:color w:val="auto"/>
                      <w:sz w:val="21"/>
                      <w:szCs w:val="21"/>
                      <w:vertAlign w:val="superscript"/>
                    </w:rPr>
                    <w:t>3</w:t>
                  </w:r>
                </w:p>
              </w:tc>
            </w:tr>
            <w:tr w14:paraId="3B4050B8">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6BC50B0B">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4EA1DA5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收集效率（</w:t>
                  </w:r>
                  <w:r>
                    <w:rPr>
                      <w:rFonts w:hint="default"/>
                      <w:color w:val="auto"/>
                      <w:sz w:val="21"/>
                      <w:szCs w:val="21"/>
                    </w:rPr>
                    <w:t>%</w:t>
                  </w:r>
                  <w:r>
                    <w:rPr>
                      <w:rFonts w:hint="default" w:ascii="宋体" w:hAnsi="宋体"/>
                      <w:color w:val="auto"/>
                      <w:sz w:val="21"/>
                      <w:szCs w:val="21"/>
                    </w:rPr>
                    <w:t>）</w:t>
                  </w:r>
                </w:p>
              </w:tc>
              <w:tc>
                <w:tcPr>
                  <w:tcW w:w="5637" w:type="dxa"/>
                  <w:gridSpan w:val="5"/>
                  <w:tcBorders>
                    <w:top w:val="single" w:color="auto" w:sz="4" w:space="0"/>
                    <w:left w:val="nil"/>
                    <w:bottom w:val="single" w:color="auto" w:sz="4" w:space="0"/>
                    <w:right w:val="single" w:color="auto" w:sz="4" w:space="0"/>
                  </w:tcBorders>
                  <w:vAlign w:val="center"/>
                </w:tcPr>
                <w:p w14:paraId="33B8F2E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100</w:t>
                  </w:r>
                </w:p>
              </w:tc>
            </w:tr>
            <w:tr w14:paraId="001A0F8F">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4A081420">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3389C27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治理工艺</w:t>
                  </w:r>
                </w:p>
              </w:tc>
              <w:tc>
                <w:tcPr>
                  <w:tcW w:w="5637" w:type="dxa"/>
                  <w:gridSpan w:val="5"/>
                  <w:tcBorders>
                    <w:top w:val="single" w:color="auto" w:sz="4" w:space="0"/>
                    <w:left w:val="nil"/>
                    <w:bottom w:val="single" w:color="auto" w:sz="4" w:space="0"/>
                    <w:right w:val="single" w:color="auto" w:sz="4" w:space="0"/>
                  </w:tcBorders>
                  <w:vAlign w:val="center"/>
                </w:tcPr>
                <w:p w14:paraId="1E7D543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重力沉淀</w:t>
                  </w:r>
                  <w:r>
                    <w:rPr>
                      <w:rStyle w:val="42"/>
                      <w:rFonts w:hint="eastAsia" w:ascii="宋体" w:hAnsi="宋体"/>
                      <w:color w:val="auto"/>
                      <w:kern w:val="0"/>
                      <w:sz w:val="21"/>
                      <w:szCs w:val="21"/>
                    </w:rPr>
                    <w:t>、厌氧处理</w:t>
                  </w:r>
                </w:p>
              </w:tc>
            </w:tr>
            <w:tr w14:paraId="701C1546">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05774E5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vMerge w:val="restart"/>
                  <w:tcBorders>
                    <w:top w:val="nil"/>
                    <w:left w:val="nil"/>
                    <w:bottom w:val="single" w:color="auto" w:sz="4" w:space="0"/>
                    <w:right w:val="single" w:color="auto" w:sz="4" w:space="0"/>
                  </w:tcBorders>
                  <w:vAlign w:val="center"/>
                </w:tcPr>
                <w:p w14:paraId="2BA0946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治理效率</w:t>
                  </w:r>
                </w:p>
              </w:tc>
              <w:tc>
                <w:tcPr>
                  <w:tcW w:w="5637" w:type="dxa"/>
                  <w:gridSpan w:val="5"/>
                  <w:tcBorders>
                    <w:top w:val="single" w:color="auto" w:sz="4" w:space="0"/>
                    <w:left w:val="nil"/>
                    <w:bottom w:val="single" w:color="auto" w:sz="4" w:space="0"/>
                    <w:right w:val="single" w:color="auto" w:sz="4" w:space="0"/>
                  </w:tcBorders>
                  <w:vAlign w:val="center"/>
                </w:tcPr>
                <w:p w14:paraId="4825462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化粪池处理效率（</w:t>
                  </w:r>
                  <w:r>
                    <w:rPr>
                      <w:rFonts w:hint="default"/>
                      <w:color w:val="auto"/>
                      <w:sz w:val="21"/>
                      <w:szCs w:val="21"/>
                    </w:rPr>
                    <w:t>%</w:t>
                  </w:r>
                  <w:r>
                    <w:rPr>
                      <w:rFonts w:hint="default" w:ascii="宋体" w:hAnsi="宋体"/>
                      <w:color w:val="auto"/>
                      <w:sz w:val="21"/>
                      <w:szCs w:val="21"/>
                    </w:rPr>
                    <w:t>）</w:t>
                  </w:r>
                </w:p>
              </w:tc>
            </w:tr>
            <w:tr w14:paraId="3360CE49">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60CEFC83">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vMerge w:val="continue"/>
                  <w:tcBorders>
                    <w:top w:val="nil"/>
                    <w:left w:val="nil"/>
                    <w:bottom w:val="single" w:color="auto" w:sz="4" w:space="0"/>
                    <w:right w:val="single" w:color="auto" w:sz="4" w:space="0"/>
                  </w:tcBorders>
                  <w:vAlign w:val="center"/>
                </w:tcPr>
                <w:p w14:paraId="196C4C39">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126" w:type="dxa"/>
                  <w:tcBorders>
                    <w:top w:val="single" w:color="auto" w:sz="4" w:space="0"/>
                    <w:left w:val="nil"/>
                    <w:bottom w:val="single" w:color="auto" w:sz="4" w:space="0"/>
                    <w:right w:val="single" w:color="auto" w:sz="4" w:space="0"/>
                  </w:tcBorders>
                  <w:vAlign w:val="center"/>
                </w:tcPr>
                <w:p w14:paraId="477DBF2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15</w:t>
                  </w:r>
                </w:p>
              </w:tc>
              <w:tc>
                <w:tcPr>
                  <w:tcW w:w="1126" w:type="dxa"/>
                  <w:tcBorders>
                    <w:top w:val="single" w:color="auto" w:sz="4" w:space="0"/>
                    <w:left w:val="nil"/>
                    <w:bottom w:val="single" w:color="auto" w:sz="4" w:space="0"/>
                    <w:right w:val="single" w:color="auto" w:sz="4" w:space="0"/>
                  </w:tcBorders>
                  <w:vAlign w:val="center"/>
                </w:tcPr>
                <w:p w14:paraId="6D8FE0F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9</w:t>
                  </w:r>
                </w:p>
              </w:tc>
              <w:tc>
                <w:tcPr>
                  <w:tcW w:w="1126" w:type="dxa"/>
                  <w:tcBorders>
                    <w:top w:val="single" w:color="auto" w:sz="4" w:space="0"/>
                    <w:left w:val="nil"/>
                    <w:bottom w:val="single" w:color="auto" w:sz="4" w:space="0"/>
                    <w:right w:val="single" w:color="auto" w:sz="4" w:space="0"/>
                  </w:tcBorders>
                  <w:vAlign w:val="center"/>
                </w:tcPr>
                <w:p w14:paraId="2DCBE55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30</w:t>
                  </w:r>
                </w:p>
              </w:tc>
              <w:tc>
                <w:tcPr>
                  <w:tcW w:w="1126" w:type="dxa"/>
                  <w:tcBorders>
                    <w:top w:val="single" w:color="auto" w:sz="4" w:space="0"/>
                    <w:left w:val="nil"/>
                    <w:bottom w:val="single" w:color="auto" w:sz="4" w:space="0"/>
                    <w:right w:val="single" w:color="auto" w:sz="4" w:space="0"/>
                  </w:tcBorders>
                  <w:vAlign w:val="center"/>
                </w:tcPr>
                <w:p w14:paraId="560856D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w:t>
                  </w:r>
                </w:p>
              </w:tc>
              <w:tc>
                <w:tcPr>
                  <w:tcW w:w="1133" w:type="dxa"/>
                  <w:tcBorders>
                    <w:top w:val="single" w:color="auto" w:sz="4" w:space="0"/>
                    <w:left w:val="nil"/>
                    <w:bottom w:val="single" w:color="auto" w:sz="4" w:space="0"/>
                    <w:right w:val="single" w:color="auto" w:sz="4" w:space="0"/>
                  </w:tcBorders>
                  <w:vAlign w:val="center"/>
                </w:tcPr>
                <w:p w14:paraId="12061D2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3E79918F">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47C6F54B">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323F617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是否为可行技术</w:t>
                  </w:r>
                </w:p>
              </w:tc>
              <w:tc>
                <w:tcPr>
                  <w:tcW w:w="5637" w:type="dxa"/>
                  <w:gridSpan w:val="5"/>
                  <w:tcBorders>
                    <w:top w:val="single" w:color="auto" w:sz="4" w:space="0"/>
                    <w:left w:val="nil"/>
                    <w:bottom w:val="single" w:color="auto" w:sz="4" w:space="0"/>
                    <w:right w:val="single" w:color="auto" w:sz="4" w:space="0"/>
                  </w:tcBorders>
                  <w:vAlign w:val="center"/>
                </w:tcPr>
                <w:p w14:paraId="71A3B66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是</w:t>
                  </w:r>
                </w:p>
              </w:tc>
            </w:tr>
            <w:tr w14:paraId="32D410B8">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DDE0C2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污染物排放浓度（</w:t>
                  </w:r>
                  <w:r>
                    <w:rPr>
                      <w:rFonts w:hint="default"/>
                      <w:color w:val="auto"/>
                      <w:sz w:val="21"/>
                      <w:szCs w:val="21"/>
                    </w:rPr>
                    <w:t>mg/L</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27E16C4B">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276.25</w:t>
                  </w:r>
                </w:p>
              </w:tc>
              <w:tc>
                <w:tcPr>
                  <w:tcW w:w="1126" w:type="dxa"/>
                  <w:tcBorders>
                    <w:top w:val="single" w:color="auto" w:sz="4" w:space="0"/>
                    <w:left w:val="nil"/>
                    <w:bottom w:val="single" w:color="auto" w:sz="4" w:space="0"/>
                    <w:right w:val="single" w:color="auto" w:sz="4" w:space="0"/>
                  </w:tcBorders>
                  <w:vAlign w:val="center"/>
                </w:tcPr>
                <w:p w14:paraId="6ED9B2EA">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116.48</w:t>
                  </w:r>
                </w:p>
              </w:tc>
              <w:tc>
                <w:tcPr>
                  <w:tcW w:w="1126" w:type="dxa"/>
                  <w:tcBorders>
                    <w:top w:val="single" w:color="auto" w:sz="4" w:space="0"/>
                    <w:left w:val="nil"/>
                    <w:bottom w:val="single" w:color="auto" w:sz="4" w:space="0"/>
                    <w:right w:val="single" w:color="auto" w:sz="4" w:space="0"/>
                  </w:tcBorders>
                  <w:vAlign w:val="center"/>
                </w:tcPr>
                <w:p w14:paraId="4AE41713">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140</w:t>
                  </w:r>
                </w:p>
              </w:tc>
              <w:tc>
                <w:tcPr>
                  <w:tcW w:w="1126" w:type="dxa"/>
                  <w:tcBorders>
                    <w:top w:val="single" w:color="auto" w:sz="4" w:space="0"/>
                    <w:left w:val="nil"/>
                    <w:bottom w:val="single" w:color="auto" w:sz="4" w:space="0"/>
                    <w:right w:val="single" w:color="auto" w:sz="4" w:space="0"/>
                  </w:tcBorders>
                  <w:vAlign w:val="center"/>
                </w:tcPr>
                <w:p w14:paraId="0AA298BD">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36.569</w:t>
                  </w:r>
                </w:p>
              </w:tc>
              <w:tc>
                <w:tcPr>
                  <w:tcW w:w="1133" w:type="dxa"/>
                  <w:tcBorders>
                    <w:top w:val="single" w:color="auto" w:sz="4" w:space="0"/>
                    <w:left w:val="nil"/>
                    <w:bottom w:val="single" w:color="auto" w:sz="4" w:space="0"/>
                    <w:right w:val="single" w:color="auto" w:sz="4" w:space="0"/>
                  </w:tcBorders>
                  <w:vAlign w:val="center"/>
                </w:tcPr>
                <w:p w14:paraId="1F71A02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4.28</w:t>
                  </w:r>
                </w:p>
              </w:tc>
            </w:tr>
            <w:tr w14:paraId="1902FAB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CD9393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污染物排放量（</w:t>
                  </w:r>
                  <w:r>
                    <w:rPr>
                      <w:rFonts w:hint="default"/>
                      <w:color w:val="auto"/>
                      <w:sz w:val="21"/>
                      <w:szCs w:val="21"/>
                    </w:rPr>
                    <w:t>t/a</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shd w:val="clear" w:color="auto" w:fill="auto"/>
                  <w:vAlign w:val="center"/>
                </w:tcPr>
                <w:p w14:paraId="7FE8E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0133</w:t>
                  </w:r>
                </w:p>
              </w:tc>
              <w:tc>
                <w:tcPr>
                  <w:tcW w:w="1126" w:type="dxa"/>
                  <w:tcBorders>
                    <w:top w:val="single" w:color="auto" w:sz="4" w:space="0"/>
                    <w:left w:val="nil"/>
                    <w:bottom w:val="single" w:color="auto" w:sz="4" w:space="0"/>
                    <w:right w:val="single" w:color="auto" w:sz="4" w:space="0"/>
                  </w:tcBorders>
                  <w:shd w:val="clear" w:color="auto" w:fill="auto"/>
                  <w:vAlign w:val="center"/>
                </w:tcPr>
                <w:p w14:paraId="331A6E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0056</w:t>
                  </w:r>
                </w:p>
              </w:tc>
              <w:tc>
                <w:tcPr>
                  <w:tcW w:w="1126" w:type="dxa"/>
                  <w:tcBorders>
                    <w:top w:val="single" w:color="auto" w:sz="4" w:space="0"/>
                    <w:left w:val="nil"/>
                    <w:bottom w:val="single" w:color="auto" w:sz="4" w:space="0"/>
                    <w:right w:val="single" w:color="auto" w:sz="4" w:space="0"/>
                  </w:tcBorders>
                  <w:shd w:val="clear" w:color="auto" w:fill="auto"/>
                  <w:vAlign w:val="center"/>
                </w:tcPr>
                <w:p w14:paraId="5A96F6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0067</w:t>
                  </w:r>
                </w:p>
              </w:tc>
              <w:tc>
                <w:tcPr>
                  <w:tcW w:w="1126" w:type="dxa"/>
                  <w:tcBorders>
                    <w:top w:val="single" w:color="auto" w:sz="4" w:space="0"/>
                    <w:left w:val="nil"/>
                    <w:bottom w:val="single" w:color="auto" w:sz="4" w:space="0"/>
                    <w:right w:val="single" w:color="auto" w:sz="4" w:space="0"/>
                  </w:tcBorders>
                  <w:shd w:val="clear" w:color="auto" w:fill="auto"/>
                  <w:vAlign w:val="center"/>
                </w:tcPr>
                <w:p w14:paraId="658FE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017</w:t>
                  </w:r>
                </w:p>
              </w:tc>
              <w:tc>
                <w:tcPr>
                  <w:tcW w:w="1133" w:type="dxa"/>
                  <w:tcBorders>
                    <w:top w:val="single" w:color="auto" w:sz="4" w:space="0"/>
                    <w:left w:val="nil"/>
                    <w:bottom w:val="single" w:color="auto" w:sz="4" w:space="0"/>
                    <w:right w:val="single" w:color="auto" w:sz="4" w:space="0"/>
                  </w:tcBorders>
                  <w:vAlign w:val="center"/>
                </w:tcPr>
                <w:p w14:paraId="3F40FB2B">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default"/>
                      <w:color w:val="auto"/>
                      <w:sz w:val="21"/>
                      <w:szCs w:val="21"/>
                    </w:rPr>
                    <w:t>0.00</w:t>
                  </w:r>
                  <w:r>
                    <w:rPr>
                      <w:rFonts w:hint="eastAsia"/>
                      <w:color w:val="auto"/>
                      <w:sz w:val="21"/>
                      <w:szCs w:val="21"/>
                      <w:lang w:val="en-US" w:eastAsia="zh-CN"/>
                    </w:rPr>
                    <w:t>02</w:t>
                  </w:r>
                </w:p>
              </w:tc>
            </w:tr>
            <w:tr w14:paraId="279395EC">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FF22EA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《污水综合排放标准》（</w:t>
                  </w:r>
                  <w:r>
                    <w:rPr>
                      <w:rFonts w:hint="eastAsia"/>
                      <w:color w:val="auto"/>
                      <w:sz w:val="21"/>
                      <w:szCs w:val="21"/>
                    </w:rPr>
                    <w:t>GB8979-1996</w:t>
                  </w:r>
                  <w:r>
                    <w:rPr>
                      <w:rFonts w:hint="eastAsia" w:ascii="宋体" w:hAnsi="宋体"/>
                      <w:color w:val="auto"/>
                      <w:sz w:val="21"/>
                      <w:szCs w:val="21"/>
                    </w:rPr>
                    <w:t>）表</w:t>
                  </w:r>
                  <w:r>
                    <w:rPr>
                      <w:rFonts w:hint="eastAsia"/>
                      <w:color w:val="auto"/>
                      <w:sz w:val="21"/>
                      <w:szCs w:val="21"/>
                    </w:rPr>
                    <w:t>4</w:t>
                  </w:r>
                  <w:r>
                    <w:rPr>
                      <w:rFonts w:hint="eastAsia" w:ascii="宋体" w:hAnsi="宋体"/>
                      <w:color w:val="auto"/>
                      <w:sz w:val="21"/>
                      <w:szCs w:val="21"/>
                    </w:rPr>
                    <w:t>三级标准</w:t>
                  </w:r>
                </w:p>
              </w:tc>
              <w:tc>
                <w:tcPr>
                  <w:tcW w:w="1126" w:type="dxa"/>
                  <w:tcBorders>
                    <w:top w:val="single" w:color="auto" w:sz="4" w:space="0"/>
                    <w:left w:val="nil"/>
                    <w:bottom w:val="single" w:color="auto" w:sz="4" w:space="0"/>
                    <w:right w:val="single" w:color="auto" w:sz="4" w:space="0"/>
                  </w:tcBorders>
                  <w:vAlign w:val="center"/>
                </w:tcPr>
                <w:p w14:paraId="0969103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500</w:t>
                  </w:r>
                </w:p>
              </w:tc>
              <w:tc>
                <w:tcPr>
                  <w:tcW w:w="1126" w:type="dxa"/>
                  <w:tcBorders>
                    <w:top w:val="single" w:color="auto" w:sz="4" w:space="0"/>
                    <w:left w:val="nil"/>
                    <w:bottom w:val="single" w:color="auto" w:sz="4" w:space="0"/>
                    <w:right w:val="single" w:color="auto" w:sz="4" w:space="0"/>
                  </w:tcBorders>
                  <w:vAlign w:val="center"/>
                </w:tcPr>
                <w:p w14:paraId="5921779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300</w:t>
                  </w:r>
                </w:p>
              </w:tc>
              <w:tc>
                <w:tcPr>
                  <w:tcW w:w="1126" w:type="dxa"/>
                  <w:tcBorders>
                    <w:top w:val="single" w:color="auto" w:sz="4" w:space="0"/>
                    <w:left w:val="nil"/>
                    <w:bottom w:val="single" w:color="auto" w:sz="4" w:space="0"/>
                    <w:right w:val="single" w:color="auto" w:sz="4" w:space="0"/>
                  </w:tcBorders>
                  <w:vAlign w:val="center"/>
                </w:tcPr>
                <w:p w14:paraId="2EDBFDAD">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400</w:t>
                  </w:r>
                </w:p>
              </w:tc>
              <w:tc>
                <w:tcPr>
                  <w:tcW w:w="1126" w:type="dxa"/>
                  <w:tcBorders>
                    <w:top w:val="single" w:color="auto" w:sz="4" w:space="0"/>
                    <w:left w:val="nil"/>
                    <w:bottom w:val="single" w:color="auto" w:sz="4" w:space="0"/>
                    <w:right w:val="single" w:color="auto" w:sz="4" w:space="0"/>
                  </w:tcBorders>
                  <w:vAlign w:val="center"/>
                </w:tcPr>
                <w:p w14:paraId="74D0E26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w:t>
                  </w:r>
                </w:p>
              </w:tc>
              <w:tc>
                <w:tcPr>
                  <w:tcW w:w="1133" w:type="dxa"/>
                  <w:tcBorders>
                    <w:top w:val="single" w:color="auto" w:sz="4" w:space="0"/>
                    <w:left w:val="nil"/>
                    <w:bottom w:val="single" w:color="auto" w:sz="4" w:space="0"/>
                    <w:right w:val="single" w:color="auto" w:sz="4" w:space="0"/>
                  </w:tcBorders>
                  <w:vAlign w:val="center"/>
                </w:tcPr>
                <w:p w14:paraId="5EA281C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w:t>
                  </w:r>
                </w:p>
              </w:tc>
            </w:tr>
            <w:tr w14:paraId="21DB4BF9">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D04CA8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达标情况</w:t>
                  </w:r>
                </w:p>
              </w:tc>
              <w:tc>
                <w:tcPr>
                  <w:tcW w:w="1126" w:type="dxa"/>
                  <w:tcBorders>
                    <w:top w:val="single" w:color="auto" w:sz="4" w:space="0"/>
                    <w:left w:val="nil"/>
                    <w:bottom w:val="single" w:color="auto" w:sz="4" w:space="0"/>
                    <w:right w:val="single" w:color="auto" w:sz="4" w:space="0"/>
                  </w:tcBorders>
                  <w:vAlign w:val="center"/>
                </w:tcPr>
                <w:p w14:paraId="43EB146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vAlign w:val="center"/>
                </w:tcPr>
                <w:p w14:paraId="5696DFD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vAlign w:val="center"/>
                </w:tcPr>
                <w:p w14:paraId="0640CBC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shd w:val="clear" w:color="auto" w:fill="auto"/>
                  <w:vAlign w:val="center"/>
                </w:tcPr>
                <w:p w14:paraId="54791E3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1133" w:type="dxa"/>
                  <w:tcBorders>
                    <w:top w:val="single" w:color="auto" w:sz="4" w:space="0"/>
                    <w:left w:val="nil"/>
                    <w:bottom w:val="single" w:color="auto" w:sz="4" w:space="0"/>
                    <w:right w:val="single" w:color="auto" w:sz="4" w:space="0"/>
                  </w:tcBorders>
                  <w:shd w:val="clear" w:color="auto" w:fill="auto"/>
                  <w:vAlign w:val="center"/>
                </w:tcPr>
                <w:p w14:paraId="0865BC46">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162A364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15981B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c>
                <w:tcPr>
                  <w:tcW w:w="5637" w:type="dxa"/>
                  <w:gridSpan w:val="5"/>
                  <w:tcBorders>
                    <w:top w:val="single" w:color="auto" w:sz="4" w:space="0"/>
                    <w:left w:val="nil"/>
                    <w:bottom w:val="single" w:color="auto" w:sz="4" w:space="0"/>
                    <w:right w:val="single" w:color="auto" w:sz="4" w:space="0"/>
                  </w:tcBorders>
                  <w:vAlign w:val="center"/>
                </w:tcPr>
                <w:p w14:paraId="0B95061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生活废水进入化粪池处理后，由于项目区未接通园区管网，定期委托环卫</w:t>
                  </w:r>
                  <w:r>
                    <w:rPr>
                      <w:rFonts w:hint="default" w:ascii="Times New Roman" w:hAnsi="Times New Roman" w:cs="Times New Roman"/>
                      <w:color w:val="auto"/>
                      <w:sz w:val="21"/>
                      <w:szCs w:val="21"/>
                      <w:highlight w:val="none"/>
                    </w:rPr>
                    <w:t>部门清掏</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highlight w:val="none"/>
                    </w:rPr>
                    <w:t>不外排</w:t>
                  </w:r>
                  <w:r>
                    <w:rPr>
                      <w:rFonts w:hint="default" w:ascii="Times New Roman" w:hAnsi="Times New Roman" w:cs="Times New Roman"/>
                      <w:color w:val="auto"/>
                      <w:sz w:val="21"/>
                      <w:szCs w:val="21"/>
                    </w:rPr>
                    <w:t>。若今后项目区接通园区管网，项目生活废水经化粪池处理后排入园区市政污水管网，排放标准执行《污水综合排放标准》（GB8978-1996）三级标准。</w:t>
                  </w:r>
                </w:p>
              </w:tc>
            </w:tr>
          </w:tbl>
          <w:p w14:paraId="74B66404">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（2）生产废水</w:t>
            </w:r>
          </w:p>
          <w:p w14:paraId="091328F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color w:val="auto"/>
                <w:kern w:val="0"/>
                <w:lang w:val="en-US" w:eastAsia="zh-CN"/>
              </w:rPr>
            </w:pPr>
            <w:r>
              <w:rPr>
                <w:rFonts w:hint="eastAsia"/>
                <w:color w:val="auto"/>
                <w:vertAlign w:val="baseline"/>
                <w:lang w:val="en-US" w:eastAsia="zh-CN"/>
              </w:rPr>
              <w:t>罐车清洗废水产生量为</w:t>
            </w:r>
            <w:r>
              <w:rPr>
                <w:rFonts w:hint="eastAsia"/>
                <w:b w:val="0"/>
                <w:bCs/>
                <w:color w:val="auto"/>
                <w:kern w:val="0"/>
                <w:lang w:val="en-US" w:eastAsia="zh-CN"/>
              </w:rPr>
              <w:t>1.023m</w:t>
            </w:r>
            <w:r>
              <w:rPr>
                <w:rFonts w:hint="eastAsia"/>
                <w:b w:val="0"/>
                <w:bCs/>
                <w:color w:val="auto"/>
                <w:kern w:val="0"/>
                <w:vertAlign w:val="superscript"/>
                <w:lang w:val="en-US" w:eastAsia="zh-CN"/>
              </w:rPr>
              <w:t>3</w:t>
            </w:r>
            <w:r>
              <w:rPr>
                <w:rFonts w:hint="eastAsia"/>
                <w:b w:val="0"/>
                <w:bCs/>
                <w:color w:val="auto"/>
                <w:kern w:val="0"/>
                <w:lang w:val="en-US" w:eastAsia="zh-CN"/>
              </w:rPr>
              <w:t>/d，306.9m</w:t>
            </w:r>
            <w:r>
              <w:rPr>
                <w:rFonts w:hint="eastAsia"/>
                <w:b w:val="0"/>
                <w:bCs/>
                <w:color w:val="auto"/>
                <w:kern w:val="0"/>
                <w:vertAlign w:val="superscript"/>
                <w:lang w:val="en-US" w:eastAsia="zh-CN"/>
              </w:rPr>
              <w:t>3</w:t>
            </w:r>
            <w:r>
              <w:rPr>
                <w:rFonts w:hint="eastAsia"/>
                <w:b w:val="0"/>
                <w:bCs/>
                <w:color w:val="auto"/>
                <w:kern w:val="0"/>
                <w:lang w:val="en-US" w:eastAsia="zh-CN"/>
              </w:rPr>
              <w:t>/a。本</w:t>
            </w:r>
            <w:r>
              <w:rPr>
                <w:rFonts w:hint="eastAsia"/>
                <w:color w:val="auto"/>
                <w:vertAlign w:val="baseline"/>
                <w:lang w:val="en-US" w:eastAsia="zh-CN"/>
              </w:rPr>
              <w:t>项目清洗罐车类型为柴油罐车，罐车清洗废水中污染物主要为SS、石油类等污染物，一体化污水处理设施采用</w:t>
            </w:r>
            <w:r>
              <w:rPr>
                <w:rFonts w:hint="eastAsia"/>
                <w:color w:val="auto"/>
                <w:vertAlign w:val="baseline"/>
              </w:rPr>
              <w:t>“</w:t>
            </w:r>
            <w:r>
              <w:rPr>
                <w:rFonts w:hint="eastAsia"/>
                <w:color w:val="auto"/>
                <w:sz w:val="24"/>
                <w:lang w:val="en-US" w:eastAsia="zh-CN"/>
              </w:rPr>
              <w:t>pH调节+絮凝混凝气浮+过滤</w:t>
            </w:r>
            <w:r>
              <w:rPr>
                <w:rFonts w:hint="eastAsia"/>
                <w:color w:val="auto"/>
                <w:vertAlign w:val="baseline"/>
              </w:rPr>
              <w:t>”</w:t>
            </w:r>
            <w:r>
              <w:rPr>
                <w:rFonts w:hint="eastAsia"/>
                <w:color w:val="auto"/>
                <w:vertAlign w:val="baseline"/>
                <w:lang w:val="en-US" w:eastAsia="zh-CN"/>
              </w:rPr>
              <w:t>工艺。</w:t>
            </w:r>
            <w:r>
              <w:rPr>
                <w:rFonts w:hint="eastAsia"/>
                <w:b w:val="0"/>
                <w:bCs/>
                <w:color w:val="auto"/>
                <w:kern w:val="0"/>
                <w:lang w:val="en-US" w:eastAsia="zh-CN"/>
              </w:rPr>
              <w:t>生产废水源强采用一体化污水处理设备采购安装调试时的数据，（设备调试时的废水为高压清洗废水，高压清洗废水与蒸汽清洗废水均源自罐内残留柴油清洗，二者同属含油废水，主要污染因子均为SS、石油类。且项目运行过程中以高压清洗为主，少量罐车采用蒸汽清洗），一体化污水处理设施采购安装调试时建设单位分别对进出口水质进行了检测，具体数据如下：</w:t>
            </w:r>
          </w:p>
          <w:p w14:paraId="1ED35138">
            <w:pPr>
              <w:keepNext w:val="0"/>
              <w:keepLines w:val="0"/>
              <w:suppressLineNumbers w:val="0"/>
              <w:spacing w:before="0" w:beforeAutospacing="0" w:after="0" w:afterAutospacing="0"/>
              <w:ind w:left="0" w:right="0" w:firstLine="482"/>
              <w:jc w:val="center"/>
              <w:rPr>
                <w:rFonts w:hint="default" w:eastAsia="宋体"/>
                <w:bCs/>
                <w:color w:val="auto"/>
                <w:sz w:val="21"/>
                <w:szCs w:val="21"/>
                <w:lang w:val="en-US" w:eastAsia="zh-CN"/>
              </w:rPr>
            </w:pPr>
            <w:r>
              <w:rPr>
                <w:rFonts w:hint="default" w:ascii="宋体" w:hAnsi="宋体"/>
                <w:b/>
                <w:bCs/>
                <w:color w:val="auto"/>
                <w:kern w:val="0"/>
                <w:sz w:val="21"/>
                <w:szCs w:val="21"/>
              </w:rPr>
              <w:t>表</w:t>
            </w:r>
            <w:r>
              <w:rPr>
                <w:rFonts w:hint="eastAsia"/>
                <w:b/>
                <w:bCs/>
                <w:color w:val="auto"/>
                <w:kern w:val="0"/>
                <w:sz w:val="21"/>
                <w:szCs w:val="21"/>
              </w:rPr>
              <w:t>4</w:t>
            </w:r>
            <w:r>
              <w:rPr>
                <w:rFonts w:hint="default"/>
                <w:b/>
                <w:bCs/>
                <w:color w:val="auto"/>
                <w:kern w:val="0"/>
                <w:sz w:val="21"/>
                <w:szCs w:val="21"/>
              </w:rPr>
              <w:t>-</w:t>
            </w:r>
            <w:r>
              <w:rPr>
                <w:rFonts w:hint="eastAsia"/>
                <w:b/>
                <w:bCs/>
                <w:color w:val="auto"/>
                <w:kern w:val="0"/>
                <w:sz w:val="21"/>
                <w:szCs w:val="21"/>
                <w:lang w:val="en-US" w:eastAsia="zh-CN"/>
              </w:rPr>
              <w:t>5</w:t>
            </w:r>
            <w:r>
              <w:rPr>
                <w:rFonts w:hint="eastAsia"/>
                <w:b/>
                <w:bCs/>
                <w:color w:val="auto"/>
                <w:kern w:val="0"/>
                <w:sz w:val="21"/>
                <w:szCs w:val="21"/>
              </w:rPr>
              <w:t xml:space="preserve">  </w:t>
            </w:r>
            <w:r>
              <w:rPr>
                <w:rFonts w:hint="default" w:ascii="宋体" w:hAnsi="宋体"/>
                <w:b/>
                <w:bCs/>
                <w:color w:val="auto"/>
                <w:kern w:val="0"/>
                <w:sz w:val="21"/>
                <w:szCs w:val="21"/>
              </w:rPr>
              <w:t>废水</w:t>
            </w:r>
            <w:r>
              <w:rPr>
                <w:rFonts w:hint="eastAsia" w:ascii="宋体" w:hAnsi="宋体"/>
                <w:b/>
                <w:bCs/>
                <w:color w:val="auto"/>
                <w:kern w:val="0"/>
                <w:sz w:val="21"/>
                <w:szCs w:val="21"/>
                <w:lang w:val="en-US" w:eastAsia="zh-CN"/>
              </w:rPr>
              <w:t>检测数据一览表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810"/>
              <w:gridCol w:w="765"/>
              <w:gridCol w:w="750"/>
              <w:gridCol w:w="765"/>
              <w:gridCol w:w="2160"/>
              <w:gridCol w:w="689"/>
            </w:tblGrid>
            <w:tr w14:paraId="546B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0A9DA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检测点位</w:t>
                  </w:r>
                </w:p>
              </w:tc>
              <w:tc>
                <w:tcPr>
                  <w:tcW w:w="1003" w:type="pct"/>
                  <w:gridSpan w:val="2"/>
                  <w:vAlign w:val="center"/>
                </w:tcPr>
                <w:p w14:paraId="34A585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隔油沉淀池（进口）</w:t>
                  </w:r>
                </w:p>
              </w:tc>
              <w:tc>
                <w:tcPr>
                  <w:tcW w:w="965" w:type="pct"/>
                  <w:gridSpan w:val="2"/>
                  <w:vAlign w:val="center"/>
                </w:tcPr>
                <w:p w14:paraId="27D17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一体化污水处理设施出口</w:t>
                  </w:r>
                </w:p>
              </w:tc>
              <w:tc>
                <w:tcPr>
                  <w:tcW w:w="1376" w:type="pct"/>
                  <w:vAlign w:val="center"/>
                </w:tcPr>
                <w:p w14:paraId="280EB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《城市污水再生利用 城市杂用水水质》（GB/T18920-2020）</w:t>
                  </w:r>
                </w:p>
              </w:tc>
              <w:tc>
                <w:tcPr>
                  <w:tcW w:w="439" w:type="pct"/>
                  <w:vAlign w:val="center"/>
                </w:tcPr>
                <w:p w14:paraId="5E21C7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达标情况</w:t>
                  </w:r>
                </w:p>
              </w:tc>
            </w:tr>
            <w:tr w14:paraId="1B84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730EE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pH（无量纲）</w:t>
                  </w:r>
                </w:p>
              </w:tc>
              <w:tc>
                <w:tcPr>
                  <w:tcW w:w="516" w:type="pct"/>
                  <w:vAlign w:val="center"/>
                </w:tcPr>
                <w:p w14:paraId="487CC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7.9</w:t>
                  </w:r>
                </w:p>
              </w:tc>
              <w:tc>
                <w:tcPr>
                  <w:tcW w:w="487" w:type="pct"/>
                  <w:vAlign w:val="center"/>
                </w:tcPr>
                <w:p w14:paraId="5A9D5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7.9</w:t>
                  </w:r>
                </w:p>
              </w:tc>
              <w:tc>
                <w:tcPr>
                  <w:tcW w:w="478" w:type="pct"/>
                  <w:vAlign w:val="center"/>
                </w:tcPr>
                <w:p w14:paraId="0A58D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7.8</w:t>
                  </w:r>
                </w:p>
              </w:tc>
              <w:tc>
                <w:tcPr>
                  <w:tcW w:w="487" w:type="pct"/>
                  <w:vAlign w:val="center"/>
                </w:tcPr>
                <w:p w14:paraId="510E7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7.7</w:t>
                  </w:r>
                </w:p>
              </w:tc>
              <w:tc>
                <w:tcPr>
                  <w:tcW w:w="1376" w:type="pct"/>
                  <w:vAlign w:val="center"/>
                </w:tcPr>
                <w:p w14:paraId="6697B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6.0~9.0</w:t>
                  </w:r>
                </w:p>
              </w:tc>
              <w:tc>
                <w:tcPr>
                  <w:tcW w:w="439" w:type="pct"/>
                  <w:vAlign w:val="center"/>
                </w:tcPr>
                <w:p w14:paraId="608AC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18F0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6EFF9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溶解氧</w:t>
                  </w:r>
                </w:p>
              </w:tc>
              <w:tc>
                <w:tcPr>
                  <w:tcW w:w="516" w:type="pct"/>
                  <w:vAlign w:val="center"/>
                </w:tcPr>
                <w:p w14:paraId="4C893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0.59</w:t>
                  </w:r>
                </w:p>
              </w:tc>
              <w:tc>
                <w:tcPr>
                  <w:tcW w:w="487" w:type="pct"/>
                  <w:vAlign w:val="center"/>
                </w:tcPr>
                <w:p w14:paraId="271AA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0.71</w:t>
                  </w:r>
                </w:p>
              </w:tc>
              <w:tc>
                <w:tcPr>
                  <w:tcW w:w="478" w:type="pct"/>
                  <w:vAlign w:val="center"/>
                </w:tcPr>
                <w:p w14:paraId="024777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2.23</w:t>
                  </w:r>
                </w:p>
              </w:tc>
              <w:tc>
                <w:tcPr>
                  <w:tcW w:w="487" w:type="pct"/>
                  <w:vAlign w:val="center"/>
                </w:tcPr>
                <w:p w14:paraId="4AF9C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2.36</w:t>
                  </w:r>
                </w:p>
              </w:tc>
              <w:tc>
                <w:tcPr>
                  <w:tcW w:w="1376" w:type="pct"/>
                  <w:vAlign w:val="center"/>
                </w:tcPr>
                <w:p w14:paraId="39BA4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≥2.0</w:t>
                  </w:r>
                </w:p>
              </w:tc>
              <w:tc>
                <w:tcPr>
                  <w:tcW w:w="439" w:type="pct"/>
                  <w:vAlign w:val="center"/>
                </w:tcPr>
                <w:p w14:paraId="7D71A7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566C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470AD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浊度（NTU）</w:t>
                  </w:r>
                </w:p>
              </w:tc>
              <w:tc>
                <w:tcPr>
                  <w:tcW w:w="516" w:type="pct"/>
                  <w:vAlign w:val="center"/>
                </w:tcPr>
                <w:p w14:paraId="136EA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w:t>
                  </w:r>
                </w:p>
              </w:tc>
              <w:tc>
                <w:tcPr>
                  <w:tcW w:w="487" w:type="pct"/>
                  <w:vAlign w:val="center"/>
                </w:tcPr>
                <w:p w14:paraId="79AF8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w:t>
                  </w:r>
                </w:p>
              </w:tc>
              <w:tc>
                <w:tcPr>
                  <w:tcW w:w="478" w:type="pct"/>
                  <w:vAlign w:val="center"/>
                </w:tcPr>
                <w:p w14:paraId="07890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w:t>
                  </w:r>
                </w:p>
              </w:tc>
              <w:tc>
                <w:tcPr>
                  <w:tcW w:w="487" w:type="pct"/>
                  <w:vAlign w:val="center"/>
                </w:tcPr>
                <w:p w14:paraId="2209C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w:t>
                  </w:r>
                </w:p>
              </w:tc>
              <w:tc>
                <w:tcPr>
                  <w:tcW w:w="1376" w:type="pct"/>
                  <w:vAlign w:val="center"/>
                </w:tcPr>
                <w:p w14:paraId="4F620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≤5</w:t>
                  </w:r>
                </w:p>
              </w:tc>
              <w:tc>
                <w:tcPr>
                  <w:tcW w:w="439" w:type="pct"/>
                  <w:vAlign w:val="center"/>
                </w:tcPr>
                <w:p w14:paraId="4CBF5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37EA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15A48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色度（度）</w:t>
                  </w:r>
                </w:p>
              </w:tc>
              <w:tc>
                <w:tcPr>
                  <w:tcW w:w="516" w:type="pct"/>
                  <w:vAlign w:val="center"/>
                </w:tcPr>
                <w:p w14:paraId="4E4D0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w:t>
                  </w:r>
                </w:p>
              </w:tc>
              <w:tc>
                <w:tcPr>
                  <w:tcW w:w="487" w:type="pct"/>
                  <w:vAlign w:val="center"/>
                </w:tcPr>
                <w:p w14:paraId="20D6CC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w:t>
                  </w:r>
                </w:p>
              </w:tc>
              <w:tc>
                <w:tcPr>
                  <w:tcW w:w="478" w:type="pct"/>
                  <w:vAlign w:val="center"/>
                </w:tcPr>
                <w:p w14:paraId="025D0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5</w:t>
                  </w:r>
                </w:p>
              </w:tc>
              <w:tc>
                <w:tcPr>
                  <w:tcW w:w="487" w:type="pct"/>
                  <w:vAlign w:val="center"/>
                </w:tcPr>
                <w:p w14:paraId="6EB6B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5</w:t>
                  </w:r>
                </w:p>
              </w:tc>
              <w:tc>
                <w:tcPr>
                  <w:tcW w:w="1376" w:type="pct"/>
                  <w:vAlign w:val="center"/>
                </w:tcPr>
                <w:p w14:paraId="2489E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15</w:t>
                  </w:r>
                </w:p>
              </w:tc>
              <w:tc>
                <w:tcPr>
                  <w:tcW w:w="439" w:type="pct"/>
                  <w:vAlign w:val="center"/>
                </w:tcPr>
                <w:p w14:paraId="324F9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6134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03521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臭（强度）</w:t>
                  </w:r>
                </w:p>
              </w:tc>
              <w:tc>
                <w:tcPr>
                  <w:tcW w:w="516" w:type="pct"/>
                  <w:vAlign w:val="center"/>
                </w:tcPr>
                <w:p w14:paraId="41308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w:t>
                  </w:r>
                </w:p>
              </w:tc>
              <w:tc>
                <w:tcPr>
                  <w:tcW w:w="487" w:type="pct"/>
                  <w:vAlign w:val="center"/>
                </w:tcPr>
                <w:p w14:paraId="52A10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w:t>
                  </w:r>
                </w:p>
              </w:tc>
              <w:tc>
                <w:tcPr>
                  <w:tcW w:w="478" w:type="pct"/>
                  <w:vAlign w:val="center"/>
                </w:tcPr>
                <w:p w14:paraId="54EBFF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w:t>
                  </w:r>
                </w:p>
              </w:tc>
              <w:tc>
                <w:tcPr>
                  <w:tcW w:w="487" w:type="pct"/>
                  <w:vAlign w:val="center"/>
                </w:tcPr>
                <w:p w14:paraId="10F6A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w:t>
                  </w:r>
                </w:p>
              </w:tc>
              <w:tc>
                <w:tcPr>
                  <w:tcW w:w="1376" w:type="pct"/>
                  <w:vAlign w:val="center"/>
                </w:tcPr>
                <w:p w14:paraId="37D97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无不快感</w:t>
                  </w:r>
                </w:p>
              </w:tc>
              <w:tc>
                <w:tcPr>
                  <w:tcW w:w="439" w:type="pct"/>
                  <w:vAlign w:val="center"/>
                </w:tcPr>
                <w:p w14:paraId="66899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14AA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2F012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溶解性总固体</w:t>
                  </w:r>
                </w:p>
              </w:tc>
              <w:tc>
                <w:tcPr>
                  <w:tcW w:w="516" w:type="pct"/>
                  <w:vAlign w:val="center"/>
                </w:tcPr>
                <w:p w14:paraId="6F403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824</w:t>
                  </w:r>
                </w:p>
              </w:tc>
              <w:tc>
                <w:tcPr>
                  <w:tcW w:w="487" w:type="pct"/>
                  <w:vAlign w:val="center"/>
                </w:tcPr>
                <w:p w14:paraId="2247A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756</w:t>
                  </w:r>
                </w:p>
              </w:tc>
              <w:tc>
                <w:tcPr>
                  <w:tcW w:w="478" w:type="pct"/>
                  <w:vAlign w:val="center"/>
                </w:tcPr>
                <w:p w14:paraId="629F9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417</w:t>
                  </w:r>
                </w:p>
              </w:tc>
              <w:tc>
                <w:tcPr>
                  <w:tcW w:w="487" w:type="pct"/>
                  <w:vAlign w:val="center"/>
                </w:tcPr>
                <w:p w14:paraId="607D7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372</w:t>
                  </w:r>
                </w:p>
              </w:tc>
              <w:tc>
                <w:tcPr>
                  <w:tcW w:w="1376" w:type="pct"/>
                  <w:vAlign w:val="center"/>
                </w:tcPr>
                <w:p w14:paraId="166C5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1000</w:t>
                  </w:r>
                </w:p>
              </w:tc>
              <w:tc>
                <w:tcPr>
                  <w:tcW w:w="439" w:type="pct"/>
                  <w:vAlign w:val="center"/>
                </w:tcPr>
                <w:p w14:paraId="72EEF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10B1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79938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悬浮物</w:t>
                  </w:r>
                </w:p>
              </w:tc>
              <w:tc>
                <w:tcPr>
                  <w:tcW w:w="516" w:type="pct"/>
                  <w:vAlign w:val="center"/>
                </w:tcPr>
                <w:p w14:paraId="3BD1B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9</w:t>
                  </w:r>
                </w:p>
              </w:tc>
              <w:tc>
                <w:tcPr>
                  <w:tcW w:w="487" w:type="pct"/>
                  <w:vAlign w:val="center"/>
                </w:tcPr>
                <w:p w14:paraId="17F2C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8</w:t>
                  </w:r>
                </w:p>
              </w:tc>
              <w:tc>
                <w:tcPr>
                  <w:tcW w:w="478" w:type="pct"/>
                  <w:vAlign w:val="center"/>
                </w:tcPr>
                <w:p w14:paraId="38F452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6</w:t>
                  </w:r>
                </w:p>
              </w:tc>
              <w:tc>
                <w:tcPr>
                  <w:tcW w:w="487" w:type="pct"/>
                  <w:vAlign w:val="center"/>
                </w:tcPr>
                <w:p w14:paraId="7CBAB3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w:t>
                  </w:r>
                </w:p>
              </w:tc>
              <w:tc>
                <w:tcPr>
                  <w:tcW w:w="1376" w:type="pct"/>
                  <w:vAlign w:val="center"/>
                </w:tcPr>
                <w:p w14:paraId="2AEB9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44213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26F9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5B5B2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化学需氧量</w:t>
                  </w:r>
                </w:p>
              </w:tc>
              <w:tc>
                <w:tcPr>
                  <w:tcW w:w="516" w:type="pct"/>
                  <w:vAlign w:val="center"/>
                </w:tcPr>
                <w:p w14:paraId="06B3E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730</w:t>
                  </w:r>
                </w:p>
              </w:tc>
              <w:tc>
                <w:tcPr>
                  <w:tcW w:w="487" w:type="pct"/>
                  <w:vAlign w:val="center"/>
                </w:tcPr>
                <w:p w14:paraId="17DBE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704</w:t>
                  </w:r>
                </w:p>
              </w:tc>
              <w:tc>
                <w:tcPr>
                  <w:tcW w:w="478" w:type="pct"/>
                  <w:vAlign w:val="center"/>
                </w:tcPr>
                <w:p w14:paraId="32355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46</w:t>
                  </w:r>
                </w:p>
              </w:tc>
              <w:tc>
                <w:tcPr>
                  <w:tcW w:w="487" w:type="pct"/>
                  <w:vAlign w:val="center"/>
                </w:tcPr>
                <w:p w14:paraId="39DB5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43</w:t>
                  </w:r>
                </w:p>
              </w:tc>
              <w:tc>
                <w:tcPr>
                  <w:tcW w:w="1376" w:type="pct"/>
                  <w:vAlign w:val="center"/>
                </w:tcPr>
                <w:p w14:paraId="38113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6D0C4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2F7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49E466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五日生化需氧量</w:t>
                  </w:r>
                </w:p>
              </w:tc>
              <w:tc>
                <w:tcPr>
                  <w:tcW w:w="516" w:type="pct"/>
                  <w:vAlign w:val="center"/>
                </w:tcPr>
                <w:p w14:paraId="31DB7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282</w:t>
                  </w:r>
                </w:p>
              </w:tc>
              <w:tc>
                <w:tcPr>
                  <w:tcW w:w="487" w:type="pct"/>
                  <w:vAlign w:val="center"/>
                </w:tcPr>
                <w:p w14:paraId="47A94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274</w:t>
                  </w:r>
                </w:p>
              </w:tc>
              <w:tc>
                <w:tcPr>
                  <w:tcW w:w="478" w:type="pct"/>
                  <w:vAlign w:val="center"/>
                </w:tcPr>
                <w:p w14:paraId="6A6BE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9.0</w:t>
                  </w:r>
                </w:p>
              </w:tc>
              <w:tc>
                <w:tcPr>
                  <w:tcW w:w="487" w:type="pct"/>
                  <w:vAlign w:val="center"/>
                </w:tcPr>
                <w:p w14:paraId="4B7CC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8.4</w:t>
                  </w:r>
                </w:p>
              </w:tc>
              <w:tc>
                <w:tcPr>
                  <w:tcW w:w="1376" w:type="pct"/>
                  <w:vAlign w:val="center"/>
                </w:tcPr>
                <w:p w14:paraId="43A7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10</w:t>
                  </w:r>
                </w:p>
              </w:tc>
              <w:tc>
                <w:tcPr>
                  <w:tcW w:w="439" w:type="pct"/>
                  <w:vAlign w:val="center"/>
                </w:tcPr>
                <w:p w14:paraId="1E642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4468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3812D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总磷</w:t>
                  </w:r>
                </w:p>
              </w:tc>
              <w:tc>
                <w:tcPr>
                  <w:tcW w:w="516" w:type="pct"/>
                  <w:vAlign w:val="center"/>
                </w:tcPr>
                <w:p w14:paraId="56EFA1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1.08</w:t>
                  </w:r>
                </w:p>
              </w:tc>
              <w:tc>
                <w:tcPr>
                  <w:tcW w:w="487" w:type="pct"/>
                  <w:vAlign w:val="center"/>
                </w:tcPr>
                <w:p w14:paraId="73ADC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1.10</w:t>
                  </w:r>
                </w:p>
              </w:tc>
              <w:tc>
                <w:tcPr>
                  <w:tcW w:w="478" w:type="pct"/>
                  <w:vAlign w:val="center"/>
                </w:tcPr>
                <w:p w14:paraId="1917EF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0.52</w:t>
                  </w:r>
                </w:p>
              </w:tc>
              <w:tc>
                <w:tcPr>
                  <w:tcW w:w="487" w:type="pct"/>
                  <w:vAlign w:val="center"/>
                </w:tcPr>
                <w:p w14:paraId="522CC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0.56</w:t>
                  </w:r>
                </w:p>
              </w:tc>
              <w:tc>
                <w:tcPr>
                  <w:tcW w:w="1376" w:type="pct"/>
                  <w:vAlign w:val="center"/>
                </w:tcPr>
                <w:p w14:paraId="78296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4E651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6FAE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15A3A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总氮</w:t>
                  </w:r>
                </w:p>
              </w:tc>
              <w:tc>
                <w:tcPr>
                  <w:tcW w:w="516" w:type="pct"/>
                  <w:vAlign w:val="center"/>
                </w:tcPr>
                <w:p w14:paraId="5DA72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2.64</w:t>
                  </w:r>
                </w:p>
              </w:tc>
              <w:tc>
                <w:tcPr>
                  <w:tcW w:w="487" w:type="pct"/>
                  <w:vAlign w:val="center"/>
                </w:tcPr>
                <w:p w14:paraId="056CC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3.02</w:t>
                  </w:r>
                </w:p>
              </w:tc>
              <w:tc>
                <w:tcPr>
                  <w:tcW w:w="478" w:type="pct"/>
                  <w:vAlign w:val="center"/>
                </w:tcPr>
                <w:p w14:paraId="37F88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1.79</w:t>
                  </w:r>
                </w:p>
              </w:tc>
              <w:tc>
                <w:tcPr>
                  <w:tcW w:w="487" w:type="pct"/>
                  <w:vAlign w:val="center"/>
                </w:tcPr>
                <w:p w14:paraId="55997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1.81</w:t>
                  </w:r>
                </w:p>
              </w:tc>
              <w:tc>
                <w:tcPr>
                  <w:tcW w:w="1376" w:type="pct"/>
                  <w:vAlign w:val="center"/>
                </w:tcPr>
                <w:p w14:paraId="67CA2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27B9E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013F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6951D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氨氮</w:t>
                  </w:r>
                </w:p>
              </w:tc>
              <w:tc>
                <w:tcPr>
                  <w:tcW w:w="516" w:type="pct"/>
                  <w:vAlign w:val="center"/>
                </w:tcPr>
                <w:p w14:paraId="68B3A5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0.971</w:t>
                  </w:r>
                </w:p>
              </w:tc>
              <w:tc>
                <w:tcPr>
                  <w:tcW w:w="487" w:type="pct"/>
                  <w:vAlign w:val="center"/>
                </w:tcPr>
                <w:p w14:paraId="09C02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0.950</w:t>
                  </w:r>
                </w:p>
              </w:tc>
              <w:tc>
                <w:tcPr>
                  <w:tcW w:w="478" w:type="pct"/>
                  <w:vAlign w:val="center"/>
                </w:tcPr>
                <w:p w14:paraId="321BF3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0.706</w:t>
                  </w:r>
                </w:p>
              </w:tc>
              <w:tc>
                <w:tcPr>
                  <w:tcW w:w="487" w:type="pct"/>
                  <w:vAlign w:val="center"/>
                </w:tcPr>
                <w:p w14:paraId="4EDE7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0.839</w:t>
                  </w:r>
                </w:p>
              </w:tc>
              <w:tc>
                <w:tcPr>
                  <w:tcW w:w="1376" w:type="pct"/>
                  <w:vAlign w:val="center"/>
                </w:tcPr>
                <w:p w14:paraId="63013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5</w:t>
                  </w:r>
                </w:p>
              </w:tc>
              <w:tc>
                <w:tcPr>
                  <w:tcW w:w="439" w:type="pct"/>
                  <w:vAlign w:val="center"/>
                </w:tcPr>
                <w:p w14:paraId="35A661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0D1C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51DED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石油类</w:t>
                  </w:r>
                </w:p>
              </w:tc>
              <w:tc>
                <w:tcPr>
                  <w:tcW w:w="516" w:type="pct"/>
                  <w:vAlign w:val="center"/>
                </w:tcPr>
                <w:p w14:paraId="6DF63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38.4</w:t>
                  </w:r>
                </w:p>
              </w:tc>
              <w:tc>
                <w:tcPr>
                  <w:tcW w:w="487" w:type="pct"/>
                  <w:vAlign w:val="center"/>
                </w:tcPr>
                <w:p w14:paraId="56C22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39.8</w:t>
                  </w:r>
                </w:p>
              </w:tc>
              <w:tc>
                <w:tcPr>
                  <w:tcW w:w="478" w:type="pct"/>
                  <w:vAlign w:val="center"/>
                </w:tcPr>
                <w:p w14:paraId="7F6C1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3.14</w:t>
                  </w:r>
                </w:p>
              </w:tc>
              <w:tc>
                <w:tcPr>
                  <w:tcW w:w="487" w:type="pct"/>
                  <w:vAlign w:val="center"/>
                </w:tcPr>
                <w:p w14:paraId="63EBF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3.23</w:t>
                  </w:r>
                </w:p>
              </w:tc>
              <w:tc>
                <w:tcPr>
                  <w:tcW w:w="1376" w:type="pct"/>
                  <w:vAlign w:val="center"/>
                </w:tcPr>
                <w:p w14:paraId="4D7F1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vAlign w:val="center"/>
                </w:tcPr>
                <w:p w14:paraId="66FFA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r>
            <w:tr w14:paraId="7E3E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761CA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阴离子表明活性剂</w:t>
                  </w:r>
                </w:p>
              </w:tc>
              <w:tc>
                <w:tcPr>
                  <w:tcW w:w="516" w:type="pct"/>
                  <w:vAlign w:val="center"/>
                </w:tcPr>
                <w:p w14:paraId="78F10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0.08</w:t>
                  </w:r>
                </w:p>
              </w:tc>
              <w:tc>
                <w:tcPr>
                  <w:tcW w:w="487" w:type="pct"/>
                  <w:vAlign w:val="center"/>
                </w:tcPr>
                <w:p w14:paraId="4A490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0.08</w:t>
                  </w:r>
                </w:p>
              </w:tc>
              <w:tc>
                <w:tcPr>
                  <w:tcW w:w="478" w:type="pct"/>
                  <w:vAlign w:val="center"/>
                </w:tcPr>
                <w:p w14:paraId="27AE1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0.06</w:t>
                  </w:r>
                </w:p>
              </w:tc>
              <w:tc>
                <w:tcPr>
                  <w:tcW w:w="487" w:type="pct"/>
                  <w:vAlign w:val="center"/>
                </w:tcPr>
                <w:p w14:paraId="380EA0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0.07</w:t>
                  </w:r>
                </w:p>
              </w:tc>
              <w:tc>
                <w:tcPr>
                  <w:tcW w:w="1376" w:type="pct"/>
                  <w:vAlign w:val="center"/>
                </w:tcPr>
                <w:p w14:paraId="01DA5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0.5</w:t>
                  </w:r>
                </w:p>
              </w:tc>
              <w:tc>
                <w:tcPr>
                  <w:tcW w:w="439" w:type="pct"/>
                  <w:vAlign w:val="center"/>
                </w:tcPr>
                <w:p w14:paraId="17DAF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3621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503F9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挥发酚</w:t>
                  </w:r>
                </w:p>
              </w:tc>
              <w:tc>
                <w:tcPr>
                  <w:tcW w:w="516" w:type="pct"/>
                  <w:vAlign w:val="center"/>
                </w:tcPr>
                <w:p w14:paraId="10413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487" w:type="pct"/>
                  <w:vAlign w:val="center"/>
                </w:tcPr>
                <w:p w14:paraId="0026B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478" w:type="pct"/>
                  <w:vAlign w:val="center"/>
                </w:tcPr>
                <w:p w14:paraId="0E97F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487" w:type="pct"/>
                  <w:vAlign w:val="center"/>
                </w:tcPr>
                <w:p w14:paraId="48AFC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1376" w:type="pct"/>
                  <w:vAlign w:val="center"/>
                </w:tcPr>
                <w:p w14:paraId="70EEC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7AC84B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133F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4E403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硫酸盐</w:t>
                  </w:r>
                </w:p>
              </w:tc>
              <w:tc>
                <w:tcPr>
                  <w:tcW w:w="516" w:type="pct"/>
                  <w:vAlign w:val="center"/>
                </w:tcPr>
                <w:p w14:paraId="6C210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49</w:t>
                  </w:r>
                </w:p>
              </w:tc>
              <w:tc>
                <w:tcPr>
                  <w:tcW w:w="487" w:type="pct"/>
                  <w:vAlign w:val="center"/>
                </w:tcPr>
                <w:p w14:paraId="76844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47</w:t>
                  </w:r>
                </w:p>
              </w:tc>
              <w:tc>
                <w:tcPr>
                  <w:tcW w:w="478" w:type="pct"/>
                  <w:vAlign w:val="center"/>
                </w:tcPr>
                <w:p w14:paraId="1FC09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16</w:t>
                  </w:r>
                </w:p>
              </w:tc>
              <w:tc>
                <w:tcPr>
                  <w:tcW w:w="487" w:type="pct"/>
                  <w:vAlign w:val="center"/>
                </w:tcPr>
                <w:p w14:paraId="1F093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15</w:t>
                  </w:r>
                </w:p>
              </w:tc>
              <w:tc>
                <w:tcPr>
                  <w:tcW w:w="1376" w:type="pct"/>
                  <w:vAlign w:val="center"/>
                </w:tcPr>
                <w:p w14:paraId="7AC0F9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12C43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4B86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4F741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硫化物</w:t>
                  </w:r>
                </w:p>
              </w:tc>
              <w:tc>
                <w:tcPr>
                  <w:tcW w:w="516" w:type="pct"/>
                  <w:vAlign w:val="center"/>
                </w:tcPr>
                <w:p w14:paraId="3172D4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0.02</w:t>
                  </w:r>
                </w:p>
              </w:tc>
              <w:tc>
                <w:tcPr>
                  <w:tcW w:w="487" w:type="pct"/>
                  <w:vAlign w:val="center"/>
                </w:tcPr>
                <w:p w14:paraId="4FC4A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0.02</w:t>
                  </w:r>
                </w:p>
              </w:tc>
              <w:tc>
                <w:tcPr>
                  <w:tcW w:w="478" w:type="pct"/>
                  <w:vAlign w:val="center"/>
                </w:tcPr>
                <w:p w14:paraId="5E61A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487" w:type="pct"/>
                  <w:vAlign w:val="center"/>
                </w:tcPr>
                <w:p w14:paraId="03E61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0.01L</w:t>
                  </w:r>
                </w:p>
              </w:tc>
              <w:tc>
                <w:tcPr>
                  <w:tcW w:w="1376" w:type="pct"/>
                  <w:vAlign w:val="center"/>
                </w:tcPr>
                <w:p w14:paraId="67691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6E387F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133F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7BA4D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铁</w:t>
                  </w:r>
                </w:p>
              </w:tc>
              <w:tc>
                <w:tcPr>
                  <w:tcW w:w="516" w:type="pct"/>
                  <w:vAlign w:val="center"/>
                </w:tcPr>
                <w:p w14:paraId="62887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0.13</w:t>
                  </w:r>
                </w:p>
              </w:tc>
              <w:tc>
                <w:tcPr>
                  <w:tcW w:w="487" w:type="pct"/>
                  <w:vAlign w:val="center"/>
                </w:tcPr>
                <w:p w14:paraId="1AD02F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0.26</w:t>
                  </w:r>
                </w:p>
              </w:tc>
              <w:tc>
                <w:tcPr>
                  <w:tcW w:w="478" w:type="pct"/>
                  <w:vAlign w:val="center"/>
                </w:tcPr>
                <w:p w14:paraId="60E4C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0.28</w:t>
                  </w:r>
                </w:p>
              </w:tc>
              <w:tc>
                <w:tcPr>
                  <w:tcW w:w="487" w:type="pct"/>
                  <w:vAlign w:val="center"/>
                </w:tcPr>
                <w:p w14:paraId="01D851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0.30</w:t>
                  </w:r>
                </w:p>
              </w:tc>
              <w:tc>
                <w:tcPr>
                  <w:tcW w:w="1376" w:type="pct"/>
                  <w:vAlign w:val="center"/>
                </w:tcPr>
                <w:p w14:paraId="07C39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0.3</w:t>
                  </w:r>
                </w:p>
              </w:tc>
              <w:tc>
                <w:tcPr>
                  <w:tcW w:w="439" w:type="pct"/>
                  <w:vAlign w:val="center"/>
                </w:tcPr>
                <w:p w14:paraId="3AA98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5B17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6FAE5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锰</w:t>
                  </w:r>
                </w:p>
              </w:tc>
              <w:tc>
                <w:tcPr>
                  <w:tcW w:w="516" w:type="pct"/>
                  <w:vAlign w:val="center"/>
                </w:tcPr>
                <w:p w14:paraId="1AFF0A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0.04</w:t>
                  </w:r>
                </w:p>
              </w:tc>
              <w:tc>
                <w:tcPr>
                  <w:tcW w:w="487" w:type="pct"/>
                  <w:vAlign w:val="center"/>
                </w:tcPr>
                <w:p w14:paraId="725E7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0.04</w:t>
                  </w:r>
                </w:p>
              </w:tc>
              <w:tc>
                <w:tcPr>
                  <w:tcW w:w="478" w:type="pct"/>
                  <w:vAlign w:val="center"/>
                </w:tcPr>
                <w:p w14:paraId="4961E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0.07</w:t>
                  </w:r>
                </w:p>
              </w:tc>
              <w:tc>
                <w:tcPr>
                  <w:tcW w:w="487" w:type="pct"/>
                  <w:vAlign w:val="center"/>
                </w:tcPr>
                <w:p w14:paraId="11F42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0.07</w:t>
                  </w:r>
                </w:p>
              </w:tc>
              <w:tc>
                <w:tcPr>
                  <w:tcW w:w="1376" w:type="pct"/>
                  <w:vAlign w:val="center"/>
                </w:tcPr>
                <w:p w14:paraId="6E21B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r>
                    <w:rPr>
                      <w:rFonts w:hint="default" w:ascii="Times New Roman" w:hAnsi="Times New Roman" w:cs="Times New Roman"/>
                      <w:b w:val="0"/>
                      <w:bCs/>
                      <w:color w:val="auto"/>
                      <w:kern w:val="0"/>
                      <w:sz w:val="21"/>
                      <w:szCs w:val="21"/>
                      <w:vertAlign w:val="baseline"/>
                      <w:lang w:val="en-US" w:eastAsia="zh-CN"/>
                    </w:rPr>
                    <w:t>0.1</w:t>
                  </w:r>
                </w:p>
              </w:tc>
              <w:tc>
                <w:tcPr>
                  <w:tcW w:w="439" w:type="pct"/>
                  <w:vAlign w:val="center"/>
                </w:tcPr>
                <w:p w14:paraId="7C5EF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r w14:paraId="6EF5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72612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苯</w:t>
                  </w:r>
                </w:p>
              </w:tc>
              <w:tc>
                <w:tcPr>
                  <w:tcW w:w="516" w:type="pct"/>
                  <w:vAlign w:val="center"/>
                </w:tcPr>
                <w:p w14:paraId="2DFF9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0.638</w:t>
                  </w:r>
                </w:p>
              </w:tc>
              <w:tc>
                <w:tcPr>
                  <w:tcW w:w="487" w:type="pct"/>
                  <w:vAlign w:val="center"/>
                </w:tcPr>
                <w:p w14:paraId="2C8246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0.934</w:t>
                  </w:r>
                </w:p>
              </w:tc>
              <w:tc>
                <w:tcPr>
                  <w:tcW w:w="478" w:type="pct"/>
                  <w:vAlign w:val="center"/>
                </w:tcPr>
                <w:p w14:paraId="13E502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0.012</w:t>
                  </w:r>
                </w:p>
              </w:tc>
              <w:tc>
                <w:tcPr>
                  <w:tcW w:w="487" w:type="pct"/>
                  <w:vAlign w:val="center"/>
                </w:tcPr>
                <w:p w14:paraId="4589D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0.013</w:t>
                  </w:r>
                </w:p>
              </w:tc>
              <w:tc>
                <w:tcPr>
                  <w:tcW w:w="1376" w:type="pct"/>
                  <w:vAlign w:val="center"/>
                </w:tcPr>
                <w:p w14:paraId="222DE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018C0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20BA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58F48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甲苯</w:t>
                  </w:r>
                </w:p>
              </w:tc>
              <w:tc>
                <w:tcPr>
                  <w:tcW w:w="516" w:type="pct"/>
                  <w:vAlign w:val="center"/>
                </w:tcPr>
                <w:p w14:paraId="6D17BE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0.792</w:t>
                  </w:r>
                </w:p>
              </w:tc>
              <w:tc>
                <w:tcPr>
                  <w:tcW w:w="487" w:type="pct"/>
                  <w:vAlign w:val="center"/>
                </w:tcPr>
                <w:p w14:paraId="2F2250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0.673</w:t>
                  </w:r>
                </w:p>
              </w:tc>
              <w:tc>
                <w:tcPr>
                  <w:tcW w:w="478" w:type="pct"/>
                  <w:vAlign w:val="center"/>
                </w:tcPr>
                <w:p w14:paraId="4991F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0.001</w:t>
                  </w:r>
                </w:p>
              </w:tc>
              <w:tc>
                <w:tcPr>
                  <w:tcW w:w="487" w:type="pct"/>
                  <w:vAlign w:val="center"/>
                </w:tcPr>
                <w:p w14:paraId="4544AB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0.001</w:t>
                  </w:r>
                </w:p>
              </w:tc>
              <w:tc>
                <w:tcPr>
                  <w:tcW w:w="1376" w:type="pct"/>
                  <w:vAlign w:val="center"/>
                </w:tcPr>
                <w:p w14:paraId="23FB6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w:t>
                  </w:r>
                </w:p>
              </w:tc>
              <w:tc>
                <w:tcPr>
                  <w:tcW w:w="439" w:type="pct"/>
                  <w:shd w:val="clear" w:color="auto" w:fill="auto"/>
                  <w:vAlign w:val="center"/>
                </w:tcPr>
                <w:p w14:paraId="7EF7B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rPr>
                    <w:t>/</w:t>
                  </w:r>
                </w:p>
              </w:tc>
            </w:tr>
            <w:tr w14:paraId="4BF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4" w:type="pct"/>
                  <w:vAlign w:val="center"/>
                </w:tcPr>
                <w:p w14:paraId="6D285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大肠埃希氏菌（MPN/L）</w:t>
                  </w:r>
                </w:p>
              </w:tc>
              <w:tc>
                <w:tcPr>
                  <w:tcW w:w="516" w:type="pct"/>
                  <w:vAlign w:val="center"/>
                </w:tcPr>
                <w:p w14:paraId="2AC49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10L</w:t>
                  </w:r>
                </w:p>
              </w:tc>
              <w:tc>
                <w:tcPr>
                  <w:tcW w:w="487" w:type="pct"/>
                  <w:vAlign w:val="center"/>
                </w:tcPr>
                <w:p w14:paraId="40809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10L</w:t>
                  </w:r>
                </w:p>
              </w:tc>
              <w:tc>
                <w:tcPr>
                  <w:tcW w:w="478" w:type="pct"/>
                  <w:vAlign w:val="center"/>
                </w:tcPr>
                <w:p w14:paraId="297A1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10L</w:t>
                  </w:r>
                </w:p>
              </w:tc>
              <w:tc>
                <w:tcPr>
                  <w:tcW w:w="487" w:type="pct"/>
                  <w:vAlign w:val="center"/>
                </w:tcPr>
                <w:p w14:paraId="722CC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10L</w:t>
                  </w:r>
                </w:p>
              </w:tc>
              <w:tc>
                <w:tcPr>
                  <w:tcW w:w="1376" w:type="pct"/>
                  <w:vAlign w:val="center"/>
                </w:tcPr>
                <w:p w14:paraId="36E19F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无</w:t>
                  </w:r>
                </w:p>
              </w:tc>
              <w:tc>
                <w:tcPr>
                  <w:tcW w:w="439" w:type="pct"/>
                  <w:vAlign w:val="center"/>
                </w:tcPr>
                <w:p w14:paraId="70742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达标</w:t>
                  </w:r>
                </w:p>
              </w:tc>
            </w:tr>
          </w:tbl>
          <w:p w14:paraId="7A44EB0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b w:val="0"/>
                <w:bCs/>
                <w:color w:val="auto"/>
                <w:kern w:val="0"/>
                <w:lang w:val="en-US" w:eastAsia="zh-CN"/>
              </w:rPr>
            </w:pPr>
            <w:r>
              <w:rPr>
                <w:rFonts w:hint="eastAsia"/>
                <w:b w:val="0"/>
                <w:bCs/>
                <w:color w:val="auto"/>
                <w:kern w:val="0"/>
                <w:lang w:val="en-US" w:eastAsia="zh-CN"/>
              </w:rPr>
              <w:t>根据上表数据，一体化污水处理设施出口水质满足《城市污水再生利用 城市杂用水水质》（GB/T18920-2020）中冲厕、车辆清洗标准，生产废水经处理后可回用于生产。</w:t>
            </w:r>
          </w:p>
          <w:p w14:paraId="5FF5AF18">
            <w:pPr>
              <w:keepNext w:val="0"/>
              <w:keepLines w:val="0"/>
              <w:suppressLineNumbers w:val="0"/>
              <w:spacing w:before="0" w:beforeAutospacing="0" w:after="0" w:afterAutospacing="0"/>
              <w:ind w:left="0" w:right="0" w:firstLine="482"/>
              <w:jc w:val="center"/>
              <w:rPr>
                <w:rFonts w:hint="default"/>
                <w:bCs/>
                <w:color w:val="auto"/>
                <w:sz w:val="21"/>
                <w:szCs w:val="21"/>
              </w:rPr>
            </w:pPr>
            <w:r>
              <w:rPr>
                <w:rFonts w:hint="default" w:ascii="宋体" w:hAnsi="宋体"/>
                <w:b/>
                <w:bCs/>
                <w:color w:val="auto"/>
                <w:kern w:val="0"/>
                <w:sz w:val="21"/>
                <w:szCs w:val="21"/>
              </w:rPr>
              <w:t>表</w:t>
            </w:r>
            <w:r>
              <w:rPr>
                <w:rFonts w:hint="eastAsia"/>
                <w:b/>
                <w:bCs/>
                <w:color w:val="auto"/>
                <w:kern w:val="0"/>
                <w:sz w:val="21"/>
                <w:szCs w:val="21"/>
              </w:rPr>
              <w:t>4</w:t>
            </w:r>
            <w:r>
              <w:rPr>
                <w:rFonts w:hint="default"/>
                <w:b/>
                <w:bCs/>
                <w:color w:val="auto"/>
                <w:kern w:val="0"/>
                <w:sz w:val="21"/>
                <w:szCs w:val="21"/>
              </w:rPr>
              <w:t>-</w:t>
            </w:r>
            <w:r>
              <w:rPr>
                <w:rFonts w:hint="eastAsia"/>
                <w:b/>
                <w:bCs/>
                <w:color w:val="auto"/>
                <w:kern w:val="0"/>
                <w:sz w:val="21"/>
                <w:szCs w:val="21"/>
                <w:lang w:val="en-US" w:eastAsia="zh-CN"/>
              </w:rPr>
              <w:t>5</w:t>
            </w:r>
            <w:r>
              <w:rPr>
                <w:rFonts w:hint="eastAsia"/>
                <w:b/>
                <w:bCs/>
                <w:color w:val="auto"/>
                <w:kern w:val="0"/>
                <w:sz w:val="21"/>
                <w:szCs w:val="21"/>
              </w:rPr>
              <w:t xml:space="preserve">  </w:t>
            </w:r>
            <w:r>
              <w:rPr>
                <w:rFonts w:hint="default" w:ascii="宋体" w:hAnsi="宋体"/>
                <w:b/>
                <w:bCs/>
                <w:color w:val="auto"/>
                <w:kern w:val="0"/>
                <w:sz w:val="21"/>
                <w:szCs w:val="21"/>
              </w:rPr>
              <w:t>废水类别、污染物及污染治理设施信息表</w:t>
            </w:r>
          </w:p>
          <w:tbl>
            <w:tblPr>
              <w:tblStyle w:val="29"/>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65"/>
              <w:gridCol w:w="1020"/>
              <w:gridCol w:w="440"/>
              <w:gridCol w:w="751"/>
              <w:gridCol w:w="858"/>
              <w:gridCol w:w="1136"/>
              <w:gridCol w:w="794"/>
              <w:gridCol w:w="881"/>
              <w:gridCol w:w="631"/>
              <w:gridCol w:w="505"/>
            </w:tblGrid>
            <w:tr w14:paraId="486C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vMerge w:val="restart"/>
                  <w:tcBorders>
                    <w:tl2br w:val="nil"/>
                    <w:tr2bl w:val="nil"/>
                  </w:tcBorders>
                  <w:vAlign w:val="center"/>
                </w:tcPr>
                <w:p w14:paraId="68C9232A">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序号</w:t>
                  </w:r>
                </w:p>
              </w:tc>
              <w:tc>
                <w:tcPr>
                  <w:tcW w:w="692" w:type="dxa"/>
                  <w:vMerge w:val="restart"/>
                  <w:tcBorders>
                    <w:tl2br w:val="nil"/>
                    <w:tr2bl w:val="nil"/>
                  </w:tcBorders>
                  <w:vAlign w:val="center"/>
                </w:tcPr>
                <w:p w14:paraId="4EA01EA1">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废水类别</w:t>
                  </w:r>
                </w:p>
              </w:tc>
              <w:tc>
                <w:tcPr>
                  <w:tcW w:w="1021" w:type="dxa"/>
                  <w:vMerge w:val="restart"/>
                  <w:tcBorders>
                    <w:tl2br w:val="nil"/>
                    <w:tr2bl w:val="nil"/>
                  </w:tcBorders>
                  <w:vAlign w:val="center"/>
                </w:tcPr>
                <w:p w14:paraId="739FE412">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污染物种类</w:t>
                  </w:r>
                </w:p>
              </w:tc>
              <w:tc>
                <w:tcPr>
                  <w:tcW w:w="452" w:type="dxa"/>
                  <w:vMerge w:val="restart"/>
                  <w:tcBorders>
                    <w:tl2br w:val="nil"/>
                    <w:tr2bl w:val="nil"/>
                  </w:tcBorders>
                  <w:vAlign w:val="center"/>
                </w:tcPr>
                <w:p w14:paraId="32B67BB9">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排放去向</w:t>
                  </w:r>
                </w:p>
              </w:tc>
              <w:tc>
                <w:tcPr>
                  <w:tcW w:w="856" w:type="dxa"/>
                  <w:vMerge w:val="restart"/>
                  <w:tcBorders>
                    <w:tl2br w:val="nil"/>
                    <w:tr2bl w:val="nil"/>
                  </w:tcBorders>
                  <w:vAlign w:val="center"/>
                </w:tcPr>
                <w:p w14:paraId="5BDF4719">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排放规律</w:t>
                  </w:r>
                </w:p>
              </w:tc>
              <w:tc>
                <w:tcPr>
                  <w:tcW w:w="2530" w:type="dxa"/>
                  <w:gridSpan w:val="3"/>
                  <w:tcBorders>
                    <w:tl2br w:val="nil"/>
                    <w:tr2bl w:val="nil"/>
                  </w:tcBorders>
                  <w:vAlign w:val="center"/>
                </w:tcPr>
                <w:p w14:paraId="6D976D7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w:t>
                  </w:r>
                </w:p>
              </w:tc>
              <w:tc>
                <w:tcPr>
                  <w:tcW w:w="637" w:type="dxa"/>
                  <w:vMerge w:val="restart"/>
                  <w:tcBorders>
                    <w:tl2br w:val="nil"/>
                    <w:tr2bl w:val="nil"/>
                  </w:tcBorders>
                  <w:vAlign w:val="center"/>
                </w:tcPr>
                <w:p w14:paraId="2EB7401B">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排放口编号</w:t>
                  </w:r>
                </w:p>
              </w:tc>
              <w:tc>
                <w:tcPr>
                  <w:tcW w:w="818" w:type="dxa"/>
                  <w:vMerge w:val="restart"/>
                  <w:tcBorders>
                    <w:tl2br w:val="nil"/>
                    <w:tr2bl w:val="nil"/>
                  </w:tcBorders>
                  <w:vAlign w:val="center"/>
                </w:tcPr>
                <w:p w14:paraId="4BA98758">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排放口设置是否符合要求</w:t>
                  </w:r>
                </w:p>
              </w:tc>
              <w:tc>
                <w:tcPr>
                  <w:tcW w:w="575" w:type="dxa"/>
                  <w:vMerge w:val="restart"/>
                  <w:tcBorders>
                    <w:tl2br w:val="nil"/>
                    <w:tr2bl w:val="nil"/>
                  </w:tcBorders>
                  <w:vAlign w:val="center"/>
                </w:tcPr>
                <w:p w14:paraId="1ED18CF0">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排放口类型</w:t>
                  </w:r>
                </w:p>
              </w:tc>
            </w:tr>
            <w:tr w14:paraId="535B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vMerge w:val="continue"/>
                  <w:tcBorders>
                    <w:tl2br w:val="nil"/>
                    <w:tr2bl w:val="nil"/>
                  </w:tcBorders>
                  <w:vAlign w:val="center"/>
                </w:tcPr>
                <w:p w14:paraId="5B6B2830">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692" w:type="dxa"/>
                  <w:vMerge w:val="continue"/>
                  <w:tcBorders>
                    <w:tl2br w:val="nil"/>
                    <w:tr2bl w:val="nil"/>
                  </w:tcBorders>
                  <w:vAlign w:val="center"/>
                </w:tcPr>
                <w:p w14:paraId="42194968">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1021" w:type="dxa"/>
                  <w:vMerge w:val="continue"/>
                  <w:tcBorders>
                    <w:tl2br w:val="nil"/>
                    <w:tr2bl w:val="nil"/>
                  </w:tcBorders>
                  <w:vAlign w:val="center"/>
                </w:tcPr>
                <w:p w14:paraId="2114F3D3">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452" w:type="dxa"/>
                  <w:vMerge w:val="continue"/>
                  <w:tcBorders>
                    <w:tl2br w:val="nil"/>
                    <w:tr2bl w:val="nil"/>
                  </w:tcBorders>
                  <w:vAlign w:val="center"/>
                </w:tcPr>
                <w:p w14:paraId="3EBA5AD2">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56" w:type="dxa"/>
                  <w:vMerge w:val="continue"/>
                  <w:tcBorders>
                    <w:tl2br w:val="nil"/>
                    <w:tr2bl w:val="nil"/>
                  </w:tcBorders>
                  <w:vAlign w:val="center"/>
                </w:tcPr>
                <w:p w14:paraId="0F446C5C">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58" w:type="dxa"/>
                  <w:tcBorders>
                    <w:tl2br w:val="nil"/>
                    <w:tr2bl w:val="nil"/>
                  </w:tcBorders>
                  <w:vAlign w:val="center"/>
                </w:tcPr>
                <w:p w14:paraId="185194BD">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污染治理设施编号</w:t>
                  </w:r>
                </w:p>
              </w:tc>
              <w:tc>
                <w:tcPr>
                  <w:tcW w:w="733" w:type="dxa"/>
                  <w:tcBorders>
                    <w:tl2br w:val="nil"/>
                    <w:tr2bl w:val="nil"/>
                  </w:tcBorders>
                  <w:vAlign w:val="center"/>
                </w:tcPr>
                <w:p w14:paraId="343EAD8D">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污染治理设施名称</w:t>
                  </w:r>
                </w:p>
              </w:tc>
              <w:tc>
                <w:tcPr>
                  <w:tcW w:w="939" w:type="dxa"/>
                  <w:tcBorders>
                    <w:tl2br w:val="nil"/>
                    <w:tr2bl w:val="nil"/>
                  </w:tcBorders>
                  <w:vAlign w:val="center"/>
                </w:tcPr>
                <w:p w14:paraId="01B95E5A">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污染治理设施工艺</w:t>
                  </w:r>
                </w:p>
              </w:tc>
              <w:tc>
                <w:tcPr>
                  <w:tcW w:w="637" w:type="dxa"/>
                  <w:vMerge w:val="continue"/>
                  <w:tcBorders>
                    <w:tl2br w:val="nil"/>
                    <w:tr2bl w:val="nil"/>
                  </w:tcBorders>
                  <w:vAlign w:val="center"/>
                </w:tcPr>
                <w:p w14:paraId="165DE80C">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18" w:type="dxa"/>
                  <w:vMerge w:val="continue"/>
                  <w:tcBorders>
                    <w:tl2br w:val="nil"/>
                    <w:tr2bl w:val="nil"/>
                  </w:tcBorders>
                  <w:vAlign w:val="center"/>
                </w:tcPr>
                <w:p w14:paraId="2D7C016D">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575" w:type="dxa"/>
                  <w:vMerge w:val="continue"/>
                  <w:tcBorders>
                    <w:tl2br w:val="nil"/>
                    <w:tr2bl w:val="nil"/>
                  </w:tcBorders>
                  <w:vAlign w:val="center"/>
                </w:tcPr>
                <w:p w14:paraId="51707685">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r>
            <w:tr w14:paraId="0071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tcBorders>
                    <w:tl2br w:val="nil"/>
                    <w:tr2bl w:val="nil"/>
                  </w:tcBorders>
                  <w:vAlign w:val="center"/>
                </w:tcPr>
                <w:p w14:paraId="73B9606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w:t>
                  </w:r>
                </w:p>
              </w:tc>
              <w:tc>
                <w:tcPr>
                  <w:tcW w:w="692" w:type="dxa"/>
                  <w:tcBorders>
                    <w:tl2br w:val="nil"/>
                    <w:tr2bl w:val="nil"/>
                  </w:tcBorders>
                  <w:vAlign w:val="center"/>
                </w:tcPr>
                <w:p w14:paraId="3A4FA7F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生活污水</w:t>
                  </w:r>
                </w:p>
              </w:tc>
              <w:tc>
                <w:tcPr>
                  <w:tcW w:w="1021" w:type="dxa"/>
                  <w:tcBorders>
                    <w:tl2br w:val="nil"/>
                    <w:tr2bl w:val="nil"/>
                  </w:tcBorders>
                  <w:vAlign w:val="center"/>
                </w:tcPr>
                <w:p w14:paraId="6C35885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COD、BOD</w:t>
                  </w:r>
                  <w:r>
                    <w:rPr>
                      <w:rFonts w:hint="default"/>
                      <w:color w:val="auto"/>
                      <w:sz w:val="21"/>
                      <w:szCs w:val="21"/>
                      <w:vertAlign w:val="subscript"/>
                    </w:rPr>
                    <w:t>5</w:t>
                  </w:r>
                  <w:r>
                    <w:rPr>
                      <w:rFonts w:hint="default"/>
                      <w:color w:val="auto"/>
                      <w:sz w:val="21"/>
                      <w:szCs w:val="21"/>
                    </w:rPr>
                    <w:t>、SS、NH</w:t>
                  </w:r>
                  <w:r>
                    <w:rPr>
                      <w:rFonts w:hint="default"/>
                      <w:color w:val="auto"/>
                      <w:sz w:val="21"/>
                      <w:szCs w:val="21"/>
                      <w:vertAlign w:val="subscript"/>
                    </w:rPr>
                    <w:t>3</w:t>
                  </w:r>
                  <w:r>
                    <w:rPr>
                      <w:rFonts w:hint="default"/>
                      <w:color w:val="auto"/>
                      <w:sz w:val="21"/>
                      <w:szCs w:val="21"/>
                    </w:rPr>
                    <w:t>-N、TP</w:t>
                  </w:r>
                </w:p>
              </w:tc>
              <w:tc>
                <w:tcPr>
                  <w:tcW w:w="452" w:type="dxa"/>
                  <w:tcBorders>
                    <w:tl2br w:val="nil"/>
                    <w:tr2bl w:val="nil"/>
                  </w:tcBorders>
                  <w:vAlign w:val="center"/>
                </w:tcPr>
                <w:p w14:paraId="08E7B91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园区污水管网</w:t>
                  </w:r>
                </w:p>
              </w:tc>
              <w:tc>
                <w:tcPr>
                  <w:tcW w:w="856" w:type="dxa"/>
                  <w:tcBorders>
                    <w:tl2br w:val="nil"/>
                    <w:tr2bl w:val="nil"/>
                  </w:tcBorders>
                  <w:vAlign w:val="center"/>
                </w:tcPr>
                <w:p w14:paraId="1500F40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间歇排放，流量不稳定，但有周期性规律。</w:t>
                  </w:r>
                </w:p>
              </w:tc>
              <w:tc>
                <w:tcPr>
                  <w:tcW w:w="858" w:type="dxa"/>
                  <w:tcBorders>
                    <w:tl2br w:val="nil"/>
                    <w:tr2bl w:val="nil"/>
                  </w:tcBorders>
                  <w:vAlign w:val="center"/>
                </w:tcPr>
                <w:p w14:paraId="107EB3E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TW001</w:t>
                  </w:r>
                </w:p>
              </w:tc>
              <w:tc>
                <w:tcPr>
                  <w:tcW w:w="733" w:type="dxa"/>
                  <w:tcBorders>
                    <w:tl2br w:val="nil"/>
                    <w:tr2bl w:val="nil"/>
                  </w:tcBorders>
                  <w:vAlign w:val="center"/>
                </w:tcPr>
                <w:p w14:paraId="211F34AC">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default"/>
                      <w:color w:val="auto"/>
                      <w:sz w:val="21"/>
                      <w:szCs w:val="21"/>
                    </w:rPr>
                    <w:t>化粪池</w:t>
                  </w:r>
                  <w:r>
                    <w:rPr>
                      <w:rFonts w:hint="eastAsia"/>
                      <w:color w:val="auto"/>
                      <w:sz w:val="21"/>
                      <w:szCs w:val="21"/>
                      <w:lang w:eastAsia="zh-CN"/>
                    </w:rPr>
                    <w:t>（</w:t>
                  </w:r>
                  <w:r>
                    <w:rPr>
                      <w:rFonts w:hint="eastAsia"/>
                      <w:color w:val="auto"/>
                      <w:sz w:val="21"/>
                      <w:szCs w:val="21"/>
                      <w:vertAlign w:val="baseline"/>
                      <w:lang w:val="en-US" w:eastAsia="zh-CN"/>
                    </w:rPr>
                    <w:t>2m</w:t>
                  </w:r>
                  <w:r>
                    <w:rPr>
                      <w:rFonts w:hint="eastAsia"/>
                      <w:color w:val="auto"/>
                      <w:sz w:val="21"/>
                      <w:szCs w:val="21"/>
                      <w:vertAlign w:val="superscript"/>
                      <w:lang w:val="en-US" w:eastAsia="zh-CN"/>
                    </w:rPr>
                    <w:t>3</w:t>
                  </w:r>
                  <w:r>
                    <w:rPr>
                      <w:rFonts w:hint="eastAsia"/>
                      <w:color w:val="auto"/>
                      <w:sz w:val="21"/>
                      <w:szCs w:val="21"/>
                      <w:lang w:eastAsia="zh-CN"/>
                    </w:rPr>
                    <w:t>）</w:t>
                  </w:r>
                </w:p>
              </w:tc>
              <w:tc>
                <w:tcPr>
                  <w:tcW w:w="939" w:type="dxa"/>
                  <w:tcBorders>
                    <w:tl2br w:val="nil"/>
                    <w:tr2bl w:val="nil"/>
                  </w:tcBorders>
                  <w:vAlign w:val="center"/>
                </w:tcPr>
                <w:p w14:paraId="4CE4ED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重力沉淀、厌氧处理</w:t>
                  </w:r>
                </w:p>
              </w:tc>
              <w:tc>
                <w:tcPr>
                  <w:tcW w:w="637" w:type="dxa"/>
                  <w:tcBorders>
                    <w:tl2br w:val="nil"/>
                    <w:tr2bl w:val="nil"/>
                  </w:tcBorders>
                  <w:vAlign w:val="center"/>
                </w:tcPr>
                <w:p w14:paraId="4B7A6DD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DW001</w:t>
                  </w:r>
                </w:p>
              </w:tc>
              <w:tc>
                <w:tcPr>
                  <w:tcW w:w="818" w:type="dxa"/>
                  <w:tcBorders>
                    <w:tl2br w:val="nil"/>
                    <w:tr2bl w:val="nil"/>
                  </w:tcBorders>
                  <w:vAlign w:val="center"/>
                </w:tcPr>
                <w:p w14:paraId="05F3B98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是</w:t>
                  </w:r>
                </w:p>
              </w:tc>
              <w:tc>
                <w:tcPr>
                  <w:tcW w:w="575" w:type="dxa"/>
                  <w:tcBorders>
                    <w:tl2br w:val="nil"/>
                    <w:tr2bl w:val="nil"/>
                  </w:tcBorders>
                  <w:vAlign w:val="center"/>
                </w:tcPr>
                <w:p w14:paraId="4500430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一般排放口</w:t>
                  </w:r>
                </w:p>
              </w:tc>
            </w:tr>
            <w:tr w14:paraId="3FEE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tcBorders>
                    <w:tl2br w:val="nil"/>
                    <w:tr2bl w:val="nil"/>
                  </w:tcBorders>
                  <w:vAlign w:val="center"/>
                </w:tcPr>
                <w:p w14:paraId="7595CCC9">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2</w:t>
                  </w:r>
                </w:p>
              </w:tc>
              <w:tc>
                <w:tcPr>
                  <w:tcW w:w="692" w:type="dxa"/>
                  <w:tcBorders>
                    <w:tl2br w:val="nil"/>
                    <w:tr2bl w:val="nil"/>
                  </w:tcBorders>
                  <w:vAlign w:val="center"/>
                </w:tcPr>
                <w:p w14:paraId="352272D8">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生产废水</w:t>
                  </w:r>
                </w:p>
              </w:tc>
              <w:tc>
                <w:tcPr>
                  <w:tcW w:w="1021" w:type="dxa"/>
                  <w:tcBorders>
                    <w:tl2br w:val="nil"/>
                    <w:tr2bl w:val="nil"/>
                  </w:tcBorders>
                  <w:vAlign w:val="center"/>
                </w:tcPr>
                <w:p w14:paraId="712A6512">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SS、石油类</w:t>
                  </w:r>
                </w:p>
              </w:tc>
              <w:tc>
                <w:tcPr>
                  <w:tcW w:w="452" w:type="dxa"/>
                  <w:tcBorders>
                    <w:tl2br w:val="nil"/>
                    <w:tr2bl w:val="nil"/>
                  </w:tcBorders>
                  <w:vAlign w:val="center"/>
                </w:tcPr>
                <w:p w14:paraId="140180E1">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不外排</w:t>
                  </w:r>
                </w:p>
              </w:tc>
              <w:tc>
                <w:tcPr>
                  <w:tcW w:w="856" w:type="dxa"/>
                  <w:tcBorders>
                    <w:tl2br w:val="nil"/>
                    <w:tr2bl w:val="nil"/>
                  </w:tcBorders>
                  <w:vAlign w:val="center"/>
                </w:tcPr>
                <w:p w14:paraId="6B2024F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858" w:type="dxa"/>
                  <w:tcBorders>
                    <w:tl2br w:val="nil"/>
                    <w:tr2bl w:val="nil"/>
                  </w:tcBorders>
                  <w:vAlign w:val="center"/>
                </w:tcPr>
                <w:p w14:paraId="28DD7A7D">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TW002</w:t>
                  </w:r>
                </w:p>
              </w:tc>
              <w:tc>
                <w:tcPr>
                  <w:tcW w:w="733" w:type="dxa"/>
                  <w:tcBorders>
                    <w:tl2br w:val="nil"/>
                    <w:tr2bl w:val="nil"/>
                  </w:tcBorders>
                  <w:vAlign w:val="center"/>
                </w:tcPr>
                <w:p w14:paraId="6FCD58D3">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隔油沉淀池、一体化污水处理设施（1m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939" w:type="dxa"/>
                  <w:tcBorders>
                    <w:tl2br w:val="nil"/>
                    <w:tr2bl w:val="nil"/>
                  </w:tcBorders>
                  <w:vAlign w:val="center"/>
                </w:tcPr>
                <w:p w14:paraId="4B5E16E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pH调节+絮凝</w:t>
                  </w:r>
                  <w:r>
                    <w:rPr>
                      <w:rFonts w:hint="eastAsia"/>
                      <w:color w:val="auto"/>
                      <w:sz w:val="21"/>
                      <w:szCs w:val="21"/>
                      <w:lang w:val="en-US" w:eastAsia="zh-CN"/>
                    </w:rPr>
                    <w:t>混凝气浮</w:t>
                  </w:r>
                  <w:r>
                    <w:rPr>
                      <w:rFonts w:hint="default"/>
                      <w:color w:val="auto"/>
                      <w:sz w:val="21"/>
                      <w:szCs w:val="21"/>
                    </w:rPr>
                    <w:t>+过滤</w:t>
                  </w:r>
                </w:p>
              </w:tc>
              <w:tc>
                <w:tcPr>
                  <w:tcW w:w="637" w:type="dxa"/>
                  <w:tcBorders>
                    <w:tl2br w:val="nil"/>
                    <w:tr2bl w:val="nil"/>
                  </w:tcBorders>
                  <w:vAlign w:val="center"/>
                </w:tcPr>
                <w:p w14:paraId="0E1DB41B">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818" w:type="dxa"/>
                  <w:tcBorders>
                    <w:tl2br w:val="nil"/>
                    <w:tr2bl w:val="nil"/>
                  </w:tcBorders>
                  <w:vAlign w:val="center"/>
                </w:tcPr>
                <w:p w14:paraId="38BAB51A">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575" w:type="dxa"/>
                  <w:tcBorders>
                    <w:tl2br w:val="nil"/>
                    <w:tr2bl w:val="nil"/>
                  </w:tcBorders>
                  <w:vAlign w:val="center"/>
                </w:tcPr>
                <w:p w14:paraId="19B84EC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r>
            <w:tr w14:paraId="039A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8" w:type="dxa"/>
                  <w:gridSpan w:val="11"/>
                  <w:tcBorders>
                    <w:tl2br w:val="nil"/>
                    <w:tr2bl w:val="nil"/>
                  </w:tcBorders>
                  <w:vAlign w:val="center"/>
                </w:tcPr>
                <w:p w14:paraId="320EB33C">
                  <w:pPr>
                    <w:keepNext w:val="0"/>
                    <w:keepLines w:val="0"/>
                    <w:suppressLineNumbers w:val="0"/>
                    <w:spacing w:before="0" w:beforeAutospacing="0" w:after="0" w:afterAutospacing="0" w:line="240" w:lineRule="auto"/>
                    <w:ind w:left="0" w:right="0"/>
                    <w:contextualSpacing/>
                    <w:jc w:val="center"/>
                    <w:rPr>
                      <w:rFonts w:hint="eastAsia"/>
                      <w:color w:val="auto"/>
                      <w:sz w:val="21"/>
                      <w:szCs w:val="21"/>
                      <w:lang w:val="en-US" w:eastAsia="zh-CN"/>
                    </w:rPr>
                  </w:pPr>
                  <w:r>
                    <w:rPr>
                      <w:rFonts w:hint="eastAsia" w:ascii="Times New Roman" w:hAnsi="Times New Roman" w:cs="Times New Roman"/>
                      <w:color w:val="auto"/>
                      <w:sz w:val="21"/>
                      <w:szCs w:val="21"/>
                      <w:lang w:val="en-US" w:eastAsia="zh-CN"/>
                    </w:rPr>
                    <w:t>注：</w:t>
                  </w:r>
                  <w:r>
                    <w:rPr>
                      <w:rFonts w:hint="default" w:ascii="Times New Roman" w:hAnsi="Times New Roman" w:cs="Times New Roman"/>
                      <w:color w:val="auto"/>
                      <w:sz w:val="21"/>
                      <w:szCs w:val="21"/>
                    </w:rPr>
                    <w:t>由于项目区未接通园区</w:t>
                  </w:r>
                  <w:r>
                    <w:rPr>
                      <w:rFonts w:hint="eastAsia" w:ascii="Times New Roman" w:hAnsi="Times New Roman" w:cs="Times New Roman"/>
                      <w:color w:val="auto"/>
                      <w:sz w:val="21"/>
                      <w:szCs w:val="21"/>
                      <w:lang w:val="en-US" w:eastAsia="zh-CN"/>
                    </w:rPr>
                    <w:t>污水</w:t>
                  </w:r>
                  <w:r>
                    <w:rPr>
                      <w:rFonts w:hint="default" w:ascii="Times New Roman" w:hAnsi="Times New Roman" w:cs="Times New Roman"/>
                      <w:color w:val="auto"/>
                      <w:sz w:val="21"/>
                      <w:szCs w:val="21"/>
                    </w:rPr>
                    <w:t>管网，生活废水进入化粪池处理后，定期委托环卫部门清掏，不外排。若今后项目区接通园区管网，项目生活废水经化粪池处理后排入园区市政污水管网，排放标准执行《污水综合排放标准》（GB8978-1996）三级标准。</w:t>
                  </w:r>
                </w:p>
              </w:tc>
            </w:tr>
          </w:tbl>
          <w:p w14:paraId="23B0B26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color w:val="auto"/>
                <w:vertAlign w:val="baseline"/>
              </w:rPr>
            </w:pPr>
            <w:r>
              <w:rPr>
                <w:rFonts w:hint="eastAsia"/>
                <w:b/>
                <w:color w:val="auto"/>
                <w:kern w:val="0"/>
                <w:lang w:val="en-US" w:eastAsia="zh-CN"/>
              </w:rPr>
              <w:t>3</w:t>
            </w:r>
            <w:r>
              <w:rPr>
                <w:rFonts w:hint="eastAsia"/>
                <w:b/>
                <w:color w:val="auto"/>
                <w:kern w:val="0"/>
              </w:rPr>
              <w:t>、废水处理措施可行性分析</w:t>
            </w:r>
          </w:p>
          <w:p w14:paraId="6C5A1A1E">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1</w:t>
            </w:r>
            <w:r>
              <w:rPr>
                <w:rFonts w:hint="eastAsia"/>
                <w:b/>
                <w:bCs/>
                <w:color w:val="auto"/>
                <w:vertAlign w:val="baseline"/>
                <w:lang w:eastAsia="zh-CN"/>
              </w:rPr>
              <w:t>）</w:t>
            </w:r>
            <w:r>
              <w:rPr>
                <w:rFonts w:hint="eastAsia"/>
                <w:b/>
                <w:bCs/>
                <w:color w:val="auto"/>
                <w:vertAlign w:val="baseline"/>
                <w:lang w:val="en-US" w:eastAsia="zh-CN"/>
              </w:rPr>
              <w:t>化粪池依托利用可行性分析</w:t>
            </w:r>
          </w:p>
          <w:p w14:paraId="22533D29">
            <w:pPr>
              <w:ind w:firstLine="480" w:firstLineChars="200"/>
              <w:contextualSpacing/>
              <w:rPr>
                <w:rFonts w:ascii="宋体" w:hAnsi="宋体"/>
                <w:color w:val="auto"/>
                <w:kern w:val="0"/>
              </w:rPr>
            </w:pPr>
            <w:r>
              <w:rPr>
                <w:rFonts w:hint="eastAsia"/>
                <w:color w:val="auto"/>
                <w:kern w:val="0"/>
              </w:rPr>
              <w:t>项目</w:t>
            </w:r>
            <w:r>
              <w:rPr>
                <w:rFonts w:hint="eastAsia"/>
                <w:color w:val="auto"/>
                <w:kern w:val="0"/>
                <w:lang w:val="en-US" w:eastAsia="zh-CN"/>
              </w:rPr>
              <w:t>生活废水依托停车场原有化粪池</w:t>
            </w:r>
            <w:r>
              <w:rPr>
                <w:rFonts w:hint="eastAsia"/>
                <w:color w:val="auto"/>
                <w:kern w:val="0"/>
              </w:rPr>
              <w:t>，生活污水产生量为0.</w:t>
            </w:r>
            <w:r>
              <w:rPr>
                <w:rFonts w:hint="eastAsia"/>
                <w:color w:val="auto"/>
                <w:kern w:val="0"/>
                <w:lang w:val="en-US" w:eastAsia="zh-CN"/>
              </w:rPr>
              <w:t>16</w:t>
            </w:r>
            <w:r>
              <w:rPr>
                <w:rFonts w:hint="eastAsia"/>
                <w:color w:val="auto"/>
                <w:kern w:val="0"/>
              </w:rPr>
              <w:t>m</w:t>
            </w:r>
            <w:r>
              <w:rPr>
                <w:rFonts w:hint="eastAsia"/>
                <w:color w:val="auto"/>
                <w:kern w:val="0"/>
                <w:vertAlign w:val="superscript"/>
              </w:rPr>
              <w:t>3</w:t>
            </w:r>
            <w:r>
              <w:rPr>
                <w:rFonts w:hint="eastAsia"/>
                <w:color w:val="auto"/>
                <w:kern w:val="0"/>
              </w:rPr>
              <w:t>/d，考虑1.2的波动系数，容积</w:t>
            </w:r>
            <w:r>
              <w:rPr>
                <w:rFonts w:hint="eastAsia"/>
                <w:color w:val="auto"/>
                <w:kern w:val="0"/>
                <w:lang w:val="en-US" w:eastAsia="zh-CN"/>
              </w:rPr>
              <w:t>应</w:t>
            </w:r>
            <w:r>
              <w:rPr>
                <w:rFonts w:hint="eastAsia"/>
                <w:color w:val="auto"/>
                <w:kern w:val="0"/>
              </w:rPr>
              <w:t>不小于</w:t>
            </w:r>
            <w:r>
              <w:rPr>
                <w:rFonts w:hint="eastAsia"/>
                <w:color w:val="auto"/>
                <w:kern w:val="0"/>
                <w:lang w:val="en-US" w:eastAsia="zh-CN"/>
              </w:rPr>
              <w:t>0.192</w:t>
            </w:r>
            <w:r>
              <w:rPr>
                <w:rFonts w:hint="eastAsia"/>
                <w:color w:val="auto"/>
                <w:kern w:val="0"/>
              </w:rPr>
              <w:t>m</w:t>
            </w:r>
            <w:r>
              <w:rPr>
                <w:rFonts w:hint="eastAsia"/>
                <w:color w:val="auto"/>
                <w:kern w:val="0"/>
                <w:vertAlign w:val="superscript"/>
              </w:rPr>
              <w:t>3</w:t>
            </w:r>
            <w:r>
              <w:rPr>
                <w:rFonts w:hint="eastAsia"/>
                <w:color w:val="auto"/>
                <w:kern w:val="0"/>
              </w:rPr>
              <w:t>的化粪池。</w:t>
            </w:r>
            <w:r>
              <w:rPr>
                <w:rFonts w:hint="eastAsia"/>
                <w:color w:val="auto"/>
                <w:kern w:val="0"/>
                <w:lang w:val="en-US" w:eastAsia="zh-CN"/>
              </w:rPr>
              <w:t>原有化粪池</w:t>
            </w:r>
            <w:r>
              <w:rPr>
                <w:rFonts w:hint="eastAsia"/>
                <w:color w:val="auto"/>
                <w:kern w:val="0"/>
              </w:rPr>
              <w:t>有效容积为</w:t>
            </w:r>
            <w:r>
              <w:rPr>
                <w:rFonts w:hint="eastAsia"/>
                <w:color w:val="auto"/>
                <w:kern w:val="0"/>
                <w:lang w:val="en-US" w:eastAsia="zh-CN"/>
              </w:rPr>
              <w:t>2</w:t>
            </w:r>
            <w:r>
              <w:rPr>
                <w:rFonts w:hint="eastAsia"/>
                <w:color w:val="auto"/>
                <w:kern w:val="0"/>
              </w:rPr>
              <w:t>m</w:t>
            </w:r>
            <w:r>
              <w:rPr>
                <w:rFonts w:hint="eastAsia"/>
                <w:color w:val="auto"/>
                <w:kern w:val="0"/>
                <w:vertAlign w:val="superscript"/>
              </w:rPr>
              <w:t>3</w:t>
            </w:r>
            <w:r>
              <w:rPr>
                <w:rFonts w:hint="eastAsia"/>
                <w:color w:val="auto"/>
                <w:kern w:val="0"/>
              </w:rPr>
              <w:t>，项目设置化粪池仅</w:t>
            </w:r>
            <w:r>
              <w:rPr>
                <w:rFonts w:hint="eastAsia"/>
                <w:color w:val="auto"/>
                <w:kern w:val="0"/>
                <w:lang w:val="en-US" w:eastAsia="zh-CN"/>
              </w:rPr>
              <w:t>处理</w:t>
            </w:r>
            <w:r>
              <w:rPr>
                <w:rFonts w:hint="eastAsia"/>
                <w:color w:val="auto"/>
                <w:kern w:val="0"/>
              </w:rPr>
              <w:t>本项目员工生活废水，</w:t>
            </w:r>
            <w:r>
              <w:rPr>
                <w:rFonts w:hint="eastAsia"/>
                <w:color w:val="auto"/>
                <w:kern w:val="0"/>
                <w:lang w:val="en-US" w:eastAsia="zh-CN"/>
              </w:rPr>
              <w:t>能够</w:t>
            </w:r>
            <w:r>
              <w:rPr>
                <w:rFonts w:hint="eastAsia"/>
                <w:color w:val="auto"/>
                <w:kern w:val="0"/>
              </w:rPr>
              <w:t>满足本项目废水处理需求。生活废水进入化粪池处理后，由于项目区未接通园区管网，定期委托环卫部门清掏，不外排。若今后项目区接通园区管网，项目生活废水经化粪池处理后排入园区市政污水管网，排放标准执行《污水综合排放标准》（GB8978-1996）三级标准。</w:t>
            </w:r>
            <w:r>
              <w:rPr>
                <w:rFonts w:hint="eastAsia" w:ascii="宋体" w:hAnsi="宋体"/>
                <w:color w:val="auto"/>
                <w:kern w:val="0"/>
              </w:rPr>
              <w:t>因此，本项目</w:t>
            </w:r>
            <w:r>
              <w:rPr>
                <w:rFonts w:hint="eastAsia" w:ascii="宋体" w:hAnsi="宋体"/>
                <w:color w:val="auto"/>
                <w:kern w:val="0"/>
                <w:lang w:val="en-US" w:eastAsia="zh-CN"/>
              </w:rPr>
              <w:t>依托原有</w:t>
            </w:r>
            <w:r>
              <w:rPr>
                <w:rFonts w:hint="eastAsia" w:ascii="宋体" w:hAnsi="宋体"/>
                <w:color w:val="auto"/>
                <w:kern w:val="0"/>
              </w:rPr>
              <w:t>化粪池处理生活废水是可行的。</w:t>
            </w:r>
          </w:p>
          <w:p w14:paraId="3D4E17A8">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2</w:t>
            </w:r>
            <w:r>
              <w:rPr>
                <w:rFonts w:hint="eastAsia"/>
                <w:b/>
                <w:bCs/>
                <w:color w:val="auto"/>
                <w:vertAlign w:val="baseline"/>
                <w:lang w:eastAsia="zh-CN"/>
              </w:rPr>
              <w:t>）</w:t>
            </w:r>
            <w:r>
              <w:rPr>
                <w:rFonts w:hint="eastAsia"/>
                <w:b/>
                <w:bCs/>
                <w:color w:val="auto"/>
                <w:vertAlign w:val="baseline"/>
                <w:lang w:val="en-US" w:eastAsia="zh-CN"/>
              </w:rPr>
              <w:t>初期雨水收集池可行性分析</w:t>
            </w:r>
          </w:p>
          <w:p w14:paraId="08EE38A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auto"/>
                <w:kern w:val="0"/>
                <w:lang w:eastAsia="zh-CN"/>
              </w:rPr>
            </w:pPr>
            <w:r>
              <w:rPr>
                <w:rFonts w:hint="eastAsia"/>
                <w:color w:val="auto"/>
                <w:kern w:val="0"/>
              </w:rPr>
              <w:t>项目在厂区西侧设置1</w:t>
            </w:r>
            <w:r>
              <w:rPr>
                <w:rFonts w:hint="eastAsia"/>
                <w:color w:val="auto"/>
                <w:kern w:val="0"/>
                <w:lang w:val="en-US" w:eastAsia="zh-CN"/>
              </w:rPr>
              <w:t>个</w:t>
            </w:r>
            <w:r>
              <w:rPr>
                <w:rFonts w:hint="eastAsia"/>
                <w:color w:val="auto"/>
                <w:kern w:val="0"/>
              </w:rPr>
              <w:t>初期雨水收集池，主要用于</w:t>
            </w:r>
            <w:r>
              <w:rPr>
                <w:rFonts w:hint="eastAsia"/>
                <w:color w:val="auto"/>
                <w:kern w:val="0"/>
                <w:lang w:val="en-US" w:eastAsia="zh-CN"/>
              </w:rPr>
              <w:t>停车场</w:t>
            </w:r>
            <w:r>
              <w:rPr>
                <w:rFonts w:hint="eastAsia"/>
                <w:color w:val="auto"/>
                <w:kern w:val="0"/>
              </w:rPr>
              <w:t>初期雨水收集，本项目运营期初期雨水产生量为</w:t>
            </w:r>
            <w:r>
              <w:rPr>
                <w:rFonts w:hint="eastAsia"/>
                <w:color w:val="auto"/>
                <w:kern w:val="0"/>
                <w:lang w:val="en-US" w:eastAsia="zh-CN"/>
              </w:rPr>
              <w:t>35.7</w:t>
            </w:r>
            <w:r>
              <w:rPr>
                <w:rFonts w:hint="eastAsia"/>
                <w:color w:val="auto"/>
                <w:kern w:val="0"/>
              </w:rPr>
              <w:t>m</w:t>
            </w:r>
            <w:r>
              <w:rPr>
                <w:rFonts w:hint="eastAsia"/>
                <w:color w:val="auto"/>
                <w:kern w:val="0"/>
                <w:vertAlign w:val="superscript"/>
              </w:rPr>
              <w:t>3</w:t>
            </w:r>
            <w:r>
              <w:rPr>
                <w:rFonts w:hint="eastAsia"/>
                <w:color w:val="auto"/>
                <w:kern w:val="0"/>
              </w:rPr>
              <w:t>/次，设置一个容积为</w:t>
            </w:r>
            <w:r>
              <w:rPr>
                <w:rFonts w:hint="eastAsia"/>
                <w:color w:val="auto"/>
                <w:kern w:val="0"/>
                <w:lang w:val="en-US" w:eastAsia="zh-CN"/>
              </w:rPr>
              <w:t>43</w:t>
            </w:r>
            <w:r>
              <w:rPr>
                <w:rFonts w:hint="eastAsia"/>
                <w:color w:val="auto"/>
                <w:kern w:val="0"/>
              </w:rPr>
              <w:t>m</w:t>
            </w:r>
            <w:r>
              <w:rPr>
                <w:rFonts w:hint="eastAsia"/>
                <w:color w:val="auto"/>
                <w:kern w:val="0"/>
                <w:vertAlign w:val="superscript"/>
              </w:rPr>
              <w:t>3</w:t>
            </w:r>
            <w:r>
              <w:rPr>
                <w:rFonts w:hint="eastAsia"/>
                <w:color w:val="auto"/>
                <w:kern w:val="0"/>
              </w:rPr>
              <w:t>的收集池，能够满足初期雨水暂存要求</w:t>
            </w:r>
            <w:r>
              <w:rPr>
                <w:rFonts w:hint="eastAsia"/>
                <w:color w:val="auto"/>
                <w:kern w:val="0"/>
                <w:lang w:eastAsia="zh-CN"/>
              </w:rPr>
              <w:t>。</w:t>
            </w:r>
            <w:r>
              <w:rPr>
                <w:rFonts w:hint="eastAsia"/>
                <w:color w:val="auto"/>
                <w:kern w:val="0"/>
                <w:lang w:val="en-US" w:eastAsia="zh-CN"/>
              </w:rPr>
              <w:t>本项目场地洒水降尘及绿化用水量为19.7m</w:t>
            </w:r>
            <w:r>
              <w:rPr>
                <w:rFonts w:hint="eastAsia"/>
                <w:color w:val="auto"/>
                <w:kern w:val="0"/>
                <w:vertAlign w:val="superscript"/>
                <w:lang w:val="en-US" w:eastAsia="zh-CN"/>
              </w:rPr>
              <w:t>3</w:t>
            </w:r>
            <w:r>
              <w:rPr>
                <w:rFonts w:hint="eastAsia"/>
                <w:color w:val="auto"/>
                <w:kern w:val="0"/>
                <w:lang w:val="en-US" w:eastAsia="zh-CN"/>
              </w:rPr>
              <w:t>/d，</w:t>
            </w:r>
            <w:r>
              <w:rPr>
                <w:rFonts w:hint="eastAsia"/>
                <w:color w:val="auto"/>
                <w:kern w:val="0"/>
              </w:rPr>
              <w:t>运营期初期雨水产生量为</w:t>
            </w:r>
            <w:r>
              <w:rPr>
                <w:rFonts w:hint="eastAsia"/>
                <w:color w:val="auto"/>
                <w:kern w:val="0"/>
                <w:lang w:val="en-US" w:eastAsia="zh-CN"/>
              </w:rPr>
              <w:t>35.7</w:t>
            </w:r>
            <w:r>
              <w:rPr>
                <w:rFonts w:hint="eastAsia"/>
                <w:color w:val="auto"/>
                <w:kern w:val="0"/>
              </w:rPr>
              <w:t>m</w:t>
            </w:r>
            <w:r>
              <w:rPr>
                <w:rFonts w:hint="eastAsia"/>
                <w:color w:val="auto"/>
                <w:kern w:val="0"/>
                <w:vertAlign w:val="superscript"/>
              </w:rPr>
              <w:t>3</w:t>
            </w:r>
            <w:r>
              <w:rPr>
                <w:rFonts w:hint="eastAsia"/>
                <w:color w:val="auto"/>
                <w:kern w:val="0"/>
              </w:rPr>
              <w:t>/次</w:t>
            </w:r>
            <w:r>
              <w:rPr>
                <w:rFonts w:hint="eastAsia"/>
                <w:color w:val="auto"/>
                <w:kern w:val="0"/>
                <w:lang w:val="en-US" w:eastAsia="zh-CN"/>
              </w:rPr>
              <w:t>，</w:t>
            </w:r>
            <w:r>
              <w:rPr>
                <w:rFonts w:hint="eastAsia"/>
                <w:color w:val="auto"/>
                <w:kern w:val="0"/>
              </w:rPr>
              <w:t>初期雨水</w:t>
            </w:r>
            <w:r>
              <w:rPr>
                <w:rFonts w:hint="eastAsia"/>
                <w:color w:val="auto"/>
                <w:kern w:val="0"/>
                <w:lang w:val="en-US" w:eastAsia="zh-CN"/>
              </w:rPr>
              <w:t>沉淀后能够全部</w:t>
            </w:r>
            <w:r>
              <w:rPr>
                <w:rFonts w:hint="eastAsia"/>
                <w:color w:val="auto"/>
                <w:kern w:val="0"/>
              </w:rPr>
              <w:t>回用于厂区的洒水降尘</w:t>
            </w:r>
            <w:r>
              <w:rPr>
                <w:rFonts w:hint="eastAsia"/>
                <w:color w:val="auto"/>
                <w:kern w:val="0"/>
                <w:lang w:val="en-US" w:eastAsia="zh-CN"/>
              </w:rPr>
              <w:t>及绿化用水</w:t>
            </w:r>
            <w:r>
              <w:rPr>
                <w:rFonts w:hint="eastAsia"/>
                <w:color w:val="auto"/>
                <w:kern w:val="0"/>
                <w:lang w:eastAsia="zh-CN"/>
              </w:rPr>
              <w:t>。</w:t>
            </w:r>
          </w:p>
          <w:p w14:paraId="1EC5240C">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3</w:t>
            </w:r>
            <w:r>
              <w:rPr>
                <w:rFonts w:hint="eastAsia"/>
                <w:b/>
                <w:bCs/>
                <w:color w:val="auto"/>
                <w:vertAlign w:val="baseline"/>
                <w:lang w:eastAsia="zh-CN"/>
              </w:rPr>
              <w:t>）</w:t>
            </w:r>
            <w:r>
              <w:rPr>
                <w:rFonts w:hint="eastAsia"/>
                <w:b/>
                <w:bCs/>
                <w:color w:val="auto"/>
                <w:vertAlign w:val="baseline"/>
                <w:lang w:val="en-US" w:eastAsia="zh-CN"/>
              </w:rPr>
              <w:t>一体化污水处理设施可行性分析</w:t>
            </w:r>
          </w:p>
          <w:p w14:paraId="27648FE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A、规模可行性分析</w:t>
            </w:r>
          </w:p>
          <w:p w14:paraId="3CB2E3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vertAlign w:val="baseline"/>
              </w:rPr>
            </w:pPr>
            <w:r>
              <w:rPr>
                <w:rFonts w:hint="eastAsia"/>
                <w:color w:val="auto"/>
                <w:vertAlign w:val="baseline"/>
              </w:rPr>
              <w:t>本项目</w:t>
            </w:r>
            <w:r>
              <w:rPr>
                <w:rFonts w:hint="eastAsia"/>
                <w:color w:val="auto"/>
                <w:vertAlign w:val="baseline"/>
                <w:lang w:val="en-US" w:eastAsia="zh-CN"/>
              </w:rPr>
              <w:t>生产</w:t>
            </w:r>
            <w:r>
              <w:rPr>
                <w:rFonts w:hint="eastAsia"/>
                <w:color w:val="auto"/>
                <w:vertAlign w:val="baseline"/>
              </w:rPr>
              <w:t>废水</w:t>
            </w:r>
            <w:r>
              <w:rPr>
                <w:rFonts w:hint="eastAsia"/>
                <w:color w:val="auto"/>
                <w:vertAlign w:val="baseline"/>
                <w:lang w:val="en-US" w:eastAsia="zh-CN"/>
              </w:rPr>
              <w:t>利用一体化</w:t>
            </w:r>
            <w:r>
              <w:rPr>
                <w:rFonts w:hint="eastAsia"/>
                <w:color w:val="auto"/>
                <w:vertAlign w:val="baseline"/>
              </w:rPr>
              <w:t>污水处理设施进行处理，污水处理设施采用“</w:t>
            </w:r>
            <w:r>
              <w:rPr>
                <w:rFonts w:hint="eastAsia"/>
                <w:color w:val="auto"/>
                <w:sz w:val="24"/>
                <w:lang w:val="en-US" w:eastAsia="zh-CN"/>
              </w:rPr>
              <w:t>pH调节+絮凝混凝气浮+过滤</w:t>
            </w:r>
            <w:r>
              <w:rPr>
                <w:rFonts w:hint="eastAsia"/>
                <w:color w:val="auto"/>
                <w:vertAlign w:val="baseline"/>
              </w:rPr>
              <w:t>”</w:t>
            </w:r>
            <w:r>
              <w:rPr>
                <w:rFonts w:hint="eastAsia"/>
                <w:color w:val="auto"/>
                <w:vertAlign w:val="baseline"/>
                <w:lang w:val="en-US" w:eastAsia="zh-CN"/>
              </w:rPr>
              <w:t>工艺，</w:t>
            </w:r>
            <w:r>
              <w:rPr>
                <w:rFonts w:hint="eastAsia"/>
                <w:color w:val="auto"/>
                <w:vertAlign w:val="baseline"/>
              </w:rPr>
              <w:t>处理规模为</w:t>
            </w:r>
            <w:r>
              <w:rPr>
                <w:rFonts w:hint="eastAsia"/>
                <w:color w:val="auto"/>
                <w:vertAlign w:val="baseline"/>
                <w:lang w:val="en-US" w:eastAsia="zh-CN"/>
              </w:rPr>
              <w:t>1m</w:t>
            </w:r>
            <w:r>
              <w:rPr>
                <w:rFonts w:hint="eastAsia"/>
                <w:color w:val="auto"/>
                <w:vertAlign w:val="superscript"/>
                <w:lang w:val="en-US" w:eastAsia="zh-CN"/>
              </w:rPr>
              <w:t>3</w:t>
            </w:r>
            <w:r>
              <w:rPr>
                <w:rFonts w:hint="eastAsia"/>
                <w:color w:val="auto"/>
                <w:vertAlign w:val="baseline"/>
                <w:lang w:val="en-US" w:eastAsia="zh-CN"/>
              </w:rPr>
              <w:t>/h</w:t>
            </w:r>
            <w:r>
              <w:rPr>
                <w:rFonts w:hint="eastAsia"/>
                <w:color w:val="auto"/>
                <w:vertAlign w:val="baseline"/>
              </w:rPr>
              <w:t>。</w:t>
            </w:r>
            <w:r>
              <w:rPr>
                <w:rFonts w:hint="eastAsia"/>
                <w:color w:val="auto"/>
                <w:vertAlign w:val="baseline"/>
                <w:lang w:val="en-US" w:eastAsia="zh-CN"/>
              </w:rPr>
              <w:t>本项目废水产生为间歇式，</w:t>
            </w:r>
            <w:r>
              <w:rPr>
                <w:rFonts w:hint="eastAsia"/>
                <w:b w:val="0"/>
                <w:bCs/>
                <w:color w:val="auto"/>
                <w:kern w:val="0"/>
                <w:lang w:val="en-US" w:eastAsia="zh-CN"/>
              </w:rPr>
              <w:t>根据水平衡，项目高压清洗时每辆车冲洗时间为30min，清洗废水产生量为0.36m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，废水每小时产生量为0.72m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/h，考虑1.2的安全系数，污水处理设施规模应不小于0.86m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/h</w:t>
            </w:r>
            <w:r>
              <w:rPr>
                <w:rFonts w:hint="eastAsia"/>
                <w:b w:val="0"/>
                <w:bCs/>
                <w:color w:val="auto"/>
                <w:kern w:val="0"/>
                <w:lang w:val="en-US" w:eastAsia="zh-CN"/>
              </w:rPr>
              <w:t>；</w:t>
            </w:r>
            <w:r>
              <w:rPr>
                <w:rFonts w:hint="eastAsia"/>
                <w:color w:val="auto"/>
                <w:lang w:val="en-US" w:eastAsia="zh-CN"/>
              </w:rPr>
              <w:t>蒸汽清洗时每辆车蒸洗40min，蒸汽清洗废水为0.33m</w:t>
            </w:r>
            <w:r>
              <w:rPr>
                <w:rFonts w:hint="eastAsia"/>
                <w:color w:val="auto"/>
                <w:vertAlign w:val="superscript"/>
                <w:lang w:val="en-US" w:eastAsia="zh-CN"/>
              </w:rPr>
              <w:t>3</w:t>
            </w:r>
            <w:r>
              <w:rPr>
                <w:rFonts w:hint="eastAsia"/>
                <w:color w:val="auto"/>
                <w:vertAlign w:val="baseline"/>
                <w:lang w:val="en-US" w:eastAsia="zh-CN"/>
              </w:rPr>
              <w:t>，废水每小时产生量为0.297</w:t>
            </w:r>
            <w:r>
              <w:rPr>
                <w:rFonts w:hint="eastAsia"/>
                <w:b w:val="0"/>
                <w:bCs/>
                <w:color w:val="auto"/>
                <w:kern w:val="0"/>
                <w:vertAlign w:val="baseline"/>
                <w:lang w:val="en-US" w:eastAsia="zh-CN"/>
              </w:rPr>
              <w:t>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/h，考虑1.2的安全系数，污水处理设施规模应不小于0.36m</w:t>
            </w:r>
            <w:r>
              <w:rPr>
                <w:rFonts w:hint="eastAsia"/>
                <w:b w:val="0"/>
                <w:bCs/>
                <w:color w:val="auto"/>
                <w:kern w:val="0"/>
                <w:vertAlign w:val="superscript"/>
                <w:lang w:val="en-US" w:eastAsia="zh-CN"/>
              </w:rPr>
              <w:t>3</w:t>
            </w:r>
            <w:r>
              <w:rPr>
                <w:rFonts w:hint="eastAsia"/>
                <w:b w:val="0"/>
                <w:bCs/>
                <w:color w:val="auto"/>
                <w:kern w:val="0"/>
                <w:vertAlign w:val="baseline"/>
                <w:lang w:val="en-US" w:eastAsia="zh-CN"/>
              </w:rPr>
              <w:t>/h。本项目</w:t>
            </w:r>
            <w:r>
              <w:rPr>
                <w:rFonts w:hint="eastAsia"/>
                <w:color w:val="auto"/>
                <w:vertAlign w:val="baseline"/>
                <w:lang w:val="en-US" w:eastAsia="zh-CN"/>
              </w:rPr>
              <w:t>一体化</w:t>
            </w:r>
            <w:r>
              <w:rPr>
                <w:rFonts w:hint="eastAsia"/>
                <w:color w:val="auto"/>
                <w:vertAlign w:val="baseline"/>
              </w:rPr>
              <w:t>污水处理设施模为</w:t>
            </w:r>
            <w:r>
              <w:rPr>
                <w:rFonts w:hint="eastAsia"/>
                <w:color w:val="auto"/>
                <w:vertAlign w:val="baseline"/>
                <w:lang w:val="en-US" w:eastAsia="zh-CN"/>
              </w:rPr>
              <w:t>1m</w:t>
            </w:r>
            <w:r>
              <w:rPr>
                <w:rFonts w:hint="eastAsia"/>
                <w:color w:val="auto"/>
                <w:vertAlign w:val="superscript"/>
                <w:lang w:val="en-US" w:eastAsia="zh-CN"/>
              </w:rPr>
              <w:t>3</w:t>
            </w:r>
            <w:r>
              <w:rPr>
                <w:rFonts w:hint="eastAsia"/>
                <w:color w:val="auto"/>
                <w:vertAlign w:val="baseline"/>
                <w:lang w:val="en-US" w:eastAsia="zh-CN"/>
              </w:rPr>
              <w:t>/h，均满足高压水洗和蒸汽清洗时废水处理规模</w:t>
            </w:r>
            <w:r>
              <w:rPr>
                <w:rFonts w:hint="eastAsia"/>
                <w:color w:val="auto"/>
                <w:vertAlign w:val="baseline"/>
              </w:rPr>
              <w:t>，能满足项目废水处理需求</w:t>
            </w:r>
            <w:r>
              <w:rPr>
                <w:rFonts w:hint="eastAsia"/>
                <w:color w:val="auto"/>
                <w:vertAlign w:val="baseline"/>
                <w:lang w:eastAsia="zh-CN"/>
              </w:rPr>
              <w:t>，</w:t>
            </w:r>
            <w:r>
              <w:rPr>
                <w:rFonts w:hint="eastAsia"/>
                <w:color w:val="auto"/>
                <w:vertAlign w:val="baseline"/>
              </w:rPr>
              <w:t>因此设置合理。</w:t>
            </w:r>
          </w:p>
          <w:p w14:paraId="423908C1">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B、工艺流程分析</w:t>
            </w:r>
          </w:p>
          <w:p w14:paraId="6EC076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本项目清洗的罐车只清洗罐车内部，不对罐车的外部及车辆进行清洗，清洗过程中只使用清水和蒸汽，不添加任何清洗剂。清洗废水主要污染物为石油类、SS等。本项目采用的“</w:t>
            </w:r>
            <w:r>
              <w:rPr>
                <w:rFonts w:hint="eastAsia"/>
                <w:color w:val="auto"/>
                <w:sz w:val="24"/>
                <w:lang w:val="en-US" w:eastAsia="zh-CN"/>
              </w:rPr>
              <w:t>pH调节+絮凝混凝气浮+过滤</w:t>
            </w:r>
            <w:r>
              <w:rPr>
                <w:rFonts w:hint="eastAsia"/>
                <w:color w:val="auto"/>
                <w:vertAlign w:val="baseline"/>
                <w:lang w:val="en-US" w:eastAsia="zh-CN"/>
              </w:rPr>
              <w:t>”废水处理工艺组成及原理分析如下：</w:t>
            </w:r>
          </w:p>
          <w:p w14:paraId="6F3D351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vertAlign w:val="baseline"/>
                <w:lang w:val="en-US" w:eastAsia="zh-CN"/>
              </w:rPr>
            </w:pPr>
            <w:r>
              <w:rPr>
                <w:color w:val="auto"/>
              </w:rPr>
              <w:drawing>
                <wp:inline distT="0" distB="0" distL="114300" distR="114300">
                  <wp:extent cx="5000625" cy="1250315"/>
                  <wp:effectExtent l="0" t="0" r="9525" b="698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5000625" cy="1250315"/>
                          </a:xfrm>
                          <a:prstGeom prst="rect">
                            <a:avLst/>
                          </a:prstGeom>
                          <a:noFill/>
                          <a:ln>
                            <a:noFill/>
                          </a:ln>
                        </pic:spPr>
                      </pic:pic>
                    </a:graphicData>
                  </a:graphic>
                </wp:inline>
              </w:drawing>
            </w:r>
          </w:p>
          <w:p w14:paraId="556D00E9">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工艺流程简述：</w:t>
            </w:r>
          </w:p>
          <w:p w14:paraId="60C3D7F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（1）pH调节</w:t>
            </w:r>
          </w:p>
          <w:p w14:paraId="7207AFB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s="Times New Roman"/>
                <w:color w:val="auto"/>
                <w:sz w:val="24"/>
                <w:szCs w:val="24"/>
                <w:vertAlign w:val="baseline"/>
                <w:lang w:val="en-US" w:eastAsia="zh-CN"/>
              </w:rPr>
              <w:t>污水处理时絮凝混凝过程需要在碱性条件下进行，pH调节时仅添加碱性药剂。</w:t>
            </w:r>
            <w:r>
              <w:rPr>
                <w:rFonts w:hint="eastAsia"/>
                <w:color w:val="auto"/>
                <w:vertAlign w:val="baseline"/>
                <w:lang w:val="en-US" w:eastAsia="zh-CN"/>
              </w:rPr>
              <w:t>污水泵入设备后，通过pH在线监测自动控制投加碱，从而调节污水的pH值至适宜的范围，确保后续工艺稳定</w:t>
            </w:r>
            <w:r>
              <w:rPr>
                <w:rFonts w:hint="eastAsia"/>
                <w:color w:val="auto"/>
                <w:sz w:val="24"/>
                <w:szCs w:val="24"/>
                <w:vertAlign w:val="baseline"/>
                <w:lang w:val="en-US" w:eastAsia="zh-CN"/>
              </w:rPr>
              <w:t>运行。</w:t>
            </w:r>
          </w:p>
          <w:p w14:paraId="1C31BA1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（2）絮凝混凝气浮</w:t>
            </w:r>
          </w:p>
          <w:p w14:paraId="03E38C1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混凝是指通过添加混凝剂PAC来中和水中悬浮颗粒的电荷，减少它们之间的排斥力，从而使它们能够聚集在一起形成较大的颗粒。絮凝则是通过添加絮凝剂PAM来促进这些颗粒之间的聚集，形成更大的絮状物。</w:t>
            </w:r>
          </w:p>
          <w:p w14:paraId="5460E5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气浮主要起固液分离作用，去除废水中的悬浮物（SS）、油污、色度，同时可以降低COD、BOD等污染物，主要利用溶气系统产生的溶气水中的微气泡，与水中（在絮凝剂和助凝剂混合形成的矾花）悬浮物絮体碰撞粘合在一起，形成“微小气泡—悬浮物复合体”，该“微气泡—悬浮物复合体”逐渐共聚</w:t>
            </w:r>
            <w:r>
              <w:rPr>
                <w:rFonts w:hint="default" w:ascii="Times New Roman" w:hAnsi="Times New Roman" w:cs="Times New Roman"/>
                <w:color w:val="auto"/>
                <w:vertAlign w:val="baseline"/>
                <w:lang w:val="en-US" w:eastAsia="zh-CN"/>
              </w:rPr>
              <w:t>，体积变大，形成比重小于1的“气泡—悬浮物复合体”。溶气水在0.3-0.5MPa的工作压力的情况下，使空气最大限度地溶入水中，通过减压释放，形成直径在20μm-30μm左右的微小气泡。在废水中加入絮凝剂PAC或PAM（PAC为10-15%，PAM为1-2‰左右），经过5min的有效絮凝反应（其时间、药量和絮凝效果须由实验测定），进入接触区。在接触区内，微气泡与废水中絮体相互粘合，一起进入分离区，在气泡浮力的作用下，絮体与气泡一起上升至液面，形成浮渣，浮渣由刮渣机刮至污泥区。中层的清水进入过滤区，清水少部分回流供溶气系</w:t>
            </w:r>
            <w:r>
              <w:rPr>
                <w:rFonts w:hint="eastAsia"/>
                <w:color w:val="auto"/>
                <w:vertAlign w:val="baseline"/>
                <w:lang w:val="en-US" w:eastAsia="zh-CN"/>
              </w:rPr>
              <w:t>统使用。下层较重的杂质沉在池底，通过排泥系统定期排出。</w:t>
            </w:r>
          </w:p>
          <w:p w14:paraId="21893F5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（3）过滤</w:t>
            </w:r>
          </w:p>
          <w:p w14:paraId="06A64F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eastAsia"/>
                <w:color w:val="auto"/>
                <w:vertAlign w:val="baseline"/>
                <w:lang w:val="en-US" w:eastAsia="zh-CN"/>
              </w:rPr>
              <w:t>中层的清水进入过滤区，过滤区由石英砂和纤维球填装，清水自下而上依次通过石英砂、纤维球。石英砂可有效去除水中的悬浮物、有机物、胶质颗粒、</w:t>
            </w:r>
            <w:r>
              <w:rPr>
                <w:rFonts w:hint="eastAsia"/>
                <w:b w:val="0"/>
                <w:bCs w:val="0"/>
                <w:color w:val="auto"/>
                <w:vertAlign w:val="baseline"/>
                <w:lang w:val="en-US" w:eastAsia="zh-CN"/>
              </w:rPr>
              <w:t>微生物、氯、嗅味及部分重金属离子等，纤维球能够有效去除水中的悬</w:t>
            </w:r>
            <w:r>
              <w:rPr>
                <w:rFonts w:hint="default" w:ascii="Times New Roman" w:hAnsi="Times New Roman" w:cs="Times New Roman"/>
                <w:b w:val="0"/>
                <w:bCs w:val="0"/>
                <w:color w:val="auto"/>
                <w:vertAlign w:val="baseline"/>
                <w:lang w:val="en-US" w:eastAsia="zh-CN"/>
              </w:rPr>
              <w:t>浮物和油类物质</w:t>
            </w:r>
            <w:r>
              <w:rPr>
                <w:rFonts w:hint="default" w:ascii="Times New Roman" w:hAnsi="Times New Roman" w:cs="Times New Roman"/>
                <w:color w:val="auto"/>
                <w:vertAlign w:val="baseline"/>
                <w:lang w:val="en-US" w:eastAsia="zh-CN"/>
              </w:rPr>
              <w:t>，以达到净化水质的目的。</w:t>
            </w:r>
          </w:p>
          <w:p w14:paraId="055DF44C">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C、工艺可行性分析：</w:t>
            </w:r>
          </w:p>
          <w:p w14:paraId="7FFAD892">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根据设备安装调试时的废水检测数据，</w:t>
            </w:r>
            <w:r>
              <w:rPr>
                <w:rFonts w:hint="eastAsia"/>
                <w:b w:val="0"/>
                <w:bCs/>
                <w:color w:val="auto"/>
                <w:kern w:val="0"/>
                <w:lang w:val="en-US" w:eastAsia="zh-CN"/>
              </w:rPr>
              <w:t>一体化污水处理设施出口水质满足《城市污水再生利用 城市杂用水水质》（GB/T18920-2020）中冲厕、车辆清洗标准，项目废水处理工艺可行，生产废水经处理后可回用于生产，不外排。</w:t>
            </w:r>
          </w:p>
          <w:p w14:paraId="512CD4A7">
            <w:pPr>
              <w:ind w:firstLine="482" w:firstLineChars="200"/>
              <w:rPr>
                <w:rFonts w:ascii="宋体" w:hAnsi="宋体" w:eastAsia="Times New Roman"/>
                <w:b/>
                <w:color w:val="auto"/>
                <w:kern w:val="0"/>
              </w:rPr>
            </w:pPr>
            <w:r>
              <w:rPr>
                <w:rFonts w:hint="eastAsia" w:eastAsia="宋体"/>
                <w:b/>
                <w:color w:val="auto"/>
                <w:kern w:val="0"/>
                <w:lang w:val="en-US" w:eastAsia="zh-CN"/>
              </w:rPr>
              <w:t>4</w:t>
            </w:r>
            <w:r>
              <w:rPr>
                <w:rFonts w:hint="eastAsia" w:ascii="宋体" w:hAnsi="宋体" w:eastAsia="Times New Roman"/>
                <w:b/>
                <w:color w:val="auto"/>
                <w:kern w:val="0"/>
              </w:rPr>
              <w:t>、废水影响分析结论</w:t>
            </w:r>
          </w:p>
          <w:p w14:paraId="0A07A02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Times New Roman"/>
                <w:color w:val="auto"/>
                <w:kern w:val="0"/>
              </w:rPr>
            </w:pPr>
            <w:r>
              <w:rPr>
                <w:rFonts w:hint="eastAsia" w:eastAsia="Times New Roman"/>
                <w:color w:val="auto"/>
                <w:kern w:val="0"/>
              </w:rPr>
              <w:t>项目</w:t>
            </w:r>
            <w:r>
              <w:rPr>
                <w:rFonts w:hint="eastAsia" w:eastAsia="宋体"/>
                <w:color w:val="auto"/>
                <w:kern w:val="0"/>
                <w:lang w:val="en-US" w:eastAsia="zh-CN"/>
              </w:rPr>
              <w:t>生活废水进入化粪池处理后，由于项目区未接通园区管网，定期委托环卫部门清掏，不外排。若今后项目区接通园区管网，项目生活废水经化粪池处理后排入园区市政污水管网，排放标准执行《污水综合排放标准》（GB8978-1996）三级标准。</w:t>
            </w:r>
            <w:r>
              <w:rPr>
                <w:rFonts w:hint="eastAsia"/>
                <w:color w:val="auto"/>
                <w:kern w:val="0"/>
                <w:lang w:val="en-US" w:eastAsia="zh-CN"/>
              </w:rPr>
              <w:t>生产</w:t>
            </w:r>
            <w:r>
              <w:rPr>
                <w:rFonts w:hint="eastAsia" w:eastAsia="宋体"/>
                <w:color w:val="auto"/>
                <w:kern w:val="0"/>
                <w:lang w:val="en-US" w:eastAsia="zh-CN"/>
              </w:rPr>
              <w:t>废水收集至</w:t>
            </w:r>
            <w:r>
              <w:rPr>
                <w:rFonts w:hint="eastAsia"/>
                <w:color w:val="auto"/>
                <w:kern w:val="0"/>
                <w:lang w:val="en-US" w:eastAsia="zh-CN"/>
              </w:rPr>
              <w:t>隔油</w:t>
            </w:r>
            <w:r>
              <w:rPr>
                <w:rFonts w:hint="eastAsia" w:eastAsia="宋体"/>
                <w:color w:val="auto"/>
                <w:kern w:val="0"/>
                <w:lang w:val="en-US" w:eastAsia="zh-CN"/>
              </w:rPr>
              <w:t>沉淀池，进入一体化污水处理设施后回用，初期雨水经初期雨水收集池沉淀后回用厂区洒水降尘。</w:t>
            </w:r>
            <w:r>
              <w:rPr>
                <w:rFonts w:hint="eastAsia" w:eastAsia="Times New Roman"/>
                <w:color w:val="auto"/>
                <w:kern w:val="0"/>
              </w:rPr>
              <w:t>项目废水处置方式可行，产生的废水均可得到有效处置，对周边地表水环境影响较小。</w:t>
            </w:r>
          </w:p>
          <w:p w14:paraId="13354B44">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eastAsia="宋体"/>
                <w:b/>
                <w:bCs/>
                <w:color w:val="auto"/>
                <w:kern w:val="0"/>
                <w:lang w:val="en-US" w:eastAsia="zh-CN"/>
              </w:rPr>
            </w:pPr>
            <w:r>
              <w:rPr>
                <w:rFonts w:hint="eastAsia" w:eastAsia="宋体"/>
                <w:b/>
                <w:bCs/>
                <w:color w:val="auto"/>
                <w:kern w:val="0"/>
                <w:lang w:val="en-US" w:eastAsia="zh-CN"/>
              </w:rPr>
              <w:t>5、自行监测计划</w:t>
            </w:r>
          </w:p>
          <w:p w14:paraId="516B44D5">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参照《排污单位自行监测技术指南  总则》（HJ819-2017），确定本项目废水自行监测计划如下。</w:t>
            </w:r>
          </w:p>
          <w:p w14:paraId="1E798CBA">
            <w:pPr>
              <w:pStyle w:val="2"/>
              <w:rPr>
                <w:rFonts w:hint="eastAsia" w:ascii="Times New Roman" w:hAnsi="Times New Roman" w:eastAsia="宋体" w:cs="Times New Roman"/>
                <w:color w:val="auto"/>
                <w:sz w:val="24"/>
                <w:szCs w:val="24"/>
                <w:highlight w:val="none"/>
                <w:lang w:val="en-US" w:eastAsia="zh-CN"/>
              </w:rPr>
            </w:pPr>
          </w:p>
          <w:p w14:paraId="3AA81DAC">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default" w:ascii="宋体" w:hAnsi="宋体"/>
                <w:b/>
                <w:bCs/>
                <w:color w:val="auto"/>
                <w:sz w:val="21"/>
                <w:szCs w:val="21"/>
              </w:rPr>
              <w:t>表</w:t>
            </w:r>
            <w:r>
              <w:rPr>
                <w:rFonts w:hint="default"/>
                <w:b/>
                <w:bCs/>
                <w:color w:val="auto"/>
                <w:sz w:val="21"/>
                <w:szCs w:val="21"/>
              </w:rPr>
              <w:t>4-</w:t>
            </w:r>
            <w:r>
              <w:rPr>
                <w:rFonts w:hint="eastAsia"/>
                <w:b/>
                <w:bCs/>
                <w:color w:val="auto"/>
                <w:sz w:val="21"/>
                <w:szCs w:val="21"/>
                <w:lang w:val="en-US" w:eastAsia="zh-CN"/>
              </w:rPr>
              <w:t>6</w:t>
            </w:r>
            <w:r>
              <w:rPr>
                <w:rFonts w:hint="default"/>
                <w:b/>
                <w:bCs/>
                <w:color w:val="auto"/>
                <w:sz w:val="21"/>
                <w:szCs w:val="21"/>
              </w:rPr>
              <w:t xml:space="preserve"> </w:t>
            </w:r>
            <w:r>
              <w:rPr>
                <w:rFonts w:hint="default" w:ascii="宋体" w:hAnsi="宋体"/>
                <w:b/>
                <w:bCs/>
                <w:color w:val="auto"/>
                <w:sz w:val="21"/>
                <w:szCs w:val="21"/>
              </w:rPr>
              <w:t>废水污染物自行监测计划一览表</w:t>
            </w:r>
          </w:p>
          <w:tbl>
            <w:tblPr>
              <w:tblStyle w:val="29"/>
              <w:tblW w:w="0" w:type="auto"/>
              <w:jc w:val="center"/>
              <w:tblLayout w:type="autofit"/>
              <w:tblCellMar>
                <w:top w:w="0" w:type="dxa"/>
                <w:left w:w="108" w:type="dxa"/>
                <w:bottom w:w="0" w:type="dxa"/>
                <w:right w:w="108" w:type="dxa"/>
              </w:tblCellMar>
            </w:tblPr>
            <w:tblGrid>
              <w:gridCol w:w="1196"/>
              <w:gridCol w:w="1337"/>
              <w:gridCol w:w="1832"/>
              <w:gridCol w:w="1205"/>
              <w:gridCol w:w="2285"/>
            </w:tblGrid>
            <w:tr w14:paraId="04635E52">
              <w:tblPrEx>
                <w:tblCellMar>
                  <w:top w:w="0" w:type="dxa"/>
                  <w:left w:w="108" w:type="dxa"/>
                  <w:bottom w:w="0" w:type="dxa"/>
                  <w:right w:w="108" w:type="dxa"/>
                </w:tblCellMar>
              </w:tblPrEx>
              <w:trPr>
                <w:trHeight w:val="23"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1E881B0F">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监测内容</w:t>
                  </w:r>
                </w:p>
              </w:tc>
              <w:tc>
                <w:tcPr>
                  <w:tcW w:w="1345" w:type="dxa"/>
                  <w:tcBorders>
                    <w:top w:val="single" w:color="auto" w:sz="4" w:space="0"/>
                    <w:left w:val="single" w:color="auto" w:sz="4" w:space="0"/>
                    <w:bottom w:val="single" w:color="auto" w:sz="4" w:space="0"/>
                    <w:right w:val="single" w:color="auto" w:sz="4" w:space="0"/>
                  </w:tcBorders>
                  <w:vAlign w:val="center"/>
                </w:tcPr>
                <w:p w14:paraId="241DE2E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监测点位</w:t>
                  </w:r>
                </w:p>
              </w:tc>
              <w:tc>
                <w:tcPr>
                  <w:tcW w:w="1843" w:type="dxa"/>
                  <w:tcBorders>
                    <w:top w:val="single" w:color="auto" w:sz="4" w:space="0"/>
                    <w:left w:val="single" w:color="auto" w:sz="4" w:space="0"/>
                    <w:bottom w:val="single" w:color="auto" w:sz="4" w:space="0"/>
                    <w:right w:val="single" w:color="auto" w:sz="4" w:space="0"/>
                  </w:tcBorders>
                  <w:vAlign w:val="center"/>
                </w:tcPr>
                <w:p w14:paraId="29F55861">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监测项目</w:t>
                  </w:r>
                </w:p>
              </w:tc>
              <w:tc>
                <w:tcPr>
                  <w:tcW w:w="1212" w:type="dxa"/>
                  <w:tcBorders>
                    <w:top w:val="single" w:color="auto" w:sz="4" w:space="0"/>
                    <w:left w:val="single" w:color="auto" w:sz="4" w:space="0"/>
                    <w:bottom w:val="single" w:color="auto" w:sz="4" w:space="0"/>
                    <w:right w:val="single" w:color="auto" w:sz="4" w:space="0"/>
                  </w:tcBorders>
                  <w:vAlign w:val="center"/>
                </w:tcPr>
                <w:p w14:paraId="0F2BA1A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监测频次</w:t>
                  </w:r>
                </w:p>
              </w:tc>
              <w:tc>
                <w:tcPr>
                  <w:tcW w:w="2289" w:type="dxa"/>
                  <w:tcBorders>
                    <w:top w:val="single" w:color="auto" w:sz="4" w:space="0"/>
                    <w:left w:val="single" w:color="auto" w:sz="4" w:space="0"/>
                    <w:bottom w:val="single" w:color="auto" w:sz="4" w:space="0"/>
                    <w:right w:val="single" w:color="auto" w:sz="4" w:space="0"/>
                  </w:tcBorders>
                  <w:vAlign w:val="center"/>
                </w:tcPr>
                <w:p w14:paraId="07414865">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标准</w:t>
                  </w:r>
                </w:p>
              </w:tc>
            </w:tr>
            <w:tr w14:paraId="67B2CF5F">
              <w:tblPrEx>
                <w:tblCellMar>
                  <w:top w:w="0" w:type="dxa"/>
                  <w:left w:w="108" w:type="dxa"/>
                  <w:bottom w:w="0" w:type="dxa"/>
                  <w:right w:w="108" w:type="dxa"/>
                </w:tblCellMar>
              </w:tblPrEx>
              <w:trPr>
                <w:trHeight w:val="23"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217E7FA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废水</w:t>
                  </w:r>
                </w:p>
              </w:tc>
              <w:tc>
                <w:tcPr>
                  <w:tcW w:w="1345" w:type="dxa"/>
                  <w:tcBorders>
                    <w:top w:val="single" w:color="auto" w:sz="4" w:space="0"/>
                    <w:left w:val="single" w:color="auto" w:sz="4" w:space="0"/>
                    <w:bottom w:val="single" w:color="auto" w:sz="4" w:space="0"/>
                    <w:right w:val="single" w:color="auto" w:sz="4" w:space="0"/>
                  </w:tcBorders>
                  <w:vAlign w:val="center"/>
                </w:tcPr>
                <w:p w14:paraId="3E44E1B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化粪池最终</w:t>
                  </w:r>
                  <w:r>
                    <w:rPr>
                      <w:rFonts w:hint="default" w:ascii="宋体" w:hAnsi="宋体"/>
                      <w:color w:val="auto"/>
                      <w:sz w:val="21"/>
                      <w:szCs w:val="21"/>
                    </w:rPr>
                    <w:t>出口</w:t>
                  </w:r>
                </w:p>
              </w:tc>
              <w:tc>
                <w:tcPr>
                  <w:tcW w:w="1843" w:type="dxa"/>
                  <w:tcBorders>
                    <w:top w:val="single" w:color="auto" w:sz="4" w:space="0"/>
                    <w:left w:val="single" w:color="auto" w:sz="4" w:space="0"/>
                    <w:bottom w:val="single" w:color="auto" w:sz="4" w:space="0"/>
                    <w:right w:val="single" w:color="auto" w:sz="4" w:space="0"/>
                  </w:tcBorders>
                  <w:vAlign w:val="center"/>
                </w:tcPr>
                <w:p w14:paraId="73B2AC9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五日生化需氧量、</w:t>
                  </w:r>
                  <w:r>
                    <w:rPr>
                      <w:rFonts w:hint="eastAsia"/>
                      <w:color w:val="auto"/>
                      <w:sz w:val="21"/>
                      <w:szCs w:val="21"/>
                      <w:lang w:val="en-US" w:eastAsia="zh-CN"/>
                    </w:rPr>
                    <w:t>化学需氧量</w:t>
                  </w:r>
                  <w:r>
                    <w:rPr>
                      <w:rFonts w:hint="default" w:ascii="宋体" w:hAnsi="宋体"/>
                      <w:color w:val="auto"/>
                      <w:sz w:val="21"/>
                      <w:szCs w:val="21"/>
                    </w:rPr>
                    <w:t>、</w:t>
                  </w:r>
                  <w:r>
                    <w:rPr>
                      <w:rFonts w:hint="eastAsia" w:ascii="宋体" w:hAnsi="宋体"/>
                      <w:color w:val="auto"/>
                      <w:sz w:val="21"/>
                      <w:szCs w:val="21"/>
                      <w:lang w:val="en-US" w:eastAsia="zh-CN"/>
                    </w:rPr>
                    <w:t>石油类</w:t>
                  </w:r>
                  <w:r>
                    <w:rPr>
                      <w:rFonts w:hint="default" w:ascii="宋体" w:hAnsi="宋体"/>
                      <w:color w:val="auto"/>
                      <w:sz w:val="21"/>
                      <w:szCs w:val="21"/>
                    </w:rPr>
                    <w:t>、氨氮、总磷</w:t>
                  </w:r>
                  <w:r>
                    <w:rPr>
                      <w:rFonts w:hint="eastAsia" w:ascii="宋体" w:hAnsi="宋体"/>
                      <w:color w:val="auto"/>
                      <w:sz w:val="21"/>
                      <w:szCs w:val="21"/>
                      <w:lang w:eastAsia="zh-CN"/>
                    </w:rPr>
                    <w:t>、</w:t>
                  </w:r>
                  <w:r>
                    <w:rPr>
                      <w:rFonts w:hint="eastAsia" w:ascii="宋体" w:hAnsi="宋体"/>
                      <w:color w:val="auto"/>
                      <w:sz w:val="21"/>
                      <w:szCs w:val="21"/>
                      <w:lang w:val="en-US" w:eastAsia="zh-CN"/>
                    </w:rPr>
                    <w:t>总氮</w:t>
                  </w:r>
                  <w:r>
                    <w:rPr>
                      <w:rFonts w:hint="default" w:ascii="宋体" w:hAnsi="宋体"/>
                      <w:color w:val="auto"/>
                      <w:sz w:val="21"/>
                      <w:szCs w:val="21"/>
                    </w:rPr>
                    <w:t>等</w:t>
                  </w:r>
                </w:p>
              </w:tc>
              <w:tc>
                <w:tcPr>
                  <w:tcW w:w="1212" w:type="dxa"/>
                  <w:tcBorders>
                    <w:top w:val="single" w:color="auto" w:sz="4" w:space="0"/>
                    <w:left w:val="single" w:color="auto" w:sz="4" w:space="0"/>
                    <w:bottom w:val="single" w:color="auto" w:sz="4" w:space="0"/>
                    <w:right w:val="single" w:color="auto" w:sz="4" w:space="0"/>
                  </w:tcBorders>
                  <w:vAlign w:val="center"/>
                </w:tcPr>
                <w:p w14:paraId="0C63A7B5">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default"/>
                      <w:color w:val="auto"/>
                      <w:sz w:val="21"/>
                      <w:szCs w:val="21"/>
                    </w:rPr>
                    <w:t>1</w:t>
                  </w:r>
                  <w:r>
                    <w:rPr>
                      <w:rFonts w:hint="default" w:ascii="宋体" w:hAnsi="宋体"/>
                      <w:color w:val="auto"/>
                      <w:sz w:val="21"/>
                      <w:szCs w:val="21"/>
                    </w:rPr>
                    <w:t>次</w:t>
                  </w:r>
                  <w:r>
                    <w:rPr>
                      <w:rFonts w:hint="default"/>
                      <w:color w:val="auto"/>
                      <w:sz w:val="21"/>
                      <w:szCs w:val="21"/>
                    </w:rPr>
                    <w:t>/</w:t>
                  </w:r>
                  <w:r>
                    <w:rPr>
                      <w:rFonts w:hint="eastAsia"/>
                      <w:color w:val="auto"/>
                      <w:sz w:val="21"/>
                      <w:szCs w:val="21"/>
                      <w:lang w:val="en-US" w:eastAsia="zh-CN"/>
                    </w:rPr>
                    <w:t>a</w:t>
                  </w:r>
                </w:p>
              </w:tc>
              <w:tc>
                <w:tcPr>
                  <w:tcW w:w="2289" w:type="dxa"/>
                  <w:tcBorders>
                    <w:top w:val="single" w:color="auto" w:sz="4" w:space="0"/>
                    <w:left w:val="single" w:color="auto" w:sz="4" w:space="0"/>
                    <w:bottom w:val="single" w:color="auto" w:sz="4" w:space="0"/>
                    <w:right w:val="single" w:color="auto" w:sz="4" w:space="0"/>
                  </w:tcBorders>
                  <w:vAlign w:val="center"/>
                </w:tcPr>
                <w:p w14:paraId="1A34E5A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Times New Roman" w:hAnsi="Times New Roman" w:cs="Times New Roman"/>
                      <w:color w:val="auto"/>
                      <w:sz w:val="21"/>
                      <w:szCs w:val="21"/>
                    </w:rPr>
                    <w:t>《污水综合排放标准》（GB8978-1996）三级标准</w:t>
                  </w:r>
                </w:p>
              </w:tc>
            </w:tr>
          </w:tbl>
          <w:p w14:paraId="4761A94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三、噪声</w:t>
            </w:r>
          </w:p>
          <w:p w14:paraId="094425A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1、噪声源强</w:t>
            </w:r>
          </w:p>
          <w:p w14:paraId="6514EB0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color w:val="auto"/>
                <w:vertAlign w:val="baseline"/>
              </w:rPr>
            </w:pPr>
            <w:r>
              <w:rPr>
                <w:rFonts w:hint="eastAsia"/>
                <w:color w:val="auto"/>
                <w:vertAlign w:val="baseline"/>
              </w:rPr>
              <w:t>本项目设备噪声约为</w:t>
            </w:r>
            <w:r>
              <w:rPr>
                <w:rFonts w:hint="eastAsia"/>
                <w:color w:val="auto"/>
                <w:vertAlign w:val="baseline"/>
                <w:lang w:val="en-US" w:eastAsia="zh-CN"/>
              </w:rPr>
              <w:t>70</w:t>
            </w:r>
            <w:r>
              <w:rPr>
                <w:rFonts w:hint="eastAsia"/>
                <w:color w:val="auto"/>
                <w:vertAlign w:val="baseline"/>
              </w:rPr>
              <w:t>~</w:t>
            </w:r>
            <w:r>
              <w:rPr>
                <w:rFonts w:hint="eastAsia"/>
                <w:color w:val="auto"/>
                <w:vertAlign w:val="baseline"/>
                <w:lang w:val="en-US" w:eastAsia="zh-CN"/>
              </w:rPr>
              <w:t>85</w:t>
            </w:r>
            <w:r>
              <w:rPr>
                <w:rFonts w:hint="eastAsia"/>
                <w:color w:val="auto"/>
                <w:vertAlign w:val="baseline"/>
              </w:rPr>
              <w:t>dB（A），生产设备噪声产生源强如下表所示。</w:t>
            </w:r>
          </w:p>
          <w:p w14:paraId="030DD73A">
            <w:pPr>
              <w:jc w:val="center"/>
              <w:rPr>
                <w:b/>
                <w:bCs/>
                <w:color w:val="auto"/>
                <w:kern w:val="0"/>
                <w:sz w:val="21"/>
                <w:szCs w:val="21"/>
              </w:rPr>
            </w:pPr>
            <w:r>
              <w:rPr>
                <w:rFonts w:hint="eastAsia"/>
                <w:b/>
                <w:bCs/>
                <w:color w:val="auto"/>
                <w:sz w:val="21"/>
                <w:szCs w:val="21"/>
                <w:vertAlign w:val="baseline"/>
                <w:lang w:val="en-US" w:eastAsia="zh-CN"/>
              </w:rPr>
              <w:t xml:space="preserve">表4-7 </w:t>
            </w:r>
            <w:r>
              <w:rPr>
                <w:rFonts w:hint="eastAsia"/>
                <w:b/>
                <w:bCs/>
                <w:color w:val="auto"/>
                <w:kern w:val="0"/>
                <w:sz w:val="21"/>
                <w:szCs w:val="21"/>
              </w:rPr>
              <w:t>项目噪声源强表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16"/>
              <w:gridCol w:w="537"/>
              <w:gridCol w:w="636"/>
              <w:gridCol w:w="531"/>
              <w:gridCol w:w="531"/>
              <w:gridCol w:w="422"/>
              <w:gridCol w:w="645"/>
              <w:gridCol w:w="691"/>
              <w:gridCol w:w="561"/>
              <w:gridCol w:w="619"/>
              <w:gridCol w:w="630"/>
              <w:gridCol w:w="899"/>
            </w:tblGrid>
            <w:tr w14:paraId="5D57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3A6D2413">
                  <w:pPr>
                    <w:spacing w:line="240" w:lineRule="auto"/>
                    <w:contextualSpacing/>
                    <w:jc w:val="center"/>
                    <w:rPr>
                      <w:rFonts w:hint="eastAsia" w:eastAsia="宋体"/>
                      <w:b/>
                      <w:color w:val="auto"/>
                      <w:kern w:val="0"/>
                      <w:sz w:val="21"/>
                      <w:szCs w:val="21"/>
                      <w:lang w:eastAsia="zh-CN"/>
                    </w:rPr>
                  </w:pPr>
                  <w:r>
                    <w:rPr>
                      <w:rFonts w:hint="eastAsia"/>
                      <w:b/>
                      <w:color w:val="auto"/>
                      <w:kern w:val="0"/>
                      <w:sz w:val="21"/>
                      <w:szCs w:val="21"/>
                      <w:lang w:val="en-US" w:eastAsia="zh-CN"/>
                    </w:rPr>
                    <w:t>序号</w:t>
                  </w:r>
                </w:p>
              </w:tc>
              <w:tc>
                <w:tcPr>
                  <w:tcW w:w="716" w:type="dxa"/>
                  <w:vMerge w:val="restart"/>
                  <w:vAlign w:val="center"/>
                </w:tcPr>
                <w:p w14:paraId="3332C8E7">
                  <w:pPr>
                    <w:spacing w:line="240" w:lineRule="auto"/>
                    <w:contextualSpacing/>
                    <w:jc w:val="center"/>
                    <w:rPr>
                      <w:b/>
                      <w:color w:val="auto"/>
                      <w:kern w:val="0"/>
                      <w:sz w:val="21"/>
                      <w:szCs w:val="21"/>
                    </w:rPr>
                  </w:pPr>
                  <w:r>
                    <w:rPr>
                      <w:rFonts w:hint="eastAsia"/>
                      <w:b/>
                      <w:color w:val="auto"/>
                      <w:kern w:val="0"/>
                      <w:sz w:val="21"/>
                      <w:szCs w:val="21"/>
                    </w:rPr>
                    <w:t>声源名称</w:t>
                  </w:r>
                </w:p>
              </w:tc>
              <w:tc>
                <w:tcPr>
                  <w:tcW w:w="537" w:type="dxa"/>
                  <w:vMerge w:val="restart"/>
                  <w:vAlign w:val="center"/>
                </w:tcPr>
                <w:p w14:paraId="2C13F4DD">
                  <w:pPr>
                    <w:spacing w:line="240" w:lineRule="auto"/>
                    <w:contextualSpacing/>
                    <w:jc w:val="center"/>
                    <w:rPr>
                      <w:b/>
                      <w:color w:val="auto"/>
                      <w:kern w:val="0"/>
                      <w:sz w:val="21"/>
                      <w:szCs w:val="21"/>
                    </w:rPr>
                  </w:pPr>
                  <w:r>
                    <w:rPr>
                      <w:rFonts w:hint="eastAsia"/>
                      <w:b/>
                      <w:color w:val="auto"/>
                      <w:kern w:val="0"/>
                      <w:sz w:val="21"/>
                      <w:szCs w:val="21"/>
                    </w:rPr>
                    <w:t>声功率</w:t>
                  </w:r>
                </w:p>
              </w:tc>
              <w:tc>
                <w:tcPr>
                  <w:tcW w:w="636" w:type="dxa"/>
                  <w:vMerge w:val="restart"/>
                  <w:vAlign w:val="center"/>
                </w:tcPr>
                <w:p w14:paraId="3BFC8AB5">
                  <w:pPr>
                    <w:spacing w:line="240" w:lineRule="auto"/>
                    <w:contextualSpacing/>
                    <w:jc w:val="center"/>
                    <w:rPr>
                      <w:b/>
                      <w:color w:val="auto"/>
                      <w:kern w:val="0"/>
                      <w:sz w:val="21"/>
                      <w:szCs w:val="21"/>
                    </w:rPr>
                  </w:pPr>
                  <w:r>
                    <w:rPr>
                      <w:rFonts w:hint="eastAsia"/>
                      <w:b/>
                      <w:color w:val="auto"/>
                      <w:kern w:val="0"/>
                      <w:sz w:val="21"/>
                      <w:szCs w:val="21"/>
                    </w:rPr>
                    <w:t>声源控制措施</w:t>
                  </w:r>
                </w:p>
              </w:tc>
              <w:tc>
                <w:tcPr>
                  <w:tcW w:w="1484" w:type="dxa"/>
                  <w:gridSpan w:val="3"/>
                  <w:vAlign w:val="center"/>
                </w:tcPr>
                <w:p w14:paraId="71F3FC2D">
                  <w:pPr>
                    <w:spacing w:line="240" w:lineRule="auto"/>
                    <w:contextualSpacing/>
                    <w:jc w:val="center"/>
                    <w:rPr>
                      <w:b/>
                      <w:color w:val="auto"/>
                      <w:kern w:val="0"/>
                      <w:sz w:val="21"/>
                      <w:szCs w:val="21"/>
                    </w:rPr>
                  </w:pPr>
                  <w:r>
                    <w:rPr>
                      <w:rFonts w:hint="eastAsia"/>
                      <w:b/>
                      <w:color w:val="auto"/>
                      <w:kern w:val="0"/>
                      <w:sz w:val="21"/>
                      <w:szCs w:val="21"/>
                    </w:rPr>
                    <w:t>空间相对位置/m</w:t>
                  </w:r>
                </w:p>
              </w:tc>
              <w:tc>
                <w:tcPr>
                  <w:tcW w:w="645" w:type="dxa"/>
                  <w:vMerge w:val="restart"/>
                  <w:vAlign w:val="center"/>
                </w:tcPr>
                <w:p w14:paraId="4227C304">
                  <w:pPr>
                    <w:spacing w:line="240" w:lineRule="auto"/>
                    <w:contextualSpacing/>
                    <w:jc w:val="center"/>
                    <w:rPr>
                      <w:b/>
                      <w:color w:val="auto"/>
                      <w:sz w:val="21"/>
                      <w:szCs w:val="21"/>
                    </w:rPr>
                  </w:pPr>
                  <w:r>
                    <w:rPr>
                      <w:rFonts w:hint="eastAsia" w:ascii="宋体" w:hAnsi="宋体"/>
                      <w:b/>
                      <w:color w:val="auto"/>
                      <w:kern w:val="0"/>
                      <w:sz w:val="21"/>
                      <w:szCs w:val="21"/>
                    </w:rPr>
                    <w:t>距室内边界距离</w:t>
                  </w:r>
                  <w:r>
                    <w:rPr>
                      <w:rFonts w:hint="eastAsia"/>
                      <w:b/>
                      <w:color w:val="auto"/>
                      <w:kern w:val="0"/>
                      <w:sz w:val="21"/>
                      <w:szCs w:val="21"/>
                    </w:rPr>
                    <w:t>/m</w:t>
                  </w:r>
                </w:p>
              </w:tc>
              <w:tc>
                <w:tcPr>
                  <w:tcW w:w="691" w:type="dxa"/>
                  <w:vMerge w:val="restart"/>
                  <w:vAlign w:val="center"/>
                </w:tcPr>
                <w:p w14:paraId="73543721">
                  <w:pPr>
                    <w:spacing w:line="240" w:lineRule="auto"/>
                    <w:contextualSpacing/>
                    <w:jc w:val="center"/>
                    <w:rPr>
                      <w:b/>
                      <w:color w:val="auto"/>
                      <w:sz w:val="21"/>
                      <w:szCs w:val="21"/>
                    </w:rPr>
                  </w:pPr>
                  <w:r>
                    <w:rPr>
                      <w:rFonts w:hint="eastAsia" w:ascii="宋体" w:hAnsi="宋体"/>
                      <w:b/>
                      <w:color w:val="auto"/>
                      <w:kern w:val="0"/>
                      <w:sz w:val="21"/>
                      <w:szCs w:val="21"/>
                    </w:rPr>
                    <w:t>室内边界声级</w:t>
                  </w:r>
                </w:p>
              </w:tc>
              <w:tc>
                <w:tcPr>
                  <w:tcW w:w="561" w:type="dxa"/>
                  <w:vMerge w:val="restart"/>
                  <w:vAlign w:val="center"/>
                </w:tcPr>
                <w:p w14:paraId="1E6AC742">
                  <w:pPr>
                    <w:spacing w:line="240" w:lineRule="auto"/>
                    <w:contextualSpacing/>
                    <w:jc w:val="center"/>
                    <w:rPr>
                      <w:b/>
                      <w:color w:val="auto"/>
                      <w:sz w:val="21"/>
                      <w:szCs w:val="21"/>
                    </w:rPr>
                  </w:pPr>
                  <w:r>
                    <w:rPr>
                      <w:rFonts w:hint="eastAsia" w:ascii="宋体" w:hAnsi="宋体"/>
                      <w:b/>
                      <w:color w:val="auto"/>
                      <w:kern w:val="0"/>
                      <w:sz w:val="21"/>
                      <w:szCs w:val="21"/>
                    </w:rPr>
                    <w:t>运行时段</w:t>
                  </w:r>
                </w:p>
              </w:tc>
              <w:tc>
                <w:tcPr>
                  <w:tcW w:w="619" w:type="dxa"/>
                  <w:vMerge w:val="restart"/>
                  <w:vAlign w:val="center"/>
                </w:tcPr>
                <w:p w14:paraId="6508C6CD">
                  <w:pPr>
                    <w:spacing w:line="240" w:lineRule="auto"/>
                    <w:contextualSpacing/>
                    <w:jc w:val="center"/>
                    <w:rPr>
                      <w:b/>
                      <w:color w:val="auto"/>
                      <w:sz w:val="21"/>
                      <w:szCs w:val="21"/>
                    </w:rPr>
                  </w:pPr>
                  <w:r>
                    <w:rPr>
                      <w:rFonts w:hint="eastAsia" w:ascii="宋体" w:hAnsi="宋体"/>
                      <w:b/>
                      <w:color w:val="auto"/>
                      <w:kern w:val="0"/>
                      <w:sz w:val="21"/>
                      <w:szCs w:val="21"/>
                    </w:rPr>
                    <w:t>建筑物插入损失</w:t>
                  </w:r>
                </w:p>
              </w:tc>
              <w:tc>
                <w:tcPr>
                  <w:tcW w:w="1529" w:type="dxa"/>
                  <w:gridSpan w:val="2"/>
                  <w:vAlign w:val="center"/>
                </w:tcPr>
                <w:p w14:paraId="6EB4C870">
                  <w:pPr>
                    <w:spacing w:line="240" w:lineRule="auto"/>
                    <w:contextualSpacing/>
                    <w:jc w:val="center"/>
                    <w:rPr>
                      <w:b/>
                      <w:color w:val="auto"/>
                      <w:kern w:val="0"/>
                      <w:sz w:val="21"/>
                      <w:szCs w:val="21"/>
                    </w:rPr>
                  </w:pPr>
                  <w:r>
                    <w:rPr>
                      <w:rFonts w:hint="eastAsia"/>
                      <w:b/>
                      <w:color w:val="auto"/>
                      <w:kern w:val="0"/>
                      <w:sz w:val="21"/>
                      <w:szCs w:val="21"/>
                    </w:rPr>
                    <w:t>建筑物外噪声</w:t>
                  </w:r>
                </w:p>
              </w:tc>
            </w:tr>
            <w:tr w14:paraId="0250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3244FA3B">
                  <w:pPr>
                    <w:spacing w:line="240" w:lineRule="auto"/>
                    <w:contextualSpacing/>
                    <w:jc w:val="center"/>
                    <w:rPr>
                      <w:color w:val="auto"/>
                      <w:kern w:val="0"/>
                      <w:sz w:val="21"/>
                      <w:szCs w:val="21"/>
                    </w:rPr>
                  </w:pPr>
                </w:p>
              </w:tc>
              <w:tc>
                <w:tcPr>
                  <w:tcW w:w="716" w:type="dxa"/>
                  <w:vMerge w:val="continue"/>
                  <w:vAlign w:val="center"/>
                </w:tcPr>
                <w:p w14:paraId="09E25A3A">
                  <w:pPr>
                    <w:spacing w:line="240" w:lineRule="auto"/>
                    <w:contextualSpacing/>
                    <w:jc w:val="center"/>
                    <w:rPr>
                      <w:color w:val="auto"/>
                      <w:kern w:val="0"/>
                      <w:sz w:val="21"/>
                      <w:szCs w:val="21"/>
                    </w:rPr>
                  </w:pPr>
                </w:p>
              </w:tc>
              <w:tc>
                <w:tcPr>
                  <w:tcW w:w="537" w:type="dxa"/>
                  <w:vMerge w:val="continue"/>
                  <w:vAlign w:val="center"/>
                </w:tcPr>
                <w:p w14:paraId="56227F90">
                  <w:pPr>
                    <w:spacing w:line="240" w:lineRule="auto"/>
                    <w:contextualSpacing/>
                    <w:jc w:val="center"/>
                    <w:rPr>
                      <w:color w:val="auto"/>
                      <w:kern w:val="0"/>
                      <w:sz w:val="21"/>
                      <w:szCs w:val="21"/>
                    </w:rPr>
                  </w:pPr>
                </w:p>
              </w:tc>
              <w:tc>
                <w:tcPr>
                  <w:tcW w:w="636" w:type="dxa"/>
                  <w:vMerge w:val="continue"/>
                  <w:vAlign w:val="center"/>
                </w:tcPr>
                <w:p w14:paraId="1602B910">
                  <w:pPr>
                    <w:spacing w:line="240" w:lineRule="auto"/>
                    <w:contextualSpacing/>
                    <w:jc w:val="center"/>
                    <w:rPr>
                      <w:color w:val="auto"/>
                      <w:kern w:val="0"/>
                      <w:sz w:val="21"/>
                      <w:szCs w:val="21"/>
                    </w:rPr>
                  </w:pPr>
                </w:p>
              </w:tc>
              <w:tc>
                <w:tcPr>
                  <w:tcW w:w="531" w:type="dxa"/>
                  <w:vAlign w:val="center"/>
                </w:tcPr>
                <w:p w14:paraId="4E9A878E">
                  <w:pPr>
                    <w:spacing w:line="240" w:lineRule="auto"/>
                    <w:contextualSpacing/>
                    <w:jc w:val="center"/>
                    <w:rPr>
                      <w:b/>
                      <w:color w:val="auto"/>
                      <w:kern w:val="0"/>
                      <w:sz w:val="21"/>
                      <w:szCs w:val="21"/>
                    </w:rPr>
                  </w:pPr>
                  <w:r>
                    <w:rPr>
                      <w:rFonts w:hint="eastAsia"/>
                      <w:b/>
                      <w:color w:val="auto"/>
                      <w:kern w:val="0"/>
                      <w:sz w:val="21"/>
                      <w:szCs w:val="21"/>
                    </w:rPr>
                    <w:t>X</w:t>
                  </w:r>
                </w:p>
              </w:tc>
              <w:tc>
                <w:tcPr>
                  <w:tcW w:w="531" w:type="dxa"/>
                  <w:vAlign w:val="center"/>
                </w:tcPr>
                <w:p w14:paraId="60C89635">
                  <w:pPr>
                    <w:spacing w:line="240" w:lineRule="auto"/>
                    <w:contextualSpacing/>
                    <w:jc w:val="center"/>
                    <w:rPr>
                      <w:b/>
                      <w:color w:val="auto"/>
                      <w:kern w:val="0"/>
                      <w:sz w:val="21"/>
                      <w:szCs w:val="21"/>
                    </w:rPr>
                  </w:pPr>
                  <w:r>
                    <w:rPr>
                      <w:rFonts w:hint="eastAsia"/>
                      <w:b/>
                      <w:color w:val="auto"/>
                      <w:kern w:val="0"/>
                      <w:sz w:val="21"/>
                      <w:szCs w:val="21"/>
                    </w:rPr>
                    <w:t>Y</w:t>
                  </w:r>
                </w:p>
              </w:tc>
              <w:tc>
                <w:tcPr>
                  <w:tcW w:w="422" w:type="dxa"/>
                  <w:vAlign w:val="center"/>
                </w:tcPr>
                <w:p w14:paraId="2D034925">
                  <w:pPr>
                    <w:spacing w:line="240" w:lineRule="auto"/>
                    <w:contextualSpacing/>
                    <w:jc w:val="center"/>
                    <w:rPr>
                      <w:b/>
                      <w:color w:val="auto"/>
                      <w:kern w:val="0"/>
                      <w:sz w:val="21"/>
                      <w:szCs w:val="21"/>
                    </w:rPr>
                  </w:pPr>
                  <w:r>
                    <w:rPr>
                      <w:rFonts w:hint="eastAsia"/>
                      <w:b/>
                      <w:color w:val="auto"/>
                      <w:kern w:val="0"/>
                      <w:sz w:val="21"/>
                      <w:szCs w:val="21"/>
                    </w:rPr>
                    <w:t>Z</w:t>
                  </w:r>
                </w:p>
              </w:tc>
              <w:tc>
                <w:tcPr>
                  <w:tcW w:w="645" w:type="dxa"/>
                  <w:vMerge w:val="continue"/>
                  <w:vAlign w:val="center"/>
                </w:tcPr>
                <w:p w14:paraId="7C0553FB">
                  <w:pPr>
                    <w:spacing w:line="240" w:lineRule="auto"/>
                    <w:contextualSpacing/>
                    <w:jc w:val="center"/>
                    <w:rPr>
                      <w:color w:val="auto"/>
                      <w:kern w:val="0"/>
                      <w:sz w:val="21"/>
                      <w:szCs w:val="21"/>
                    </w:rPr>
                  </w:pPr>
                </w:p>
              </w:tc>
              <w:tc>
                <w:tcPr>
                  <w:tcW w:w="691" w:type="dxa"/>
                  <w:vMerge w:val="continue"/>
                  <w:vAlign w:val="center"/>
                </w:tcPr>
                <w:p w14:paraId="61193351">
                  <w:pPr>
                    <w:spacing w:line="240" w:lineRule="auto"/>
                    <w:contextualSpacing/>
                    <w:jc w:val="center"/>
                    <w:rPr>
                      <w:color w:val="auto"/>
                      <w:kern w:val="0"/>
                      <w:sz w:val="21"/>
                      <w:szCs w:val="21"/>
                    </w:rPr>
                  </w:pPr>
                </w:p>
              </w:tc>
              <w:tc>
                <w:tcPr>
                  <w:tcW w:w="561" w:type="dxa"/>
                  <w:vMerge w:val="continue"/>
                  <w:vAlign w:val="center"/>
                </w:tcPr>
                <w:p w14:paraId="5D5A3E74">
                  <w:pPr>
                    <w:spacing w:line="240" w:lineRule="auto"/>
                    <w:contextualSpacing/>
                    <w:jc w:val="center"/>
                    <w:rPr>
                      <w:color w:val="auto"/>
                      <w:kern w:val="0"/>
                      <w:sz w:val="21"/>
                      <w:szCs w:val="21"/>
                    </w:rPr>
                  </w:pPr>
                </w:p>
              </w:tc>
              <w:tc>
                <w:tcPr>
                  <w:tcW w:w="619" w:type="dxa"/>
                  <w:vMerge w:val="continue"/>
                  <w:vAlign w:val="center"/>
                </w:tcPr>
                <w:p w14:paraId="0CEFF2A4">
                  <w:pPr>
                    <w:spacing w:line="240" w:lineRule="auto"/>
                    <w:contextualSpacing/>
                    <w:jc w:val="center"/>
                    <w:rPr>
                      <w:color w:val="auto"/>
                      <w:kern w:val="0"/>
                      <w:sz w:val="21"/>
                      <w:szCs w:val="21"/>
                    </w:rPr>
                  </w:pPr>
                </w:p>
              </w:tc>
              <w:tc>
                <w:tcPr>
                  <w:tcW w:w="630" w:type="dxa"/>
                  <w:vAlign w:val="center"/>
                </w:tcPr>
                <w:p w14:paraId="0A46250D">
                  <w:pPr>
                    <w:spacing w:line="240" w:lineRule="auto"/>
                    <w:contextualSpacing/>
                    <w:jc w:val="center"/>
                    <w:rPr>
                      <w:b/>
                      <w:color w:val="auto"/>
                      <w:kern w:val="0"/>
                      <w:sz w:val="21"/>
                      <w:szCs w:val="21"/>
                    </w:rPr>
                  </w:pPr>
                  <w:r>
                    <w:rPr>
                      <w:rFonts w:hint="eastAsia"/>
                      <w:b/>
                      <w:color w:val="auto"/>
                      <w:kern w:val="0"/>
                      <w:sz w:val="21"/>
                      <w:szCs w:val="21"/>
                    </w:rPr>
                    <w:t>声压级</w:t>
                  </w:r>
                </w:p>
              </w:tc>
              <w:tc>
                <w:tcPr>
                  <w:tcW w:w="899" w:type="dxa"/>
                  <w:vAlign w:val="center"/>
                </w:tcPr>
                <w:p w14:paraId="4D805652">
                  <w:pPr>
                    <w:spacing w:line="240" w:lineRule="auto"/>
                    <w:contextualSpacing/>
                    <w:jc w:val="center"/>
                    <w:rPr>
                      <w:b/>
                      <w:color w:val="auto"/>
                      <w:kern w:val="0"/>
                      <w:sz w:val="21"/>
                      <w:szCs w:val="21"/>
                    </w:rPr>
                  </w:pPr>
                  <w:r>
                    <w:rPr>
                      <w:rFonts w:hint="eastAsia"/>
                      <w:b/>
                      <w:color w:val="auto"/>
                      <w:kern w:val="0"/>
                      <w:sz w:val="21"/>
                      <w:szCs w:val="21"/>
                    </w:rPr>
                    <w:t>建筑物外距离/m</w:t>
                  </w:r>
                </w:p>
              </w:tc>
            </w:tr>
            <w:tr w14:paraId="5CD5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59B44A0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716" w:type="dxa"/>
                  <w:vAlign w:val="center"/>
                </w:tcPr>
                <w:p w14:paraId="12F6D4E7">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高压水枪</w:t>
                  </w:r>
                </w:p>
              </w:tc>
              <w:tc>
                <w:tcPr>
                  <w:tcW w:w="537" w:type="dxa"/>
                  <w:vAlign w:val="center"/>
                </w:tcPr>
                <w:p w14:paraId="6681E54F">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636" w:type="dxa"/>
                  <w:vMerge w:val="restart"/>
                  <w:vAlign w:val="center"/>
                </w:tcPr>
                <w:p w14:paraId="5F313B08">
                  <w:pPr>
                    <w:spacing w:line="240" w:lineRule="auto"/>
                    <w:contextualSpacing/>
                    <w:jc w:val="center"/>
                    <w:rPr>
                      <w:color w:val="auto"/>
                      <w:kern w:val="0"/>
                      <w:sz w:val="21"/>
                      <w:szCs w:val="21"/>
                    </w:rPr>
                  </w:pPr>
                  <w:r>
                    <w:rPr>
                      <w:rFonts w:hint="eastAsia"/>
                      <w:color w:val="auto"/>
                      <w:kern w:val="0"/>
                      <w:sz w:val="21"/>
                      <w:szCs w:val="21"/>
                      <w:lang w:val="en-US" w:eastAsia="zh-CN"/>
                    </w:rPr>
                    <w:t>厂房隔声距离衰减</w:t>
                  </w:r>
                </w:p>
              </w:tc>
              <w:tc>
                <w:tcPr>
                  <w:tcW w:w="531" w:type="dxa"/>
                  <w:vAlign w:val="center"/>
                </w:tcPr>
                <w:p w14:paraId="30D7B0E9">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83</w:t>
                  </w:r>
                </w:p>
              </w:tc>
              <w:tc>
                <w:tcPr>
                  <w:tcW w:w="531" w:type="dxa"/>
                  <w:vAlign w:val="center"/>
                </w:tcPr>
                <w:p w14:paraId="3BBFAB5D">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54</w:t>
                  </w:r>
                </w:p>
              </w:tc>
              <w:tc>
                <w:tcPr>
                  <w:tcW w:w="422" w:type="dxa"/>
                  <w:vAlign w:val="center"/>
                </w:tcPr>
                <w:p w14:paraId="4A9E9158">
                  <w:pPr>
                    <w:spacing w:line="240" w:lineRule="auto"/>
                    <w:contextualSpacing/>
                    <w:jc w:val="center"/>
                    <w:rPr>
                      <w:color w:val="auto"/>
                      <w:kern w:val="0"/>
                      <w:sz w:val="21"/>
                      <w:szCs w:val="21"/>
                    </w:rPr>
                  </w:pPr>
                  <w:r>
                    <w:rPr>
                      <w:rFonts w:hint="eastAsia"/>
                      <w:color w:val="auto"/>
                      <w:kern w:val="0"/>
                      <w:sz w:val="21"/>
                      <w:szCs w:val="21"/>
                    </w:rPr>
                    <w:t>1</w:t>
                  </w:r>
                </w:p>
              </w:tc>
              <w:tc>
                <w:tcPr>
                  <w:tcW w:w="645" w:type="dxa"/>
                  <w:vAlign w:val="center"/>
                </w:tcPr>
                <w:p w14:paraId="413FE6F7">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3</w:t>
                  </w:r>
                </w:p>
              </w:tc>
              <w:tc>
                <w:tcPr>
                  <w:tcW w:w="691" w:type="dxa"/>
                  <w:vAlign w:val="center"/>
                </w:tcPr>
                <w:p w14:paraId="4F9A7969">
                  <w:pPr>
                    <w:spacing w:line="240" w:lineRule="auto"/>
                    <w:contextualSpacing/>
                    <w:jc w:val="center"/>
                    <w:rPr>
                      <w:rFonts w:hint="default"/>
                      <w:color w:val="auto"/>
                      <w:kern w:val="0"/>
                      <w:sz w:val="21"/>
                      <w:szCs w:val="21"/>
                      <w:lang w:val="en-US"/>
                    </w:rPr>
                  </w:pPr>
                  <w:r>
                    <w:rPr>
                      <w:rFonts w:hint="eastAsia"/>
                      <w:color w:val="auto"/>
                      <w:kern w:val="0"/>
                      <w:sz w:val="21"/>
                      <w:szCs w:val="21"/>
                      <w:lang w:val="en-US" w:eastAsia="zh-CN"/>
                    </w:rPr>
                    <w:t>70.5</w:t>
                  </w:r>
                </w:p>
              </w:tc>
              <w:tc>
                <w:tcPr>
                  <w:tcW w:w="561" w:type="dxa"/>
                  <w:vMerge w:val="restart"/>
                  <w:vAlign w:val="center"/>
                </w:tcPr>
                <w:p w14:paraId="4673B736">
                  <w:pPr>
                    <w:spacing w:line="240" w:lineRule="auto"/>
                    <w:contextualSpacing/>
                    <w:jc w:val="center"/>
                    <w:rPr>
                      <w:color w:val="auto"/>
                      <w:kern w:val="0"/>
                      <w:sz w:val="21"/>
                      <w:szCs w:val="21"/>
                    </w:rPr>
                  </w:pPr>
                  <w:r>
                    <w:rPr>
                      <w:rFonts w:hint="eastAsia"/>
                      <w:color w:val="auto"/>
                      <w:kern w:val="0"/>
                      <w:sz w:val="21"/>
                      <w:szCs w:val="21"/>
                    </w:rPr>
                    <w:t>昼</w:t>
                  </w:r>
                </w:p>
                <w:p w14:paraId="07F89377">
                  <w:pPr>
                    <w:spacing w:line="240" w:lineRule="auto"/>
                    <w:contextualSpacing/>
                    <w:jc w:val="center"/>
                    <w:rPr>
                      <w:color w:val="auto"/>
                      <w:kern w:val="0"/>
                      <w:sz w:val="21"/>
                      <w:szCs w:val="21"/>
                    </w:rPr>
                  </w:pPr>
                  <w:r>
                    <w:rPr>
                      <w:rFonts w:hint="eastAsia"/>
                      <w:color w:val="auto"/>
                      <w:kern w:val="0"/>
                      <w:sz w:val="21"/>
                      <w:szCs w:val="21"/>
                    </w:rPr>
                    <w:t>间</w:t>
                  </w:r>
                </w:p>
                <w:p w14:paraId="645CCE39">
                  <w:pPr>
                    <w:spacing w:line="240" w:lineRule="auto"/>
                    <w:contextualSpacing/>
                    <w:jc w:val="center"/>
                    <w:rPr>
                      <w:color w:val="auto"/>
                      <w:kern w:val="0"/>
                      <w:sz w:val="21"/>
                      <w:szCs w:val="21"/>
                    </w:rPr>
                  </w:pPr>
                  <w:r>
                    <w:rPr>
                      <w:rFonts w:hint="eastAsia"/>
                      <w:color w:val="auto"/>
                      <w:kern w:val="0"/>
                      <w:sz w:val="21"/>
                      <w:szCs w:val="21"/>
                      <w:lang w:val="en-US" w:eastAsia="zh-CN"/>
                    </w:rPr>
                    <w:t>3</w:t>
                  </w:r>
                  <w:r>
                    <w:rPr>
                      <w:rFonts w:hint="eastAsia"/>
                      <w:color w:val="auto"/>
                      <w:kern w:val="0"/>
                      <w:sz w:val="21"/>
                      <w:szCs w:val="21"/>
                    </w:rPr>
                    <w:t>小时</w:t>
                  </w:r>
                </w:p>
              </w:tc>
              <w:tc>
                <w:tcPr>
                  <w:tcW w:w="619" w:type="dxa"/>
                  <w:vMerge w:val="restart"/>
                  <w:vAlign w:val="center"/>
                </w:tcPr>
                <w:p w14:paraId="381A8A4E">
                  <w:pPr>
                    <w:spacing w:line="240" w:lineRule="auto"/>
                    <w:contextualSpacing/>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15</w:t>
                  </w:r>
                </w:p>
              </w:tc>
              <w:tc>
                <w:tcPr>
                  <w:tcW w:w="630" w:type="dxa"/>
                  <w:vAlign w:val="center"/>
                </w:tcPr>
                <w:p w14:paraId="69F62691">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55.5</w:t>
                  </w:r>
                </w:p>
              </w:tc>
              <w:tc>
                <w:tcPr>
                  <w:tcW w:w="899" w:type="dxa"/>
                  <w:vAlign w:val="center"/>
                </w:tcPr>
                <w:p w14:paraId="25A31829">
                  <w:pPr>
                    <w:spacing w:line="240" w:lineRule="auto"/>
                    <w:contextualSpacing/>
                    <w:jc w:val="center"/>
                    <w:rPr>
                      <w:color w:val="auto"/>
                      <w:kern w:val="0"/>
                      <w:sz w:val="21"/>
                      <w:szCs w:val="21"/>
                    </w:rPr>
                  </w:pPr>
                  <w:r>
                    <w:rPr>
                      <w:rFonts w:hint="eastAsia"/>
                      <w:color w:val="auto"/>
                      <w:kern w:val="0"/>
                      <w:sz w:val="21"/>
                      <w:szCs w:val="21"/>
                    </w:rPr>
                    <w:t>1</w:t>
                  </w:r>
                </w:p>
              </w:tc>
            </w:tr>
            <w:tr w14:paraId="315D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01B74EC3">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716" w:type="dxa"/>
                  <w:vAlign w:val="center"/>
                </w:tcPr>
                <w:p w14:paraId="02537550">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风机</w:t>
                  </w:r>
                </w:p>
              </w:tc>
              <w:tc>
                <w:tcPr>
                  <w:tcW w:w="537" w:type="dxa"/>
                  <w:vAlign w:val="center"/>
                </w:tcPr>
                <w:p w14:paraId="1E3BC825">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90</w:t>
                  </w:r>
                </w:p>
              </w:tc>
              <w:tc>
                <w:tcPr>
                  <w:tcW w:w="636" w:type="dxa"/>
                  <w:vMerge w:val="continue"/>
                  <w:vAlign w:val="center"/>
                </w:tcPr>
                <w:p w14:paraId="4C56D406">
                  <w:pPr>
                    <w:spacing w:line="240" w:lineRule="auto"/>
                    <w:contextualSpacing/>
                    <w:jc w:val="center"/>
                    <w:rPr>
                      <w:color w:val="auto"/>
                      <w:kern w:val="0"/>
                      <w:sz w:val="21"/>
                      <w:szCs w:val="21"/>
                    </w:rPr>
                  </w:pPr>
                </w:p>
              </w:tc>
              <w:tc>
                <w:tcPr>
                  <w:tcW w:w="531" w:type="dxa"/>
                  <w:vAlign w:val="center"/>
                </w:tcPr>
                <w:p w14:paraId="2A2E53FF">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85</w:t>
                  </w:r>
                </w:p>
              </w:tc>
              <w:tc>
                <w:tcPr>
                  <w:tcW w:w="531" w:type="dxa"/>
                  <w:vAlign w:val="center"/>
                </w:tcPr>
                <w:p w14:paraId="58C98802">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54</w:t>
                  </w:r>
                </w:p>
              </w:tc>
              <w:tc>
                <w:tcPr>
                  <w:tcW w:w="422" w:type="dxa"/>
                  <w:vAlign w:val="center"/>
                </w:tcPr>
                <w:p w14:paraId="48D6EAB7">
                  <w:pPr>
                    <w:spacing w:line="240" w:lineRule="auto"/>
                    <w:contextualSpacing/>
                    <w:jc w:val="center"/>
                    <w:rPr>
                      <w:color w:val="auto"/>
                      <w:kern w:val="0"/>
                      <w:sz w:val="21"/>
                      <w:szCs w:val="21"/>
                    </w:rPr>
                  </w:pPr>
                  <w:r>
                    <w:rPr>
                      <w:rFonts w:hint="eastAsia"/>
                      <w:color w:val="auto"/>
                      <w:kern w:val="0"/>
                      <w:sz w:val="21"/>
                      <w:szCs w:val="21"/>
                    </w:rPr>
                    <w:t>1</w:t>
                  </w:r>
                </w:p>
              </w:tc>
              <w:tc>
                <w:tcPr>
                  <w:tcW w:w="645" w:type="dxa"/>
                  <w:vAlign w:val="center"/>
                </w:tcPr>
                <w:p w14:paraId="139CE234">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3</w:t>
                  </w:r>
                </w:p>
              </w:tc>
              <w:tc>
                <w:tcPr>
                  <w:tcW w:w="691" w:type="dxa"/>
                  <w:vAlign w:val="center"/>
                </w:tcPr>
                <w:p w14:paraId="329EFCAD">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80.5</w:t>
                  </w:r>
                </w:p>
              </w:tc>
              <w:tc>
                <w:tcPr>
                  <w:tcW w:w="561" w:type="dxa"/>
                  <w:vMerge w:val="continue"/>
                  <w:vAlign w:val="center"/>
                </w:tcPr>
                <w:p w14:paraId="474E379E">
                  <w:pPr>
                    <w:spacing w:line="240" w:lineRule="auto"/>
                    <w:contextualSpacing/>
                    <w:jc w:val="center"/>
                    <w:rPr>
                      <w:color w:val="auto"/>
                      <w:kern w:val="0"/>
                      <w:sz w:val="21"/>
                      <w:szCs w:val="21"/>
                    </w:rPr>
                  </w:pPr>
                </w:p>
              </w:tc>
              <w:tc>
                <w:tcPr>
                  <w:tcW w:w="619" w:type="dxa"/>
                  <w:vMerge w:val="continue"/>
                  <w:vAlign w:val="center"/>
                </w:tcPr>
                <w:p w14:paraId="1D8CBA4D">
                  <w:pPr>
                    <w:spacing w:line="240" w:lineRule="auto"/>
                    <w:contextualSpacing/>
                    <w:jc w:val="center"/>
                    <w:rPr>
                      <w:rFonts w:hint="eastAsia" w:eastAsia="宋体"/>
                      <w:color w:val="auto"/>
                      <w:kern w:val="0"/>
                      <w:sz w:val="21"/>
                      <w:szCs w:val="21"/>
                      <w:lang w:eastAsia="zh-CN"/>
                    </w:rPr>
                  </w:pPr>
                </w:p>
              </w:tc>
              <w:tc>
                <w:tcPr>
                  <w:tcW w:w="630" w:type="dxa"/>
                  <w:vAlign w:val="center"/>
                </w:tcPr>
                <w:p w14:paraId="4F6A0914">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65.5</w:t>
                  </w:r>
                </w:p>
              </w:tc>
              <w:tc>
                <w:tcPr>
                  <w:tcW w:w="899" w:type="dxa"/>
                  <w:vAlign w:val="center"/>
                </w:tcPr>
                <w:p w14:paraId="4B2EB61B">
                  <w:pPr>
                    <w:spacing w:line="240" w:lineRule="auto"/>
                    <w:contextualSpacing/>
                    <w:jc w:val="center"/>
                    <w:rPr>
                      <w:color w:val="auto"/>
                      <w:kern w:val="0"/>
                      <w:sz w:val="21"/>
                      <w:szCs w:val="21"/>
                    </w:rPr>
                  </w:pPr>
                  <w:r>
                    <w:rPr>
                      <w:rFonts w:hint="eastAsia"/>
                      <w:color w:val="auto"/>
                      <w:kern w:val="0"/>
                      <w:sz w:val="21"/>
                      <w:szCs w:val="21"/>
                    </w:rPr>
                    <w:t>1</w:t>
                  </w:r>
                </w:p>
              </w:tc>
            </w:tr>
            <w:tr w14:paraId="44D8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606149C4">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3</w:t>
                  </w:r>
                </w:p>
              </w:tc>
              <w:tc>
                <w:tcPr>
                  <w:tcW w:w="716" w:type="dxa"/>
                  <w:vAlign w:val="center"/>
                </w:tcPr>
                <w:p w14:paraId="25A5B090">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蒸汽发生器</w:t>
                  </w:r>
                </w:p>
              </w:tc>
              <w:tc>
                <w:tcPr>
                  <w:tcW w:w="537" w:type="dxa"/>
                  <w:vAlign w:val="center"/>
                </w:tcPr>
                <w:p w14:paraId="42B7FB6E">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636" w:type="dxa"/>
                  <w:vMerge w:val="continue"/>
                  <w:vAlign w:val="center"/>
                </w:tcPr>
                <w:p w14:paraId="30358777">
                  <w:pPr>
                    <w:spacing w:line="240" w:lineRule="auto"/>
                    <w:contextualSpacing/>
                    <w:jc w:val="center"/>
                    <w:rPr>
                      <w:color w:val="auto"/>
                      <w:kern w:val="0"/>
                      <w:sz w:val="21"/>
                      <w:szCs w:val="21"/>
                    </w:rPr>
                  </w:pPr>
                </w:p>
              </w:tc>
              <w:tc>
                <w:tcPr>
                  <w:tcW w:w="531" w:type="dxa"/>
                  <w:vAlign w:val="center"/>
                </w:tcPr>
                <w:p w14:paraId="50CDF09B">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81</w:t>
                  </w:r>
                </w:p>
              </w:tc>
              <w:tc>
                <w:tcPr>
                  <w:tcW w:w="531" w:type="dxa"/>
                  <w:vAlign w:val="center"/>
                </w:tcPr>
                <w:p w14:paraId="5D508AF7">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50</w:t>
                  </w:r>
                </w:p>
              </w:tc>
              <w:tc>
                <w:tcPr>
                  <w:tcW w:w="422" w:type="dxa"/>
                  <w:vAlign w:val="center"/>
                </w:tcPr>
                <w:p w14:paraId="56E0C040">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645" w:type="dxa"/>
                  <w:vAlign w:val="center"/>
                </w:tcPr>
                <w:p w14:paraId="575216A3">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3</w:t>
                  </w:r>
                </w:p>
              </w:tc>
              <w:tc>
                <w:tcPr>
                  <w:tcW w:w="691" w:type="dxa"/>
                  <w:vAlign w:val="center"/>
                </w:tcPr>
                <w:p w14:paraId="0EA3B11D">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70.5</w:t>
                  </w:r>
                </w:p>
              </w:tc>
              <w:tc>
                <w:tcPr>
                  <w:tcW w:w="561" w:type="dxa"/>
                  <w:vMerge w:val="continue"/>
                  <w:vAlign w:val="center"/>
                </w:tcPr>
                <w:p w14:paraId="7D37A019">
                  <w:pPr>
                    <w:spacing w:line="240" w:lineRule="auto"/>
                    <w:contextualSpacing/>
                    <w:jc w:val="center"/>
                    <w:rPr>
                      <w:color w:val="auto"/>
                      <w:kern w:val="0"/>
                      <w:sz w:val="21"/>
                      <w:szCs w:val="21"/>
                    </w:rPr>
                  </w:pPr>
                </w:p>
              </w:tc>
              <w:tc>
                <w:tcPr>
                  <w:tcW w:w="619" w:type="dxa"/>
                  <w:vMerge w:val="continue"/>
                  <w:vAlign w:val="center"/>
                </w:tcPr>
                <w:p w14:paraId="18D97BA9">
                  <w:pPr>
                    <w:spacing w:line="240" w:lineRule="auto"/>
                    <w:contextualSpacing/>
                    <w:jc w:val="center"/>
                    <w:rPr>
                      <w:rFonts w:hint="eastAsia" w:eastAsia="宋体"/>
                      <w:color w:val="auto"/>
                      <w:kern w:val="0"/>
                      <w:sz w:val="21"/>
                      <w:szCs w:val="21"/>
                      <w:lang w:eastAsia="zh-CN"/>
                    </w:rPr>
                  </w:pPr>
                </w:p>
              </w:tc>
              <w:tc>
                <w:tcPr>
                  <w:tcW w:w="630" w:type="dxa"/>
                  <w:vAlign w:val="center"/>
                </w:tcPr>
                <w:p w14:paraId="605488E9">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55.5</w:t>
                  </w:r>
                </w:p>
              </w:tc>
              <w:tc>
                <w:tcPr>
                  <w:tcW w:w="899" w:type="dxa"/>
                  <w:vAlign w:val="center"/>
                </w:tcPr>
                <w:p w14:paraId="3F99D2D9">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r w14:paraId="2D06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3B693300">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4</w:t>
                  </w:r>
                </w:p>
              </w:tc>
              <w:tc>
                <w:tcPr>
                  <w:tcW w:w="716" w:type="dxa"/>
                  <w:vAlign w:val="center"/>
                </w:tcPr>
                <w:p w14:paraId="740CDED1">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污水处理设施水泵</w:t>
                  </w:r>
                </w:p>
              </w:tc>
              <w:tc>
                <w:tcPr>
                  <w:tcW w:w="537" w:type="dxa"/>
                  <w:vAlign w:val="center"/>
                </w:tcPr>
                <w:p w14:paraId="7604C761">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80</w:t>
                  </w:r>
                </w:p>
              </w:tc>
              <w:tc>
                <w:tcPr>
                  <w:tcW w:w="636" w:type="dxa"/>
                  <w:vMerge w:val="continue"/>
                  <w:vAlign w:val="center"/>
                </w:tcPr>
                <w:p w14:paraId="175187DB">
                  <w:pPr>
                    <w:spacing w:line="240" w:lineRule="auto"/>
                    <w:contextualSpacing/>
                    <w:jc w:val="center"/>
                    <w:rPr>
                      <w:color w:val="auto"/>
                      <w:kern w:val="0"/>
                      <w:sz w:val="21"/>
                      <w:szCs w:val="21"/>
                    </w:rPr>
                  </w:pPr>
                </w:p>
              </w:tc>
              <w:tc>
                <w:tcPr>
                  <w:tcW w:w="531" w:type="dxa"/>
                  <w:vAlign w:val="center"/>
                </w:tcPr>
                <w:p w14:paraId="28CE5693">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70</w:t>
                  </w:r>
                </w:p>
              </w:tc>
              <w:tc>
                <w:tcPr>
                  <w:tcW w:w="531" w:type="dxa"/>
                  <w:vAlign w:val="center"/>
                </w:tcPr>
                <w:p w14:paraId="4C368727">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23</w:t>
                  </w:r>
                </w:p>
              </w:tc>
              <w:tc>
                <w:tcPr>
                  <w:tcW w:w="422" w:type="dxa"/>
                  <w:vAlign w:val="center"/>
                </w:tcPr>
                <w:p w14:paraId="7494B3B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45" w:type="dxa"/>
                  <w:vAlign w:val="center"/>
                </w:tcPr>
                <w:p w14:paraId="451261F4">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2</w:t>
                  </w:r>
                </w:p>
              </w:tc>
              <w:tc>
                <w:tcPr>
                  <w:tcW w:w="691" w:type="dxa"/>
                  <w:vAlign w:val="center"/>
                </w:tcPr>
                <w:p w14:paraId="094AFE9A">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74.0</w:t>
                  </w:r>
                </w:p>
              </w:tc>
              <w:tc>
                <w:tcPr>
                  <w:tcW w:w="561" w:type="dxa"/>
                  <w:vMerge w:val="continue"/>
                  <w:vAlign w:val="center"/>
                </w:tcPr>
                <w:p w14:paraId="73B62E9E">
                  <w:pPr>
                    <w:spacing w:line="240" w:lineRule="auto"/>
                    <w:contextualSpacing/>
                    <w:jc w:val="center"/>
                    <w:rPr>
                      <w:color w:val="auto"/>
                      <w:kern w:val="0"/>
                      <w:sz w:val="21"/>
                      <w:szCs w:val="21"/>
                    </w:rPr>
                  </w:pPr>
                </w:p>
              </w:tc>
              <w:tc>
                <w:tcPr>
                  <w:tcW w:w="619" w:type="dxa"/>
                  <w:vMerge w:val="continue"/>
                  <w:vAlign w:val="center"/>
                </w:tcPr>
                <w:p w14:paraId="5A66E24A">
                  <w:pPr>
                    <w:spacing w:line="240" w:lineRule="auto"/>
                    <w:contextualSpacing/>
                    <w:jc w:val="center"/>
                    <w:rPr>
                      <w:rFonts w:hint="eastAsia"/>
                      <w:color w:val="auto"/>
                      <w:kern w:val="0"/>
                      <w:sz w:val="21"/>
                      <w:szCs w:val="21"/>
                    </w:rPr>
                  </w:pPr>
                </w:p>
              </w:tc>
              <w:tc>
                <w:tcPr>
                  <w:tcW w:w="630" w:type="dxa"/>
                  <w:vAlign w:val="center"/>
                </w:tcPr>
                <w:p w14:paraId="1DED0B95">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59.0</w:t>
                  </w:r>
                </w:p>
              </w:tc>
              <w:tc>
                <w:tcPr>
                  <w:tcW w:w="899" w:type="dxa"/>
                  <w:vAlign w:val="center"/>
                </w:tcPr>
                <w:p w14:paraId="44B7796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bl>
          <w:p w14:paraId="3B1E8603">
            <w:pPr>
              <w:ind w:firstLine="482" w:firstLineChars="200"/>
              <w:rPr>
                <w:b/>
                <w:bCs/>
                <w:color w:val="auto"/>
                <w:kern w:val="0"/>
              </w:rPr>
            </w:pPr>
            <w:r>
              <w:rPr>
                <w:b/>
                <w:bCs/>
                <w:color w:val="auto"/>
                <w:kern w:val="0"/>
              </w:rPr>
              <w:t>2、达标情况分析</w:t>
            </w:r>
          </w:p>
          <w:p w14:paraId="419A11E0">
            <w:pPr>
              <w:ind w:firstLine="482" w:firstLineChars="200"/>
              <w:rPr>
                <w:b/>
                <w:bCs/>
                <w:color w:val="auto"/>
                <w:kern w:val="0"/>
              </w:rPr>
            </w:pPr>
            <w:r>
              <w:rPr>
                <w:b/>
                <w:bCs/>
                <w:color w:val="auto"/>
                <w:kern w:val="0"/>
              </w:rPr>
              <w:t>（</w:t>
            </w:r>
            <w:r>
              <w:rPr>
                <w:rFonts w:hint="eastAsia"/>
                <w:b/>
                <w:bCs/>
                <w:color w:val="auto"/>
                <w:kern w:val="0"/>
              </w:rPr>
              <w:t>1</w:t>
            </w:r>
            <w:r>
              <w:rPr>
                <w:b/>
                <w:bCs/>
                <w:color w:val="auto"/>
                <w:kern w:val="0"/>
              </w:rPr>
              <w:t>）预测模型</w:t>
            </w:r>
          </w:p>
          <w:p w14:paraId="3CB059B8">
            <w:pPr>
              <w:ind w:firstLine="480"/>
              <w:rPr>
                <w:color w:val="auto"/>
                <w:kern w:val="0"/>
              </w:rPr>
            </w:pPr>
            <w:r>
              <w:rPr>
                <w:color w:val="auto"/>
                <w:kern w:val="0"/>
              </w:rPr>
              <w:t>本评价根据《环境影响评价技术导则-声环境》（HJ2.4-2021）推荐的工业噪声预测模式预测企业的主要噪声设备对周围声环境的影响。</w:t>
            </w:r>
          </w:p>
          <w:p w14:paraId="7F2EDD6A">
            <w:pPr>
              <w:ind w:firstLine="480"/>
              <w:rPr>
                <w:color w:val="auto"/>
                <w:kern w:val="0"/>
              </w:rPr>
            </w:pPr>
            <w:r>
              <w:rPr>
                <w:color w:val="auto"/>
                <w:kern w:val="0"/>
              </w:rPr>
              <w:t>预测模式如下：</w:t>
            </w:r>
          </w:p>
          <w:p w14:paraId="7636024D">
            <w:pPr>
              <w:ind w:firstLine="480"/>
              <w:rPr>
                <w:color w:val="auto"/>
                <w:kern w:val="0"/>
              </w:rPr>
            </w:pPr>
            <w:r>
              <w:rPr>
                <w:rFonts w:hint="eastAsia" w:ascii="宋体" w:hAnsi="宋体" w:cs="宋体"/>
                <w:color w:val="auto"/>
                <w:kern w:val="0"/>
              </w:rPr>
              <w:t>①</w:t>
            </w:r>
            <w:r>
              <w:rPr>
                <w:color w:val="auto"/>
                <w:kern w:val="0"/>
              </w:rPr>
              <w:t>先利用公式B.3计算出所有室内声源在围护结构处产生的i倍频带叠加声压级:</w:t>
            </w:r>
          </w:p>
          <w:p w14:paraId="280F832E">
            <w:pPr>
              <w:ind w:firstLine="480"/>
              <w:jc w:val="center"/>
              <w:rPr>
                <w:color w:val="auto"/>
                <w:kern w:val="0"/>
              </w:rPr>
            </w:pPr>
            <w:r>
              <w:rPr>
                <w:color w:val="auto"/>
                <w:kern w:val="0"/>
              </w:rPr>
              <w:drawing>
                <wp:inline distT="0" distB="0" distL="0" distR="0">
                  <wp:extent cx="2333625" cy="647700"/>
                  <wp:effectExtent l="0" t="0" r="9525" b="0"/>
                  <wp:docPr id="9" name="图片 9" descr="C:\Users\ADMINI~1\AppData\Local\Temp\ksohtml28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2812\wp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33625" cy="647700"/>
                          </a:xfrm>
                          <a:prstGeom prst="rect">
                            <a:avLst/>
                          </a:prstGeom>
                          <a:noFill/>
                          <a:ln>
                            <a:noFill/>
                          </a:ln>
                        </pic:spPr>
                      </pic:pic>
                    </a:graphicData>
                  </a:graphic>
                </wp:inline>
              </w:drawing>
            </w:r>
            <w:r>
              <w:rPr>
                <w:color w:val="auto"/>
                <w:kern w:val="0"/>
              </w:rPr>
              <w:t xml:space="preserve"> </w:t>
            </w:r>
          </w:p>
          <w:p w14:paraId="0DE7D3DE">
            <w:pPr>
              <w:autoSpaceDE w:val="0"/>
              <w:ind w:firstLine="480" w:firstLineChars="200"/>
              <w:rPr>
                <w:color w:val="auto"/>
                <w:kern w:val="0"/>
              </w:rPr>
            </w:pPr>
            <w:r>
              <w:rPr>
                <w:color w:val="auto"/>
                <w:kern w:val="0"/>
              </w:rPr>
              <w:t>式中：Lp1i（T）——靠近围护结构处室内 N 个声源i倍频带的叠加声压级，dB；</w:t>
            </w:r>
          </w:p>
          <w:p w14:paraId="733378A9">
            <w:pPr>
              <w:autoSpaceDE w:val="0"/>
              <w:ind w:firstLine="1200" w:firstLineChars="500"/>
              <w:rPr>
                <w:color w:val="auto"/>
                <w:kern w:val="0"/>
              </w:rPr>
            </w:pPr>
            <w:r>
              <w:rPr>
                <w:color w:val="auto"/>
                <w:kern w:val="0"/>
              </w:rPr>
              <w:t>Lp1ij——室内j声源i倍频带的声压级，dB；</w:t>
            </w:r>
          </w:p>
          <w:p w14:paraId="4FFBA7FF">
            <w:pPr>
              <w:autoSpaceDE w:val="0"/>
              <w:ind w:firstLine="1200" w:firstLineChars="500"/>
              <w:rPr>
                <w:color w:val="auto"/>
                <w:kern w:val="0"/>
              </w:rPr>
            </w:pPr>
            <w:r>
              <w:rPr>
                <w:color w:val="auto"/>
                <w:kern w:val="0"/>
              </w:rPr>
              <w:t>N——室内声源总数；</w:t>
            </w:r>
          </w:p>
          <w:p w14:paraId="7D008851">
            <w:pPr>
              <w:ind w:firstLine="480"/>
              <w:rPr>
                <w:color w:val="auto"/>
                <w:kern w:val="0"/>
              </w:rPr>
            </w:pPr>
            <w:r>
              <w:rPr>
                <w:rFonts w:hint="eastAsia" w:ascii="宋体" w:hAnsi="宋体" w:cs="宋体"/>
                <w:color w:val="auto"/>
                <w:kern w:val="0"/>
              </w:rPr>
              <w:t>②</w:t>
            </w:r>
            <w:r>
              <w:rPr>
                <w:color w:val="auto"/>
                <w:kern w:val="0"/>
              </w:rPr>
              <w:t>声源所在室内声场为近似扩散声场，则室外的倍频带声压级可按公式（B.4）近似求出：</w:t>
            </w:r>
          </w:p>
          <w:p w14:paraId="2FE0FFFA">
            <w:pPr>
              <w:pStyle w:val="28"/>
              <w:ind w:left="480"/>
              <w:jc w:val="center"/>
              <w:rPr>
                <w:rFonts w:eastAsia="黑体"/>
                <w:color w:val="auto"/>
                <w:sz w:val="24"/>
                <w:szCs w:val="24"/>
              </w:rPr>
            </w:pPr>
            <w:r>
              <w:rPr>
                <w:color w:val="auto"/>
                <w:sz w:val="24"/>
                <w:szCs w:val="24"/>
              </w:rPr>
              <w:drawing>
                <wp:inline distT="0" distB="0" distL="0" distR="0">
                  <wp:extent cx="2828925" cy="476250"/>
                  <wp:effectExtent l="0" t="0" r="9525" b="0"/>
                  <wp:docPr id="8" name="图片 8" descr="C:\Users\ADMINI~1\AppData\Local\Temp\ksohtml28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2812\wp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28925" cy="476250"/>
                          </a:xfrm>
                          <a:prstGeom prst="rect">
                            <a:avLst/>
                          </a:prstGeom>
                          <a:noFill/>
                          <a:ln>
                            <a:noFill/>
                          </a:ln>
                        </pic:spPr>
                      </pic:pic>
                    </a:graphicData>
                  </a:graphic>
                </wp:inline>
              </w:drawing>
            </w:r>
            <w:r>
              <w:rPr>
                <w:color w:val="auto"/>
                <w:sz w:val="24"/>
                <w:szCs w:val="24"/>
              </w:rPr>
              <w:t xml:space="preserve"> </w:t>
            </w:r>
          </w:p>
          <w:p w14:paraId="4D7DDEFC">
            <w:pPr>
              <w:autoSpaceDE w:val="0"/>
              <w:ind w:firstLine="480" w:firstLineChars="200"/>
              <w:rPr>
                <w:color w:val="auto"/>
                <w:kern w:val="0"/>
              </w:rPr>
            </w:pPr>
            <w:r>
              <w:rPr>
                <w:color w:val="auto"/>
                <w:kern w:val="0"/>
              </w:rPr>
              <w:t>式中：Lp2i（T）——靠近围护结构处室外N个声源i倍频带的叠加声压级，dB；</w:t>
            </w:r>
          </w:p>
          <w:p w14:paraId="77C4A271">
            <w:pPr>
              <w:autoSpaceDE w:val="0"/>
              <w:ind w:firstLine="1200" w:firstLineChars="500"/>
              <w:rPr>
                <w:color w:val="auto"/>
                <w:kern w:val="0"/>
              </w:rPr>
            </w:pPr>
            <w:r>
              <w:rPr>
                <w:color w:val="auto"/>
                <w:kern w:val="0"/>
              </w:rPr>
              <w:t>Lp1i（T）——靠近围护结构处室内N个声源i倍频带的叠加声压级，dB；</w:t>
            </w:r>
          </w:p>
          <w:p w14:paraId="0146A59D">
            <w:pPr>
              <w:autoSpaceDE w:val="0"/>
              <w:ind w:firstLine="1200" w:firstLineChars="500"/>
              <w:rPr>
                <w:rFonts w:eastAsia="黑体"/>
                <w:color w:val="auto"/>
                <w:kern w:val="0"/>
              </w:rPr>
            </w:pPr>
            <w:r>
              <w:rPr>
                <w:color w:val="auto"/>
                <w:kern w:val="0"/>
              </w:rPr>
              <w:t>TL——围护结构i倍频带的隔声量，dB。</w:t>
            </w:r>
          </w:p>
          <w:p w14:paraId="799F2ED1">
            <w:pPr>
              <w:autoSpaceDE w:val="0"/>
              <w:ind w:firstLine="480" w:firstLineChars="200"/>
              <w:rPr>
                <w:color w:val="auto"/>
                <w:kern w:val="0"/>
              </w:rPr>
            </w:pPr>
            <w:r>
              <w:rPr>
                <w:rFonts w:hint="eastAsia" w:ascii="宋体" w:hAnsi="宋体" w:cs="宋体"/>
                <w:color w:val="auto"/>
                <w:kern w:val="0"/>
              </w:rPr>
              <w:t>③</w:t>
            </w:r>
            <w:r>
              <w:rPr>
                <w:color w:val="auto"/>
                <w:kern w:val="0"/>
              </w:rPr>
              <w:t>只考虑几何发散引起的衰减公式为:</w:t>
            </w:r>
          </w:p>
          <w:p w14:paraId="7FEB4EDC">
            <w:pPr>
              <w:pStyle w:val="28"/>
              <w:ind w:left="480"/>
              <w:jc w:val="center"/>
              <w:rPr>
                <w:color w:val="auto"/>
                <w:sz w:val="24"/>
                <w:szCs w:val="24"/>
              </w:rPr>
            </w:pPr>
            <w:r>
              <w:rPr>
                <w:color w:val="auto"/>
                <w:sz w:val="24"/>
                <w:szCs w:val="24"/>
              </w:rPr>
              <w:drawing>
                <wp:inline distT="0" distB="0" distL="0" distR="0">
                  <wp:extent cx="2543175" cy="438150"/>
                  <wp:effectExtent l="0" t="0" r="9525" b="0"/>
                  <wp:docPr id="7" name="图片 7" descr="C:\Users\ADMINI~1\AppData\Local\Temp\ksohtml28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2812\wp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43175" cy="438150"/>
                          </a:xfrm>
                          <a:prstGeom prst="rect">
                            <a:avLst/>
                          </a:prstGeom>
                          <a:noFill/>
                          <a:ln>
                            <a:noFill/>
                          </a:ln>
                        </pic:spPr>
                      </pic:pic>
                    </a:graphicData>
                  </a:graphic>
                </wp:inline>
              </w:drawing>
            </w:r>
            <w:r>
              <w:rPr>
                <w:color w:val="auto"/>
                <w:sz w:val="24"/>
                <w:szCs w:val="24"/>
              </w:rPr>
              <w:t xml:space="preserve"> </w:t>
            </w:r>
          </w:p>
          <w:p w14:paraId="167BD6B2">
            <w:pPr>
              <w:autoSpaceDE w:val="0"/>
              <w:ind w:firstLine="480" w:firstLineChars="200"/>
              <w:rPr>
                <w:color w:val="auto"/>
                <w:kern w:val="0"/>
              </w:rPr>
            </w:pPr>
            <w:r>
              <w:rPr>
                <w:color w:val="auto"/>
                <w:kern w:val="0"/>
              </w:rPr>
              <w:t>式中：Lp（r）——预测点处声压级，dB（A）；</w:t>
            </w:r>
          </w:p>
          <w:p w14:paraId="0A3B186E">
            <w:pPr>
              <w:autoSpaceDE w:val="0"/>
              <w:ind w:firstLine="1200" w:firstLineChars="500"/>
              <w:rPr>
                <w:color w:val="auto"/>
                <w:kern w:val="0"/>
              </w:rPr>
            </w:pPr>
            <w:r>
              <w:rPr>
                <w:color w:val="auto"/>
                <w:kern w:val="0"/>
              </w:rPr>
              <w:t>Lp（r0）——参考位置 r0 处的声压级，dB（A）；</w:t>
            </w:r>
          </w:p>
          <w:p w14:paraId="3258B1D1">
            <w:pPr>
              <w:autoSpaceDE w:val="0"/>
              <w:ind w:firstLine="1200" w:firstLineChars="500"/>
              <w:rPr>
                <w:color w:val="auto"/>
                <w:kern w:val="0"/>
              </w:rPr>
            </w:pPr>
            <w:r>
              <w:rPr>
                <w:color w:val="auto"/>
                <w:kern w:val="0"/>
              </w:rPr>
              <w:t>r——预测点距离声源的距离；</w:t>
            </w:r>
          </w:p>
          <w:p w14:paraId="32B2BB14">
            <w:pPr>
              <w:autoSpaceDE w:val="0"/>
              <w:ind w:firstLine="1200" w:firstLineChars="500"/>
              <w:rPr>
                <w:color w:val="auto"/>
                <w:kern w:val="0"/>
              </w:rPr>
            </w:pPr>
            <w:r>
              <w:rPr>
                <w:color w:val="auto"/>
                <w:kern w:val="0"/>
              </w:rPr>
              <w:t>r0——参考位置距声源距离；</w:t>
            </w:r>
          </w:p>
          <w:p w14:paraId="54DD74DE">
            <w:pPr>
              <w:pStyle w:val="28"/>
              <w:ind w:left="480"/>
              <w:rPr>
                <w:color w:val="auto"/>
                <w:sz w:val="24"/>
                <w:szCs w:val="24"/>
              </w:rPr>
            </w:pPr>
            <w:r>
              <w:rPr>
                <w:rFonts w:hint="eastAsia" w:ascii="宋体" w:hAnsi="宋体" w:cs="宋体"/>
                <w:color w:val="auto"/>
                <w:sz w:val="24"/>
                <w:szCs w:val="24"/>
              </w:rPr>
              <w:t>④</w:t>
            </w:r>
            <w:r>
              <w:rPr>
                <w:color w:val="auto"/>
                <w:sz w:val="24"/>
                <w:szCs w:val="24"/>
              </w:rPr>
              <w:t>噪声叠加值计算模式：</w:t>
            </w:r>
          </w:p>
          <w:p w14:paraId="7CA5FECF">
            <w:pPr>
              <w:jc w:val="center"/>
              <w:rPr>
                <w:rFonts w:eastAsia="黑体"/>
                <w:color w:val="auto"/>
                <w:kern w:val="0"/>
              </w:rPr>
            </w:pPr>
            <w:r>
              <w:rPr>
                <w:color w:val="auto"/>
                <w:kern w:val="0"/>
              </w:rPr>
              <w:drawing>
                <wp:inline distT="0" distB="0" distL="0" distR="0">
                  <wp:extent cx="3238500" cy="723900"/>
                  <wp:effectExtent l="0" t="0" r="0" b="0"/>
                  <wp:docPr id="6" name="图片 6" descr="C:\Users\ADMINI~1\AppData\Local\Temp\ksohtml28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2812\wps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8500" cy="723900"/>
                          </a:xfrm>
                          <a:prstGeom prst="rect">
                            <a:avLst/>
                          </a:prstGeom>
                          <a:noFill/>
                          <a:ln>
                            <a:noFill/>
                          </a:ln>
                        </pic:spPr>
                      </pic:pic>
                    </a:graphicData>
                  </a:graphic>
                </wp:inline>
              </w:drawing>
            </w:r>
            <w:r>
              <w:rPr>
                <w:color w:val="auto"/>
                <w:kern w:val="0"/>
              </w:rPr>
              <w:t xml:space="preserve"> </w:t>
            </w:r>
          </w:p>
          <w:p w14:paraId="4EB604AB">
            <w:pPr>
              <w:pStyle w:val="28"/>
              <w:ind w:left="480"/>
              <w:rPr>
                <w:color w:val="auto"/>
                <w:sz w:val="24"/>
                <w:szCs w:val="24"/>
              </w:rPr>
            </w:pPr>
            <w:r>
              <w:rPr>
                <w:color w:val="auto"/>
                <w:sz w:val="24"/>
                <w:szCs w:val="24"/>
              </w:rPr>
              <w:t>式中：Leqg——建设项目声源在预测点产生的噪声贡献值，dB；</w:t>
            </w:r>
          </w:p>
          <w:p w14:paraId="562E6AC7">
            <w:pPr>
              <w:pStyle w:val="28"/>
              <w:ind w:left="480"/>
              <w:rPr>
                <w:color w:val="auto"/>
                <w:sz w:val="24"/>
                <w:szCs w:val="24"/>
              </w:rPr>
            </w:pPr>
            <w:r>
              <w:rPr>
                <w:color w:val="auto"/>
                <w:sz w:val="24"/>
                <w:szCs w:val="24"/>
              </w:rPr>
              <w:t>T——用于计算等效声级的时间，s；</w:t>
            </w:r>
          </w:p>
          <w:p w14:paraId="68ABE403">
            <w:pPr>
              <w:pStyle w:val="28"/>
              <w:ind w:left="480"/>
              <w:rPr>
                <w:color w:val="auto"/>
                <w:sz w:val="24"/>
                <w:szCs w:val="24"/>
              </w:rPr>
            </w:pPr>
            <w:r>
              <w:rPr>
                <w:color w:val="auto"/>
                <w:sz w:val="24"/>
                <w:szCs w:val="24"/>
              </w:rPr>
              <w:t>N——室外声源个数；</w:t>
            </w:r>
          </w:p>
          <w:p w14:paraId="32F276E1">
            <w:pPr>
              <w:pStyle w:val="28"/>
              <w:ind w:left="480"/>
              <w:rPr>
                <w:color w:val="auto"/>
                <w:sz w:val="24"/>
                <w:szCs w:val="24"/>
              </w:rPr>
            </w:pPr>
            <w:r>
              <w:rPr>
                <w:color w:val="auto"/>
                <w:sz w:val="24"/>
                <w:szCs w:val="24"/>
              </w:rPr>
              <w:t>t——在T时间内i声源工作时间，s；</w:t>
            </w:r>
          </w:p>
          <w:p w14:paraId="011B6FFB">
            <w:pPr>
              <w:pStyle w:val="28"/>
              <w:ind w:left="480"/>
              <w:rPr>
                <w:color w:val="auto"/>
                <w:sz w:val="24"/>
                <w:szCs w:val="24"/>
              </w:rPr>
            </w:pPr>
            <w:r>
              <w:rPr>
                <w:color w:val="auto"/>
                <w:sz w:val="24"/>
                <w:szCs w:val="24"/>
              </w:rPr>
              <w:t>M——等效室外声源个数；</w:t>
            </w:r>
          </w:p>
          <w:p w14:paraId="25F34147">
            <w:pPr>
              <w:pStyle w:val="28"/>
              <w:ind w:left="480"/>
              <w:rPr>
                <w:color w:val="auto"/>
                <w:sz w:val="24"/>
                <w:szCs w:val="24"/>
              </w:rPr>
            </w:pPr>
            <w:r>
              <w:rPr>
                <w:color w:val="auto"/>
                <w:sz w:val="24"/>
                <w:szCs w:val="24"/>
              </w:rPr>
              <w:t>t——在T时间内i声源工作时间，s。</w:t>
            </w:r>
          </w:p>
          <w:p w14:paraId="5FB60272">
            <w:pPr>
              <w:ind w:firstLine="482" w:firstLineChars="200"/>
              <w:rPr>
                <w:b/>
                <w:color w:val="auto"/>
                <w:kern w:val="0"/>
                <w:highlight w:val="none"/>
              </w:rPr>
            </w:pPr>
            <w:r>
              <w:rPr>
                <w:rFonts w:hint="eastAsia"/>
                <w:b/>
                <w:color w:val="auto"/>
                <w:kern w:val="0"/>
                <w:highlight w:val="none"/>
              </w:rPr>
              <w:t>（2）厂界达标分析</w:t>
            </w:r>
          </w:p>
          <w:p w14:paraId="61DCF5B5">
            <w:pPr>
              <w:ind w:firstLine="480" w:firstLineChars="200"/>
              <w:rPr>
                <w:color w:val="auto"/>
                <w:kern w:val="0"/>
              </w:rPr>
            </w:pPr>
            <w:r>
              <w:rPr>
                <w:rFonts w:hint="eastAsia" w:ascii="宋体" w:hAnsi="宋体"/>
                <w:color w:val="auto"/>
                <w:kern w:val="0"/>
              </w:rPr>
              <w:t>噪声影响预测采用环安科技根据《环境影响评价技术导则</w:t>
            </w:r>
            <w:r>
              <w:rPr>
                <w:rFonts w:hint="eastAsia"/>
                <w:color w:val="auto"/>
                <w:kern w:val="0"/>
              </w:rPr>
              <w:t xml:space="preserve"> </w:t>
            </w:r>
            <w:r>
              <w:rPr>
                <w:rFonts w:hint="eastAsia" w:ascii="宋体" w:hAnsi="宋体"/>
                <w:color w:val="auto"/>
                <w:kern w:val="0"/>
              </w:rPr>
              <w:t>声环境》（</w:t>
            </w:r>
            <w:r>
              <w:rPr>
                <w:rFonts w:hint="eastAsia"/>
                <w:color w:val="auto"/>
                <w:kern w:val="0"/>
              </w:rPr>
              <w:t>HJ2.4-2022</w:t>
            </w:r>
            <w:r>
              <w:rPr>
                <w:rFonts w:hint="eastAsia" w:ascii="宋体" w:hAnsi="宋体"/>
                <w:color w:val="auto"/>
                <w:kern w:val="0"/>
              </w:rPr>
              <w:t>）要求开发的环安噪声环境影响评价系统（</w:t>
            </w:r>
            <w:r>
              <w:rPr>
                <w:rFonts w:hint="eastAsia"/>
                <w:color w:val="auto"/>
                <w:kern w:val="0"/>
              </w:rPr>
              <w:t>NoiseSystem)</w:t>
            </w:r>
            <w:r>
              <w:rPr>
                <w:rFonts w:hint="eastAsia" w:ascii="宋体" w:hAnsi="宋体"/>
                <w:color w:val="auto"/>
                <w:kern w:val="0"/>
              </w:rPr>
              <w:t>。</w:t>
            </w:r>
            <w:r>
              <w:rPr>
                <w:rFonts w:hint="default"/>
                <w:color w:val="auto"/>
                <w:kern w:val="0"/>
              </w:rPr>
              <w:t>厂界预测点步长取10m，共设</w:t>
            </w:r>
            <w:r>
              <w:rPr>
                <w:rFonts w:hint="eastAsia"/>
                <w:color w:val="auto"/>
                <w:kern w:val="0"/>
                <w:lang w:val="en-US" w:eastAsia="zh-CN"/>
              </w:rPr>
              <w:t>51</w:t>
            </w:r>
            <w:r>
              <w:rPr>
                <w:rFonts w:hint="default"/>
                <w:color w:val="auto"/>
                <w:kern w:val="0"/>
              </w:rPr>
              <w:t>个预测点</w:t>
            </w:r>
            <w:r>
              <w:rPr>
                <w:rFonts w:hint="eastAsia"/>
                <w:color w:val="auto"/>
                <w:kern w:val="0"/>
                <w:lang w:eastAsia="zh-CN"/>
              </w:rPr>
              <w:t>。</w:t>
            </w:r>
            <w:r>
              <w:rPr>
                <w:rFonts w:hint="eastAsia" w:ascii="宋体" w:hAnsi="宋体"/>
                <w:color w:val="auto"/>
                <w:kern w:val="0"/>
              </w:rPr>
              <w:t>项目设备均进行基础减震，噪声经减震、距离降噪后，预测结果见下表。</w:t>
            </w:r>
          </w:p>
          <w:p w14:paraId="629351F7">
            <w:pPr>
              <w:jc w:val="center"/>
              <w:rPr>
                <w:b/>
                <w:color w:val="auto"/>
                <w:kern w:val="0"/>
                <w:sz w:val="21"/>
                <w:szCs w:val="21"/>
              </w:rPr>
            </w:pPr>
            <w:r>
              <w:rPr>
                <w:rFonts w:hint="eastAsia" w:ascii="宋体" w:hAnsi="宋体"/>
                <w:b/>
                <w:color w:val="auto"/>
                <w:kern w:val="0"/>
                <w:sz w:val="21"/>
                <w:szCs w:val="21"/>
              </w:rPr>
              <w:t>表</w:t>
            </w:r>
            <w:r>
              <w:rPr>
                <w:b/>
                <w:color w:val="auto"/>
                <w:kern w:val="0"/>
                <w:sz w:val="21"/>
                <w:szCs w:val="21"/>
              </w:rPr>
              <w:t>4-</w:t>
            </w:r>
            <w:r>
              <w:rPr>
                <w:rFonts w:hint="eastAsia"/>
                <w:b/>
                <w:color w:val="auto"/>
                <w:kern w:val="0"/>
                <w:sz w:val="21"/>
                <w:szCs w:val="21"/>
                <w:lang w:val="en-US" w:eastAsia="zh-CN"/>
              </w:rPr>
              <w:t>8</w:t>
            </w:r>
            <w:r>
              <w:rPr>
                <w:b/>
                <w:color w:val="auto"/>
                <w:kern w:val="0"/>
                <w:sz w:val="21"/>
                <w:szCs w:val="21"/>
              </w:rPr>
              <w:t xml:space="preserve"> </w:t>
            </w:r>
            <w:r>
              <w:rPr>
                <w:rFonts w:hint="eastAsia" w:ascii="宋体" w:hAnsi="宋体"/>
                <w:b/>
                <w:color w:val="auto"/>
                <w:kern w:val="0"/>
                <w:sz w:val="21"/>
                <w:szCs w:val="21"/>
              </w:rPr>
              <w:t>本项目噪声贡献值一览表</w:t>
            </w:r>
            <w:r>
              <w:rPr>
                <w:b/>
                <w:color w:val="auto"/>
                <w:kern w:val="0"/>
                <w:sz w:val="21"/>
                <w:szCs w:val="21"/>
              </w:rPr>
              <w:t xml:space="preserve">  </w:t>
            </w:r>
            <w:r>
              <w:rPr>
                <w:rFonts w:hint="eastAsia" w:ascii="宋体" w:hAnsi="宋体"/>
                <w:b/>
                <w:color w:val="auto"/>
                <w:kern w:val="0"/>
                <w:sz w:val="21"/>
                <w:szCs w:val="21"/>
              </w:rPr>
              <w:t>单位：</w:t>
            </w:r>
            <w:r>
              <w:rPr>
                <w:b/>
                <w:color w:val="auto"/>
                <w:kern w:val="0"/>
                <w:sz w:val="21"/>
                <w:szCs w:val="21"/>
              </w:rPr>
              <w:t>dB</w:t>
            </w:r>
            <w:r>
              <w:rPr>
                <w:rFonts w:hint="eastAsia" w:ascii="宋体" w:hAnsi="宋体"/>
                <w:b/>
                <w:color w:val="auto"/>
                <w:kern w:val="0"/>
                <w:sz w:val="21"/>
                <w:szCs w:val="21"/>
              </w:rPr>
              <w:t>（</w:t>
            </w:r>
            <w:r>
              <w:rPr>
                <w:b/>
                <w:color w:val="auto"/>
                <w:kern w:val="0"/>
                <w:sz w:val="21"/>
                <w:szCs w:val="21"/>
              </w:rPr>
              <w:t>A</w:t>
            </w:r>
            <w:r>
              <w:rPr>
                <w:rFonts w:hint="eastAsia" w:ascii="宋体" w:hAnsi="宋体"/>
                <w:b/>
                <w:color w:val="auto"/>
                <w:kern w:val="0"/>
                <w:sz w:val="21"/>
                <w:szCs w:val="21"/>
              </w:rPr>
              <w:t>）</w:t>
            </w:r>
          </w:p>
          <w:tbl>
            <w:tblPr>
              <w:tblStyle w:val="30"/>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417"/>
              <w:gridCol w:w="992"/>
              <w:gridCol w:w="1090"/>
              <w:gridCol w:w="1037"/>
              <w:gridCol w:w="1134"/>
              <w:gridCol w:w="1069"/>
            </w:tblGrid>
            <w:tr w14:paraId="55E2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vMerge w:val="restart"/>
                  <w:tcBorders>
                    <w:top w:val="single" w:color="auto" w:sz="4" w:space="0"/>
                    <w:left w:val="single" w:color="auto" w:sz="4" w:space="0"/>
                    <w:bottom w:val="single" w:color="auto" w:sz="4" w:space="0"/>
                    <w:right w:val="single" w:color="auto" w:sz="4" w:space="0"/>
                  </w:tcBorders>
                  <w:vAlign w:val="center"/>
                </w:tcPr>
                <w:p w14:paraId="6EBE9C6C">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序号</w:t>
                  </w:r>
                </w:p>
              </w:tc>
              <w:tc>
                <w:tcPr>
                  <w:tcW w:w="1417" w:type="dxa"/>
                  <w:vMerge w:val="restart"/>
                  <w:tcBorders>
                    <w:top w:val="single" w:color="auto" w:sz="4" w:space="0"/>
                    <w:left w:val="nil"/>
                    <w:bottom w:val="single" w:color="auto" w:sz="4" w:space="0"/>
                    <w:right w:val="single" w:color="auto" w:sz="4" w:space="0"/>
                  </w:tcBorders>
                  <w:vAlign w:val="center"/>
                </w:tcPr>
                <w:p w14:paraId="22CEC05B">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厂界</w:t>
                  </w:r>
                </w:p>
              </w:tc>
              <w:tc>
                <w:tcPr>
                  <w:tcW w:w="2082" w:type="dxa"/>
                  <w:gridSpan w:val="2"/>
                  <w:tcBorders>
                    <w:top w:val="single" w:color="auto" w:sz="4" w:space="0"/>
                    <w:left w:val="nil"/>
                    <w:bottom w:val="single" w:color="auto" w:sz="4" w:space="0"/>
                    <w:right w:val="single" w:color="auto" w:sz="4" w:space="0"/>
                  </w:tcBorders>
                  <w:vAlign w:val="center"/>
                </w:tcPr>
                <w:p w14:paraId="7B47CD1B">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预测点坐标</w:t>
                  </w:r>
                </w:p>
              </w:tc>
              <w:tc>
                <w:tcPr>
                  <w:tcW w:w="1037" w:type="dxa"/>
                  <w:vMerge w:val="restart"/>
                  <w:tcBorders>
                    <w:top w:val="single" w:color="auto" w:sz="4" w:space="0"/>
                    <w:left w:val="nil"/>
                    <w:bottom w:val="single" w:color="auto" w:sz="4" w:space="0"/>
                    <w:right w:val="single" w:color="auto" w:sz="4" w:space="0"/>
                  </w:tcBorders>
                  <w:vAlign w:val="center"/>
                </w:tcPr>
                <w:p w14:paraId="322E176D">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贡献值</w:t>
                  </w:r>
                </w:p>
              </w:tc>
              <w:tc>
                <w:tcPr>
                  <w:tcW w:w="1134" w:type="dxa"/>
                  <w:tcBorders>
                    <w:top w:val="single" w:color="auto" w:sz="4" w:space="0"/>
                    <w:left w:val="nil"/>
                    <w:bottom w:val="nil"/>
                    <w:right w:val="single" w:color="auto" w:sz="4" w:space="0"/>
                  </w:tcBorders>
                  <w:vAlign w:val="center"/>
                </w:tcPr>
                <w:p w14:paraId="683F0560">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标准值</w:t>
                  </w:r>
                </w:p>
              </w:tc>
              <w:tc>
                <w:tcPr>
                  <w:tcW w:w="1069" w:type="dxa"/>
                  <w:vMerge w:val="restart"/>
                  <w:tcBorders>
                    <w:top w:val="single" w:color="auto" w:sz="4" w:space="0"/>
                    <w:left w:val="nil"/>
                    <w:bottom w:val="single" w:color="auto" w:sz="4" w:space="0"/>
                    <w:right w:val="single" w:color="auto" w:sz="4" w:space="0"/>
                  </w:tcBorders>
                  <w:vAlign w:val="center"/>
                </w:tcPr>
                <w:p w14:paraId="2BB4D26D">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达标情况</w:t>
                  </w:r>
                </w:p>
              </w:tc>
            </w:tr>
            <w:tr w14:paraId="081C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vMerge w:val="continue"/>
                  <w:tcBorders>
                    <w:top w:val="single" w:color="auto" w:sz="4" w:space="0"/>
                    <w:left w:val="single" w:color="auto" w:sz="4" w:space="0"/>
                    <w:bottom w:val="single" w:color="auto" w:sz="4" w:space="0"/>
                    <w:right w:val="single" w:color="auto" w:sz="4" w:space="0"/>
                  </w:tcBorders>
                  <w:vAlign w:val="center"/>
                </w:tcPr>
                <w:p w14:paraId="150CEFAE">
                  <w:pPr>
                    <w:keepNext w:val="0"/>
                    <w:keepLines w:val="0"/>
                    <w:pageBreakBefore w:val="0"/>
                    <w:widowControl/>
                    <w:kinsoku/>
                    <w:wordWrap/>
                    <w:overflowPunct/>
                    <w:topLinePunct w:val="0"/>
                    <w:bidi w:val="0"/>
                    <w:snapToGrid/>
                    <w:spacing w:line="240" w:lineRule="auto"/>
                    <w:jc w:val="center"/>
                    <w:rPr>
                      <w:rFonts w:hint="default" w:ascii="Times New Roman" w:hAnsi="Times New Roman" w:cs="Times New Roman" w:eastAsiaTheme="minorEastAsia"/>
                      <w:b/>
                      <w:bCs/>
                      <w:color w:val="auto"/>
                      <w:kern w:val="0"/>
                      <w:sz w:val="21"/>
                      <w:szCs w:val="21"/>
                    </w:rPr>
                  </w:pPr>
                </w:p>
              </w:tc>
              <w:tc>
                <w:tcPr>
                  <w:tcW w:w="1417" w:type="dxa"/>
                  <w:vMerge w:val="continue"/>
                  <w:tcBorders>
                    <w:top w:val="single" w:color="auto" w:sz="4" w:space="0"/>
                    <w:left w:val="nil"/>
                    <w:bottom w:val="single" w:color="auto" w:sz="4" w:space="0"/>
                    <w:right w:val="single" w:color="auto" w:sz="4" w:space="0"/>
                  </w:tcBorders>
                  <w:vAlign w:val="center"/>
                </w:tcPr>
                <w:p w14:paraId="3089B112">
                  <w:pPr>
                    <w:keepNext w:val="0"/>
                    <w:keepLines w:val="0"/>
                    <w:pageBreakBefore w:val="0"/>
                    <w:widowControl/>
                    <w:kinsoku/>
                    <w:wordWrap/>
                    <w:overflowPunct/>
                    <w:topLinePunct w:val="0"/>
                    <w:bidi w:val="0"/>
                    <w:snapToGrid/>
                    <w:spacing w:line="240" w:lineRule="auto"/>
                    <w:jc w:val="center"/>
                    <w:rPr>
                      <w:rFonts w:hint="default" w:ascii="Times New Roman" w:hAnsi="Times New Roman" w:cs="Times New Roman" w:eastAsiaTheme="minorEastAsia"/>
                      <w:b/>
                      <w:bCs/>
                      <w:color w:val="auto"/>
                      <w:kern w:val="0"/>
                      <w:sz w:val="21"/>
                      <w:szCs w:val="21"/>
                    </w:rPr>
                  </w:pPr>
                </w:p>
              </w:tc>
              <w:tc>
                <w:tcPr>
                  <w:tcW w:w="992" w:type="dxa"/>
                  <w:tcBorders>
                    <w:top w:val="single" w:color="auto" w:sz="4" w:space="0"/>
                    <w:left w:val="nil"/>
                    <w:bottom w:val="single" w:color="auto" w:sz="4" w:space="0"/>
                    <w:right w:val="single" w:color="auto" w:sz="4" w:space="0"/>
                  </w:tcBorders>
                  <w:vAlign w:val="center"/>
                </w:tcPr>
                <w:p w14:paraId="2E3D0D24">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X（m）</w:t>
                  </w:r>
                </w:p>
              </w:tc>
              <w:tc>
                <w:tcPr>
                  <w:tcW w:w="1090" w:type="dxa"/>
                  <w:tcBorders>
                    <w:top w:val="single" w:color="auto" w:sz="4" w:space="0"/>
                    <w:left w:val="nil"/>
                    <w:bottom w:val="single" w:color="auto" w:sz="4" w:space="0"/>
                    <w:right w:val="single" w:color="auto" w:sz="4" w:space="0"/>
                  </w:tcBorders>
                  <w:vAlign w:val="center"/>
                </w:tcPr>
                <w:p w14:paraId="6042C24E">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Y（m）</w:t>
                  </w:r>
                </w:p>
              </w:tc>
              <w:tc>
                <w:tcPr>
                  <w:tcW w:w="1037" w:type="dxa"/>
                  <w:vMerge w:val="continue"/>
                  <w:tcBorders>
                    <w:top w:val="single" w:color="auto" w:sz="4" w:space="0"/>
                    <w:left w:val="nil"/>
                    <w:bottom w:val="single" w:color="auto" w:sz="4" w:space="0"/>
                    <w:right w:val="single" w:color="auto" w:sz="4" w:space="0"/>
                  </w:tcBorders>
                  <w:vAlign w:val="center"/>
                </w:tcPr>
                <w:p w14:paraId="7035365A">
                  <w:pPr>
                    <w:keepNext w:val="0"/>
                    <w:keepLines w:val="0"/>
                    <w:pageBreakBefore w:val="0"/>
                    <w:widowControl/>
                    <w:kinsoku/>
                    <w:wordWrap/>
                    <w:overflowPunct/>
                    <w:topLinePunct w:val="0"/>
                    <w:bidi w:val="0"/>
                    <w:snapToGrid/>
                    <w:spacing w:line="240" w:lineRule="auto"/>
                    <w:jc w:val="center"/>
                    <w:rPr>
                      <w:rFonts w:hint="default" w:ascii="Times New Roman" w:hAnsi="Times New Roman" w:cs="Times New Roman" w:eastAsiaTheme="minorEastAsia"/>
                      <w:b/>
                      <w:bCs/>
                      <w:color w:val="auto"/>
                      <w:kern w:val="0"/>
                      <w:sz w:val="21"/>
                      <w:szCs w:val="21"/>
                    </w:rPr>
                  </w:pPr>
                </w:p>
              </w:tc>
              <w:tc>
                <w:tcPr>
                  <w:tcW w:w="1134" w:type="dxa"/>
                  <w:tcBorders>
                    <w:top w:val="single" w:color="auto" w:sz="4" w:space="0"/>
                    <w:left w:val="nil"/>
                    <w:bottom w:val="single" w:color="auto" w:sz="4" w:space="0"/>
                    <w:right w:val="single" w:color="auto" w:sz="4" w:space="0"/>
                  </w:tcBorders>
                  <w:vAlign w:val="center"/>
                </w:tcPr>
                <w:p w14:paraId="1DDD12FA">
                  <w:pPr>
                    <w:pStyle w:val="40"/>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昼间</w:t>
                  </w:r>
                </w:p>
              </w:tc>
              <w:tc>
                <w:tcPr>
                  <w:tcW w:w="1069" w:type="dxa"/>
                  <w:vMerge w:val="continue"/>
                  <w:tcBorders>
                    <w:top w:val="single" w:color="auto" w:sz="4" w:space="0"/>
                    <w:left w:val="nil"/>
                    <w:bottom w:val="single" w:color="auto" w:sz="4" w:space="0"/>
                    <w:right w:val="single" w:color="auto" w:sz="4" w:space="0"/>
                  </w:tcBorders>
                  <w:vAlign w:val="center"/>
                </w:tcPr>
                <w:p w14:paraId="6DF0D64B">
                  <w:pPr>
                    <w:keepNext w:val="0"/>
                    <w:keepLines w:val="0"/>
                    <w:pageBreakBefore w:val="0"/>
                    <w:widowControl/>
                    <w:kinsoku/>
                    <w:wordWrap/>
                    <w:overflowPunct/>
                    <w:topLinePunct w:val="0"/>
                    <w:bidi w:val="0"/>
                    <w:snapToGrid/>
                    <w:spacing w:line="240" w:lineRule="auto"/>
                    <w:jc w:val="center"/>
                    <w:rPr>
                      <w:rFonts w:hint="default" w:ascii="Times New Roman" w:hAnsi="Times New Roman" w:cs="Times New Roman" w:eastAsiaTheme="minorEastAsia"/>
                      <w:b/>
                      <w:bCs/>
                      <w:color w:val="auto"/>
                      <w:kern w:val="0"/>
                      <w:sz w:val="21"/>
                      <w:szCs w:val="21"/>
                    </w:rPr>
                  </w:pPr>
                </w:p>
              </w:tc>
            </w:tr>
            <w:tr w14:paraId="0F1A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F06264C">
                  <w:pPr>
                    <w:keepNext w:val="0"/>
                    <w:keepLines w:val="0"/>
                    <w:pageBreakBefore w:val="0"/>
                    <w:kinsoku/>
                    <w:wordWrap/>
                    <w:overflowPunct/>
                    <w:topLinePunct w:val="0"/>
                    <w:bidi w:val="0"/>
                    <w:snapToGrid/>
                    <w:spacing w:line="240" w:lineRule="auto"/>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1417" w:type="dxa"/>
                  <w:tcBorders>
                    <w:top w:val="single" w:color="auto" w:sz="4" w:space="0"/>
                    <w:left w:val="nil"/>
                    <w:bottom w:val="single" w:color="auto" w:sz="4" w:space="0"/>
                    <w:right w:val="single" w:color="auto" w:sz="4" w:space="0"/>
                  </w:tcBorders>
                  <w:vAlign w:val="center"/>
                </w:tcPr>
                <w:p w14:paraId="47F8504C">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东厂界</w:t>
                  </w:r>
                </w:p>
              </w:tc>
              <w:tc>
                <w:tcPr>
                  <w:tcW w:w="992" w:type="dxa"/>
                  <w:tcBorders>
                    <w:top w:val="single" w:color="auto" w:sz="4" w:space="0"/>
                    <w:left w:val="nil"/>
                    <w:bottom w:val="single" w:color="auto" w:sz="4" w:space="0"/>
                    <w:right w:val="single" w:color="auto" w:sz="4" w:space="0"/>
                  </w:tcBorders>
                  <w:vAlign w:val="center"/>
                </w:tcPr>
                <w:p w14:paraId="4ED88B03">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166.26</w:t>
                  </w:r>
                </w:p>
              </w:tc>
              <w:tc>
                <w:tcPr>
                  <w:tcW w:w="1090" w:type="dxa"/>
                  <w:tcBorders>
                    <w:top w:val="single" w:color="auto" w:sz="4" w:space="0"/>
                    <w:left w:val="nil"/>
                    <w:bottom w:val="single" w:color="auto" w:sz="4" w:space="0"/>
                    <w:right w:val="single" w:color="auto" w:sz="4" w:space="0"/>
                  </w:tcBorders>
                  <w:vAlign w:val="center"/>
                </w:tcPr>
                <w:p w14:paraId="48C66FDA">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67.33</w:t>
                  </w:r>
                </w:p>
              </w:tc>
              <w:tc>
                <w:tcPr>
                  <w:tcW w:w="1037" w:type="dxa"/>
                  <w:tcBorders>
                    <w:top w:val="single" w:color="auto" w:sz="4" w:space="0"/>
                    <w:left w:val="nil"/>
                    <w:bottom w:val="single" w:color="auto" w:sz="4" w:space="0"/>
                    <w:right w:val="single" w:color="auto" w:sz="4" w:space="0"/>
                  </w:tcBorders>
                  <w:vAlign w:val="center"/>
                </w:tcPr>
                <w:p w14:paraId="282F5D32">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45.3</w:t>
                  </w:r>
                </w:p>
              </w:tc>
              <w:tc>
                <w:tcPr>
                  <w:tcW w:w="1134" w:type="dxa"/>
                  <w:tcBorders>
                    <w:top w:val="single" w:color="auto" w:sz="4" w:space="0"/>
                    <w:left w:val="nil"/>
                    <w:bottom w:val="single" w:color="auto" w:sz="4" w:space="0"/>
                    <w:right w:val="single" w:color="auto" w:sz="4" w:space="0"/>
                  </w:tcBorders>
                  <w:vAlign w:val="center"/>
                </w:tcPr>
                <w:p w14:paraId="5C1C1E17">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6B036D98">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502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E2AE20D">
                  <w:pPr>
                    <w:keepNext w:val="0"/>
                    <w:keepLines w:val="0"/>
                    <w:pageBreakBefore w:val="0"/>
                    <w:kinsoku/>
                    <w:wordWrap/>
                    <w:overflowPunct/>
                    <w:topLinePunct w:val="0"/>
                    <w:bidi w:val="0"/>
                    <w:snapToGrid/>
                    <w:spacing w:line="240" w:lineRule="auto"/>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1417" w:type="dxa"/>
                  <w:tcBorders>
                    <w:top w:val="single" w:color="auto" w:sz="4" w:space="0"/>
                    <w:left w:val="nil"/>
                    <w:bottom w:val="single" w:color="auto" w:sz="4" w:space="0"/>
                    <w:right w:val="single" w:color="auto" w:sz="4" w:space="0"/>
                  </w:tcBorders>
                  <w:vAlign w:val="center"/>
                </w:tcPr>
                <w:p w14:paraId="584BEF31">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南厂界</w:t>
                  </w:r>
                </w:p>
              </w:tc>
              <w:tc>
                <w:tcPr>
                  <w:tcW w:w="992" w:type="dxa"/>
                  <w:tcBorders>
                    <w:top w:val="single" w:color="auto" w:sz="4" w:space="0"/>
                    <w:left w:val="nil"/>
                    <w:bottom w:val="single" w:color="auto" w:sz="4" w:space="0"/>
                    <w:right w:val="single" w:color="auto" w:sz="4" w:space="0"/>
                  </w:tcBorders>
                  <w:vAlign w:val="center"/>
                </w:tcPr>
                <w:p w14:paraId="387EBDB6">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52.99</w:t>
                  </w:r>
                </w:p>
              </w:tc>
              <w:tc>
                <w:tcPr>
                  <w:tcW w:w="1090" w:type="dxa"/>
                  <w:tcBorders>
                    <w:top w:val="single" w:color="auto" w:sz="4" w:space="0"/>
                    <w:left w:val="nil"/>
                    <w:bottom w:val="single" w:color="auto" w:sz="4" w:space="0"/>
                    <w:right w:val="single" w:color="auto" w:sz="4" w:space="0"/>
                  </w:tcBorders>
                  <w:vAlign w:val="center"/>
                </w:tcPr>
                <w:p w14:paraId="316438DC">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32.82</w:t>
                  </w:r>
                </w:p>
              </w:tc>
              <w:tc>
                <w:tcPr>
                  <w:tcW w:w="1037" w:type="dxa"/>
                  <w:tcBorders>
                    <w:top w:val="single" w:color="auto" w:sz="4" w:space="0"/>
                    <w:left w:val="nil"/>
                    <w:bottom w:val="single" w:color="auto" w:sz="4" w:space="0"/>
                    <w:right w:val="single" w:color="auto" w:sz="4" w:space="0"/>
                  </w:tcBorders>
                  <w:vAlign w:val="center"/>
                </w:tcPr>
                <w:p w14:paraId="65AC5BB8">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48.1</w:t>
                  </w:r>
                </w:p>
              </w:tc>
              <w:tc>
                <w:tcPr>
                  <w:tcW w:w="1134" w:type="dxa"/>
                  <w:tcBorders>
                    <w:top w:val="single" w:color="auto" w:sz="4" w:space="0"/>
                    <w:left w:val="nil"/>
                    <w:bottom w:val="single" w:color="auto" w:sz="4" w:space="0"/>
                    <w:right w:val="single" w:color="auto" w:sz="4" w:space="0"/>
                  </w:tcBorders>
                  <w:vAlign w:val="center"/>
                </w:tcPr>
                <w:p w14:paraId="482BE7FD">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48FEC6B3">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4FE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B92FC59">
                  <w:pPr>
                    <w:keepNext w:val="0"/>
                    <w:keepLines w:val="0"/>
                    <w:pageBreakBefore w:val="0"/>
                    <w:kinsoku/>
                    <w:wordWrap/>
                    <w:overflowPunct/>
                    <w:topLinePunct w:val="0"/>
                    <w:bidi w:val="0"/>
                    <w:snapToGrid/>
                    <w:spacing w:line="240" w:lineRule="auto"/>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1417" w:type="dxa"/>
                  <w:tcBorders>
                    <w:top w:val="single" w:color="auto" w:sz="4" w:space="0"/>
                    <w:left w:val="nil"/>
                    <w:bottom w:val="single" w:color="auto" w:sz="4" w:space="0"/>
                    <w:right w:val="single" w:color="auto" w:sz="4" w:space="0"/>
                  </w:tcBorders>
                  <w:vAlign w:val="center"/>
                </w:tcPr>
                <w:p w14:paraId="0A02D4A1">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西厂界</w:t>
                  </w:r>
                </w:p>
              </w:tc>
              <w:tc>
                <w:tcPr>
                  <w:tcW w:w="992" w:type="dxa"/>
                  <w:tcBorders>
                    <w:top w:val="single" w:color="auto" w:sz="4" w:space="0"/>
                    <w:left w:val="nil"/>
                    <w:bottom w:val="single" w:color="auto" w:sz="4" w:space="0"/>
                    <w:right w:val="single" w:color="auto" w:sz="4" w:space="0"/>
                  </w:tcBorders>
                  <w:vAlign w:val="center"/>
                </w:tcPr>
                <w:p w14:paraId="50EDF2D0">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-0.93</w:t>
                  </w:r>
                </w:p>
              </w:tc>
              <w:tc>
                <w:tcPr>
                  <w:tcW w:w="1090" w:type="dxa"/>
                  <w:tcBorders>
                    <w:top w:val="single" w:color="auto" w:sz="4" w:space="0"/>
                    <w:left w:val="nil"/>
                    <w:bottom w:val="single" w:color="auto" w:sz="4" w:space="0"/>
                    <w:right w:val="single" w:color="auto" w:sz="4" w:space="0"/>
                  </w:tcBorders>
                  <w:vAlign w:val="center"/>
                </w:tcPr>
                <w:p w14:paraId="2BC82ED4">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3.30</w:t>
                  </w:r>
                </w:p>
              </w:tc>
              <w:tc>
                <w:tcPr>
                  <w:tcW w:w="1037" w:type="dxa"/>
                  <w:tcBorders>
                    <w:top w:val="single" w:color="auto" w:sz="4" w:space="0"/>
                    <w:left w:val="nil"/>
                    <w:bottom w:val="single" w:color="auto" w:sz="4" w:space="0"/>
                    <w:right w:val="single" w:color="auto" w:sz="4" w:space="0"/>
                  </w:tcBorders>
                  <w:vAlign w:val="center"/>
                </w:tcPr>
                <w:p w14:paraId="79DC4DDF">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44.9</w:t>
                  </w:r>
                </w:p>
              </w:tc>
              <w:tc>
                <w:tcPr>
                  <w:tcW w:w="1134" w:type="dxa"/>
                  <w:tcBorders>
                    <w:top w:val="single" w:color="auto" w:sz="4" w:space="0"/>
                    <w:left w:val="nil"/>
                    <w:bottom w:val="single" w:color="auto" w:sz="4" w:space="0"/>
                    <w:right w:val="single" w:color="auto" w:sz="4" w:space="0"/>
                  </w:tcBorders>
                  <w:vAlign w:val="center"/>
                </w:tcPr>
                <w:p w14:paraId="0BA68299">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5A963336">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4497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B2779F9">
                  <w:pPr>
                    <w:keepNext w:val="0"/>
                    <w:keepLines w:val="0"/>
                    <w:pageBreakBefore w:val="0"/>
                    <w:kinsoku/>
                    <w:wordWrap/>
                    <w:overflowPunct/>
                    <w:topLinePunct w:val="0"/>
                    <w:bidi w:val="0"/>
                    <w:snapToGrid/>
                    <w:spacing w:line="240" w:lineRule="auto"/>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4</w:t>
                  </w:r>
                </w:p>
              </w:tc>
              <w:tc>
                <w:tcPr>
                  <w:tcW w:w="1417" w:type="dxa"/>
                  <w:tcBorders>
                    <w:top w:val="single" w:color="auto" w:sz="4" w:space="0"/>
                    <w:left w:val="nil"/>
                    <w:bottom w:val="single" w:color="auto" w:sz="4" w:space="0"/>
                    <w:right w:val="single" w:color="auto" w:sz="4" w:space="0"/>
                  </w:tcBorders>
                  <w:vAlign w:val="center"/>
                </w:tcPr>
                <w:p w14:paraId="07DC04F1">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北厂界</w:t>
                  </w:r>
                </w:p>
              </w:tc>
              <w:tc>
                <w:tcPr>
                  <w:tcW w:w="992" w:type="dxa"/>
                  <w:tcBorders>
                    <w:top w:val="single" w:color="auto" w:sz="4" w:space="0"/>
                    <w:left w:val="nil"/>
                    <w:bottom w:val="single" w:color="auto" w:sz="4" w:space="0"/>
                    <w:right w:val="single" w:color="auto" w:sz="4" w:space="0"/>
                  </w:tcBorders>
                  <w:vAlign w:val="center"/>
                </w:tcPr>
                <w:p w14:paraId="549C5627">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78.36</w:t>
                  </w:r>
                </w:p>
              </w:tc>
              <w:tc>
                <w:tcPr>
                  <w:tcW w:w="1090" w:type="dxa"/>
                  <w:tcBorders>
                    <w:top w:val="single" w:color="auto" w:sz="4" w:space="0"/>
                    <w:left w:val="nil"/>
                    <w:bottom w:val="single" w:color="auto" w:sz="4" w:space="0"/>
                    <w:right w:val="single" w:color="auto" w:sz="4" w:space="0"/>
                  </w:tcBorders>
                  <w:vAlign w:val="center"/>
                </w:tcPr>
                <w:p w14:paraId="3C1BFE47">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128.83</w:t>
                  </w:r>
                </w:p>
              </w:tc>
              <w:tc>
                <w:tcPr>
                  <w:tcW w:w="1037" w:type="dxa"/>
                  <w:tcBorders>
                    <w:top w:val="single" w:color="auto" w:sz="4" w:space="0"/>
                    <w:left w:val="nil"/>
                    <w:bottom w:val="single" w:color="auto" w:sz="4" w:space="0"/>
                    <w:right w:val="single" w:color="auto" w:sz="4" w:space="0"/>
                  </w:tcBorders>
                  <w:vAlign w:val="center"/>
                </w:tcPr>
                <w:p w14:paraId="64CAB55D">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42.7</w:t>
                  </w:r>
                </w:p>
              </w:tc>
              <w:tc>
                <w:tcPr>
                  <w:tcW w:w="1134" w:type="dxa"/>
                  <w:tcBorders>
                    <w:top w:val="single" w:color="auto" w:sz="4" w:space="0"/>
                    <w:left w:val="nil"/>
                    <w:bottom w:val="single" w:color="auto" w:sz="4" w:space="0"/>
                    <w:right w:val="single" w:color="auto" w:sz="4" w:space="0"/>
                  </w:tcBorders>
                  <w:vAlign w:val="center"/>
                </w:tcPr>
                <w:p w14:paraId="56C00693">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09A8FE80">
                  <w:pPr>
                    <w:keepNext w:val="0"/>
                    <w:keepLines w:val="0"/>
                    <w:pageBreakBefore w:val="0"/>
                    <w:kinsoku/>
                    <w:wordWrap/>
                    <w:overflowPunct/>
                    <w:topLinePunct w:val="0"/>
                    <w:bidi w:val="0"/>
                    <w:snapToGrid/>
                    <w:spacing w:line="240" w:lineRule="auto"/>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bl>
          <w:p w14:paraId="36FF9006">
            <w:pPr>
              <w:widowControl/>
              <w:spacing w:before="156" w:beforeLines="50"/>
              <w:jc w:val="center"/>
              <w:rPr>
                <w:color w:val="auto"/>
              </w:rPr>
            </w:pPr>
            <w:r>
              <w:rPr>
                <w:rFonts w:hint="eastAsia"/>
                <w:color w:val="auto"/>
                <w:lang w:val="en-US" w:eastAsia="zh-CN"/>
              </w:rPr>
              <w:t xml:space="preserve">  </w:t>
            </w:r>
            <w:r>
              <w:rPr>
                <w:color w:val="auto"/>
              </w:rPr>
              <w:drawing>
                <wp:inline distT="0" distB="0" distL="114300" distR="114300">
                  <wp:extent cx="3155315" cy="2178050"/>
                  <wp:effectExtent l="0" t="0" r="6985"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5"/>
                          <a:srcRect l="9090" t="7172" b="2901"/>
                          <a:stretch>
                            <a:fillRect/>
                          </a:stretch>
                        </pic:blipFill>
                        <pic:spPr>
                          <a:xfrm>
                            <a:off x="0" y="0"/>
                            <a:ext cx="3155315" cy="2178050"/>
                          </a:xfrm>
                          <a:prstGeom prst="rect">
                            <a:avLst/>
                          </a:prstGeom>
                          <a:noFill/>
                          <a:ln>
                            <a:noFill/>
                          </a:ln>
                        </pic:spPr>
                      </pic:pic>
                    </a:graphicData>
                  </a:graphic>
                </wp:inline>
              </w:drawing>
            </w:r>
          </w:p>
          <w:p w14:paraId="2BBA8AB3">
            <w:pPr>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ascii="宋体" w:hAnsi="宋体"/>
                <w:color w:val="auto"/>
                <w:kern w:val="0"/>
              </w:rPr>
              <w:t>根据上表，项目噪声排放满足《工业企业厂界环境噪声排放标准》（</w:t>
            </w:r>
            <w:r>
              <w:rPr>
                <w:color w:val="auto"/>
                <w:kern w:val="0"/>
              </w:rPr>
              <w:t>GB12348-2008</w:t>
            </w:r>
            <w:r>
              <w:rPr>
                <w:rFonts w:hint="eastAsia" w:ascii="宋体" w:hAnsi="宋体"/>
                <w:color w:val="auto"/>
                <w:kern w:val="0"/>
              </w:rPr>
              <w:t>）中</w:t>
            </w:r>
            <w:r>
              <w:rPr>
                <w:rFonts w:hint="eastAsia"/>
                <w:color w:val="auto"/>
                <w:kern w:val="0"/>
                <w:lang w:val="en-US" w:eastAsia="zh-CN"/>
              </w:rPr>
              <w:t>3</w:t>
            </w:r>
            <w:r>
              <w:rPr>
                <w:rFonts w:hint="eastAsia" w:ascii="宋体" w:hAnsi="宋体"/>
                <w:color w:val="auto"/>
                <w:kern w:val="0"/>
              </w:rPr>
              <w:t>类标准。</w:t>
            </w:r>
          </w:p>
          <w:p w14:paraId="21957054">
            <w:pPr>
              <w:keepNext w:val="0"/>
              <w:keepLines w:val="0"/>
              <w:pageBreakBefore w:val="0"/>
              <w:widowControl w:val="0"/>
              <w:kinsoku/>
              <w:wordWrap/>
              <w:overflowPunct/>
              <w:topLinePunct w:val="0"/>
              <w:autoSpaceDE/>
              <w:autoSpaceDN/>
              <w:bidi w:val="0"/>
              <w:adjustRightInd/>
              <w:snapToGrid/>
              <w:ind w:firstLine="482" w:firstLineChars="200"/>
              <w:contextualSpacing/>
              <w:textAlignment w:val="auto"/>
              <w:rPr>
                <w:b/>
                <w:color w:val="auto"/>
                <w:kern w:val="0"/>
              </w:rPr>
            </w:pPr>
            <w:r>
              <w:rPr>
                <w:rFonts w:hint="eastAsia"/>
                <w:b/>
                <w:color w:val="auto"/>
                <w:kern w:val="0"/>
              </w:rPr>
              <w:t>3</w:t>
            </w:r>
            <w:r>
              <w:rPr>
                <w:rFonts w:hint="eastAsia" w:ascii="宋体" w:hAnsi="宋体"/>
                <w:b/>
                <w:color w:val="auto"/>
                <w:kern w:val="0"/>
              </w:rPr>
              <w:t>、敏感点影响分析</w:t>
            </w:r>
          </w:p>
          <w:p w14:paraId="1446190E">
            <w:pPr>
              <w:adjustRightInd w:val="0"/>
              <w:snapToGrid w:val="0"/>
              <w:spacing w:before="156" w:beforeLines="50"/>
              <w:ind w:firstLine="480" w:firstLineChars="200"/>
              <w:rPr>
                <w:color w:val="auto"/>
                <w:kern w:val="0"/>
              </w:rPr>
            </w:pPr>
            <w:r>
              <w:rPr>
                <w:rFonts w:hint="eastAsia" w:ascii="宋体" w:hAnsi="宋体"/>
                <w:color w:val="auto"/>
                <w:kern w:val="0"/>
              </w:rPr>
              <w:t>根据现场勘查，本项目周边</w:t>
            </w:r>
            <w:r>
              <w:rPr>
                <w:rFonts w:hint="eastAsia"/>
                <w:color w:val="auto"/>
                <w:kern w:val="0"/>
              </w:rPr>
              <w:t>50m</w:t>
            </w:r>
            <w:r>
              <w:rPr>
                <w:rFonts w:hint="eastAsia" w:ascii="宋体" w:hAnsi="宋体"/>
                <w:color w:val="auto"/>
                <w:kern w:val="0"/>
              </w:rPr>
              <w:t>范围内无声环境敏感点。</w:t>
            </w:r>
          </w:p>
          <w:p w14:paraId="5E1B89B5">
            <w:pPr>
              <w:keepNext w:val="0"/>
              <w:keepLines w:val="0"/>
              <w:pageBreakBefore w:val="0"/>
              <w:widowControl w:val="0"/>
              <w:kinsoku/>
              <w:wordWrap/>
              <w:overflowPunct/>
              <w:topLinePunct w:val="0"/>
              <w:autoSpaceDE/>
              <w:autoSpaceDN/>
              <w:bidi w:val="0"/>
              <w:adjustRightInd/>
              <w:snapToGrid/>
              <w:ind w:firstLine="482" w:firstLineChars="200"/>
              <w:contextualSpacing/>
              <w:textAlignment w:val="auto"/>
              <w:rPr>
                <w:b/>
                <w:color w:val="auto"/>
              </w:rPr>
            </w:pPr>
            <w:r>
              <w:rPr>
                <w:rFonts w:hint="eastAsia"/>
                <w:b/>
                <w:color w:val="auto"/>
                <w:kern w:val="0"/>
              </w:rPr>
              <w:t>4</w:t>
            </w:r>
            <w:r>
              <w:rPr>
                <w:rFonts w:hint="eastAsia" w:ascii="宋体" w:hAnsi="宋体"/>
                <w:b/>
                <w:color w:val="auto"/>
                <w:kern w:val="0"/>
              </w:rPr>
              <w:t>、噪声监测计划</w:t>
            </w:r>
          </w:p>
          <w:p w14:paraId="327860E9">
            <w:pPr>
              <w:ind w:firstLine="480" w:firstLineChars="200"/>
              <w:contextualSpacing/>
              <w:rPr>
                <w:color w:val="auto"/>
                <w:kern w:val="0"/>
              </w:rPr>
            </w:pPr>
            <w:r>
              <w:rPr>
                <w:rFonts w:hint="eastAsia" w:ascii="宋体" w:hAnsi="宋体"/>
                <w:color w:val="auto"/>
                <w:kern w:val="0"/>
              </w:rPr>
              <w:t>根据《排污单位自行监测技术指南</w:t>
            </w:r>
            <w:r>
              <w:rPr>
                <w:rFonts w:hint="eastAsia"/>
                <w:color w:val="auto"/>
                <w:kern w:val="0"/>
              </w:rPr>
              <w:t xml:space="preserve"> </w:t>
            </w:r>
            <w:r>
              <w:rPr>
                <w:rFonts w:hint="eastAsia" w:ascii="宋体" w:hAnsi="宋体"/>
                <w:color w:val="auto"/>
                <w:kern w:val="0"/>
              </w:rPr>
              <w:t>总则》（</w:t>
            </w:r>
            <w:r>
              <w:rPr>
                <w:rFonts w:hint="eastAsia"/>
                <w:color w:val="auto"/>
                <w:kern w:val="0"/>
              </w:rPr>
              <w:t>HJ819-2017</w:t>
            </w:r>
            <w:r>
              <w:rPr>
                <w:rFonts w:hint="eastAsia" w:ascii="宋体" w:hAnsi="宋体"/>
                <w:color w:val="auto"/>
                <w:kern w:val="0"/>
              </w:rPr>
              <w:t>），本项目噪声自行监测计划见下表。</w:t>
            </w:r>
            <w:r>
              <w:rPr>
                <w:color w:val="auto"/>
                <w:kern w:val="0"/>
              </w:rPr>
              <w:t xml:space="preserve"> </w:t>
            </w:r>
          </w:p>
          <w:p w14:paraId="184F0B94">
            <w:pPr>
              <w:ind w:firstLine="480" w:firstLineChars="200"/>
              <w:contextualSpacing/>
              <w:rPr>
                <w:color w:val="auto"/>
                <w:kern w:val="0"/>
              </w:rPr>
            </w:pPr>
          </w:p>
          <w:p w14:paraId="0EFE89F1">
            <w:pPr>
              <w:ind w:firstLine="422" w:firstLineChars="200"/>
              <w:contextualSpacing/>
              <w:jc w:val="center"/>
              <w:rPr>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4-</w:t>
            </w:r>
            <w:r>
              <w:rPr>
                <w:rFonts w:hint="eastAsia"/>
                <w:b/>
                <w:color w:val="auto"/>
                <w:kern w:val="0"/>
                <w:sz w:val="21"/>
                <w:szCs w:val="21"/>
                <w:lang w:val="en-US" w:eastAsia="zh-CN"/>
              </w:rPr>
              <w:t>9</w:t>
            </w:r>
            <w:r>
              <w:rPr>
                <w:rFonts w:hint="eastAsia"/>
                <w:b/>
                <w:color w:val="auto"/>
                <w:kern w:val="0"/>
                <w:sz w:val="21"/>
                <w:szCs w:val="21"/>
              </w:rPr>
              <w:t xml:space="preserve"> </w:t>
            </w:r>
            <w:r>
              <w:rPr>
                <w:rFonts w:hint="eastAsia" w:ascii="宋体" w:hAnsi="宋体"/>
                <w:b/>
                <w:color w:val="auto"/>
                <w:kern w:val="0"/>
                <w:sz w:val="21"/>
                <w:szCs w:val="21"/>
              </w:rPr>
              <w:t>运营期噪声监测计划一览表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1"/>
              <w:gridCol w:w="1381"/>
              <w:gridCol w:w="1382"/>
              <w:gridCol w:w="2178"/>
            </w:tblGrid>
            <w:tr w14:paraId="709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dxa"/>
                  <w:tcBorders>
                    <w:top w:val="single" w:color="auto" w:sz="4" w:space="0"/>
                    <w:left w:val="single" w:color="auto" w:sz="4" w:space="0"/>
                    <w:bottom w:val="single" w:color="auto" w:sz="4" w:space="0"/>
                    <w:right w:val="single" w:color="auto" w:sz="4" w:space="0"/>
                  </w:tcBorders>
                  <w:vAlign w:val="center"/>
                </w:tcPr>
                <w:p w14:paraId="18B6B9BA">
                  <w:pPr>
                    <w:contextualSpacing/>
                    <w:jc w:val="center"/>
                    <w:rPr>
                      <w:b/>
                      <w:color w:val="auto"/>
                      <w:sz w:val="21"/>
                      <w:szCs w:val="21"/>
                    </w:rPr>
                  </w:pPr>
                  <w:r>
                    <w:rPr>
                      <w:rFonts w:hint="eastAsia" w:ascii="宋体" w:hAnsi="宋体"/>
                      <w:b/>
                      <w:color w:val="auto"/>
                      <w:kern w:val="0"/>
                      <w:sz w:val="21"/>
                      <w:szCs w:val="21"/>
                    </w:rPr>
                    <w:t>监测项目</w:t>
                  </w:r>
                </w:p>
              </w:tc>
              <w:tc>
                <w:tcPr>
                  <w:tcW w:w="1381" w:type="dxa"/>
                  <w:tcBorders>
                    <w:top w:val="single" w:color="auto" w:sz="4" w:space="0"/>
                    <w:left w:val="single" w:color="auto" w:sz="4" w:space="0"/>
                    <w:bottom w:val="single" w:color="auto" w:sz="4" w:space="0"/>
                    <w:right w:val="single" w:color="auto" w:sz="4" w:space="0"/>
                  </w:tcBorders>
                  <w:vAlign w:val="center"/>
                </w:tcPr>
                <w:p w14:paraId="41FEFAC4">
                  <w:pPr>
                    <w:contextualSpacing/>
                    <w:jc w:val="center"/>
                    <w:rPr>
                      <w:b/>
                      <w:color w:val="auto"/>
                      <w:sz w:val="21"/>
                      <w:szCs w:val="21"/>
                    </w:rPr>
                  </w:pPr>
                  <w:r>
                    <w:rPr>
                      <w:rFonts w:hint="eastAsia" w:ascii="宋体" w:hAnsi="宋体"/>
                      <w:b/>
                      <w:color w:val="auto"/>
                      <w:kern w:val="0"/>
                      <w:sz w:val="21"/>
                      <w:szCs w:val="21"/>
                    </w:rPr>
                    <w:t>监测点位</w:t>
                  </w:r>
                </w:p>
              </w:tc>
              <w:tc>
                <w:tcPr>
                  <w:tcW w:w="1381" w:type="dxa"/>
                  <w:tcBorders>
                    <w:top w:val="single" w:color="auto" w:sz="4" w:space="0"/>
                    <w:left w:val="single" w:color="auto" w:sz="4" w:space="0"/>
                    <w:bottom w:val="single" w:color="auto" w:sz="4" w:space="0"/>
                    <w:right w:val="single" w:color="auto" w:sz="4" w:space="0"/>
                  </w:tcBorders>
                  <w:vAlign w:val="center"/>
                </w:tcPr>
                <w:p w14:paraId="2092CDCC">
                  <w:pPr>
                    <w:contextualSpacing/>
                    <w:jc w:val="center"/>
                    <w:rPr>
                      <w:b/>
                      <w:color w:val="auto"/>
                      <w:sz w:val="21"/>
                      <w:szCs w:val="21"/>
                    </w:rPr>
                  </w:pPr>
                  <w:r>
                    <w:rPr>
                      <w:rFonts w:hint="eastAsia" w:ascii="宋体" w:hAnsi="宋体"/>
                      <w:b/>
                      <w:color w:val="auto"/>
                      <w:kern w:val="0"/>
                      <w:sz w:val="21"/>
                      <w:szCs w:val="21"/>
                    </w:rPr>
                    <w:t>监测时段</w:t>
                  </w:r>
                </w:p>
              </w:tc>
              <w:tc>
                <w:tcPr>
                  <w:tcW w:w="1382" w:type="dxa"/>
                  <w:tcBorders>
                    <w:top w:val="single" w:color="auto" w:sz="4" w:space="0"/>
                    <w:left w:val="single" w:color="auto" w:sz="4" w:space="0"/>
                    <w:bottom w:val="single" w:color="auto" w:sz="4" w:space="0"/>
                    <w:right w:val="single" w:color="auto" w:sz="4" w:space="0"/>
                  </w:tcBorders>
                  <w:vAlign w:val="center"/>
                </w:tcPr>
                <w:p w14:paraId="60AEFBDB">
                  <w:pPr>
                    <w:contextualSpacing/>
                    <w:jc w:val="center"/>
                    <w:rPr>
                      <w:b/>
                      <w:color w:val="auto"/>
                      <w:sz w:val="21"/>
                      <w:szCs w:val="21"/>
                    </w:rPr>
                  </w:pPr>
                  <w:r>
                    <w:rPr>
                      <w:rFonts w:hint="eastAsia" w:ascii="宋体" w:hAnsi="宋体"/>
                      <w:b/>
                      <w:color w:val="auto"/>
                      <w:kern w:val="0"/>
                      <w:sz w:val="21"/>
                      <w:szCs w:val="21"/>
                    </w:rPr>
                    <w:t>监测频次</w:t>
                  </w:r>
                </w:p>
              </w:tc>
              <w:tc>
                <w:tcPr>
                  <w:tcW w:w="2178" w:type="dxa"/>
                  <w:tcBorders>
                    <w:top w:val="single" w:color="auto" w:sz="4" w:space="0"/>
                    <w:left w:val="single" w:color="auto" w:sz="4" w:space="0"/>
                    <w:bottom w:val="single" w:color="auto" w:sz="4" w:space="0"/>
                    <w:right w:val="single" w:color="auto" w:sz="4" w:space="0"/>
                  </w:tcBorders>
                  <w:vAlign w:val="center"/>
                </w:tcPr>
                <w:p w14:paraId="622E1000">
                  <w:pPr>
                    <w:contextualSpacing/>
                    <w:jc w:val="center"/>
                    <w:rPr>
                      <w:b/>
                      <w:color w:val="auto"/>
                      <w:sz w:val="21"/>
                      <w:szCs w:val="21"/>
                    </w:rPr>
                  </w:pPr>
                  <w:r>
                    <w:rPr>
                      <w:rFonts w:hint="eastAsia" w:ascii="宋体" w:hAnsi="宋体"/>
                      <w:b/>
                      <w:color w:val="auto"/>
                      <w:kern w:val="0"/>
                      <w:sz w:val="21"/>
                      <w:szCs w:val="21"/>
                    </w:rPr>
                    <w:t>监测方法</w:t>
                  </w:r>
                </w:p>
              </w:tc>
            </w:tr>
            <w:tr w14:paraId="2C1E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dxa"/>
                  <w:tcBorders>
                    <w:top w:val="single" w:color="auto" w:sz="4" w:space="0"/>
                    <w:left w:val="single" w:color="auto" w:sz="4" w:space="0"/>
                    <w:bottom w:val="single" w:color="auto" w:sz="4" w:space="0"/>
                    <w:right w:val="single" w:color="auto" w:sz="4" w:space="0"/>
                  </w:tcBorders>
                  <w:vAlign w:val="center"/>
                </w:tcPr>
                <w:p w14:paraId="01E22D50">
                  <w:pPr>
                    <w:contextualSpacing/>
                    <w:jc w:val="center"/>
                    <w:rPr>
                      <w:color w:val="auto"/>
                      <w:sz w:val="21"/>
                      <w:szCs w:val="21"/>
                    </w:rPr>
                  </w:pPr>
                  <w:r>
                    <w:rPr>
                      <w:rFonts w:hint="eastAsia" w:ascii="宋体" w:hAnsi="宋体"/>
                      <w:color w:val="auto"/>
                      <w:kern w:val="0"/>
                      <w:sz w:val="21"/>
                      <w:szCs w:val="21"/>
                    </w:rPr>
                    <w:t>噪声</w:t>
                  </w:r>
                </w:p>
              </w:tc>
              <w:tc>
                <w:tcPr>
                  <w:tcW w:w="1381" w:type="dxa"/>
                  <w:tcBorders>
                    <w:top w:val="single" w:color="auto" w:sz="4" w:space="0"/>
                    <w:left w:val="single" w:color="auto" w:sz="4" w:space="0"/>
                    <w:bottom w:val="single" w:color="auto" w:sz="4" w:space="0"/>
                    <w:right w:val="single" w:color="auto" w:sz="4" w:space="0"/>
                  </w:tcBorders>
                  <w:vAlign w:val="center"/>
                </w:tcPr>
                <w:p w14:paraId="44A2B15F">
                  <w:pPr>
                    <w:contextualSpacing/>
                    <w:jc w:val="center"/>
                    <w:rPr>
                      <w:color w:val="auto"/>
                      <w:sz w:val="21"/>
                      <w:szCs w:val="21"/>
                    </w:rPr>
                  </w:pPr>
                  <w:r>
                    <w:rPr>
                      <w:rFonts w:hint="eastAsia" w:ascii="宋体" w:hAnsi="宋体"/>
                      <w:color w:val="auto"/>
                      <w:kern w:val="0"/>
                      <w:sz w:val="21"/>
                      <w:szCs w:val="21"/>
                    </w:rPr>
                    <w:t>四周厂界</w:t>
                  </w:r>
                </w:p>
              </w:tc>
              <w:tc>
                <w:tcPr>
                  <w:tcW w:w="1381" w:type="dxa"/>
                  <w:tcBorders>
                    <w:top w:val="single" w:color="auto" w:sz="4" w:space="0"/>
                    <w:left w:val="single" w:color="auto" w:sz="4" w:space="0"/>
                    <w:bottom w:val="single" w:color="auto" w:sz="4" w:space="0"/>
                    <w:right w:val="single" w:color="auto" w:sz="4" w:space="0"/>
                  </w:tcBorders>
                  <w:vAlign w:val="center"/>
                </w:tcPr>
                <w:p w14:paraId="1AD647C1">
                  <w:pPr>
                    <w:contextualSpacing/>
                    <w:jc w:val="center"/>
                    <w:rPr>
                      <w:color w:val="auto"/>
                      <w:sz w:val="21"/>
                      <w:szCs w:val="21"/>
                    </w:rPr>
                  </w:pPr>
                  <w:r>
                    <w:rPr>
                      <w:rFonts w:hint="eastAsia" w:ascii="宋体" w:hAnsi="宋体"/>
                      <w:color w:val="auto"/>
                      <w:kern w:val="0"/>
                      <w:sz w:val="21"/>
                      <w:szCs w:val="21"/>
                    </w:rPr>
                    <w:t>昼间</w:t>
                  </w:r>
                </w:p>
              </w:tc>
              <w:tc>
                <w:tcPr>
                  <w:tcW w:w="1382" w:type="dxa"/>
                  <w:tcBorders>
                    <w:top w:val="single" w:color="auto" w:sz="4" w:space="0"/>
                    <w:left w:val="single" w:color="auto" w:sz="4" w:space="0"/>
                    <w:bottom w:val="single" w:color="auto" w:sz="4" w:space="0"/>
                    <w:right w:val="single" w:color="auto" w:sz="4" w:space="0"/>
                  </w:tcBorders>
                  <w:vAlign w:val="center"/>
                </w:tcPr>
                <w:p w14:paraId="2F220209">
                  <w:pPr>
                    <w:contextualSpacing/>
                    <w:jc w:val="center"/>
                    <w:rPr>
                      <w:color w:val="auto"/>
                      <w:sz w:val="21"/>
                      <w:szCs w:val="21"/>
                    </w:rPr>
                  </w:pPr>
                  <w:r>
                    <w:rPr>
                      <w:rFonts w:hint="eastAsia"/>
                      <w:color w:val="auto"/>
                      <w:kern w:val="0"/>
                      <w:sz w:val="21"/>
                      <w:szCs w:val="21"/>
                    </w:rPr>
                    <w:t>1</w:t>
                  </w:r>
                  <w:r>
                    <w:rPr>
                      <w:rFonts w:hint="eastAsia" w:ascii="宋体" w:hAnsi="宋体"/>
                      <w:color w:val="auto"/>
                      <w:kern w:val="0"/>
                      <w:sz w:val="21"/>
                      <w:szCs w:val="21"/>
                    </w:rPr>
                    <w:t>次</w:t>
                  </w:r>
                  <w:r>
                    <w:rPr>
                      <w:rFonts w:hint="eastAsia"/>
                      <w:color w:val="auto"/>
                      <w:kern w:val="0"/>
                      <w:sz w:val="21"/>
                      <w:szCs w:val="21"/>
                    </w:rPr>
                    <w:t>/</w:t>
                  </w:r>
                  <w:r>
                    <w:rPr>
                      <w:rFonts w:hint="eastAsia" w:ascii="宋体" w:hAnsi="宋体"/>
                      <w:color w:val="auto"/>
                      <w:kern w:val="0"/>
                      <w:sz w:val="21"/>
                      <w:szCs w:val="21"/>
                    </w:rPr>
                    <w:t>季</w:t>
                  </w:r>
                </w:p>
              </w:tc>
              <w:tc>
                <w:tcPr>
                  <w:tcW w:w="2178" w:type="dxa"/>
                  <w:tcBorders>
                    <w:top w:val="single" w:color="auto" w:sz="4" w:space="0"/>
                    <w:left w:val="single" w:color="auto" w:sz="4" w:space="0"/>
                    <w:bottom w:val="single" w:color="auto" w:sz="4" w:space="0"/>
                    <w:right w:val="single" w:color="auto" w:sz="4" w:space="0"/>
                  </w:tcBorders>
                  <w:vAlign w:val="center"/>
                </w:tcPr>
                <w:p w14:paraId="7223E13F">
                  <w:pPr>
                    <w:contextualSpacing/>
                    <w:jc w:val="center"/>
                    <w:rPr>
                      <w:color w:val="auto"/>
                      <w:sz w:val="21"/>
                      <w:szCs w:val="21"/>
                    </w:rPr>
                  </w:pPr>
                  <w:r>
                    <w:rPr>
                      <w:rFonts w:hint="eastAsia" w:ascii="宋体" w:hAnsi="宋体"/>
                      <w:color w:val="auto"/>
                      <w:kern w:val="0"/>
                      <w:sz w:val="21"/>
                      <w:szCs w:val="21"/>
                    </w:rPr>
                    <w:t>声级计法</w:t>
                  </w:r>
                </w:p>
              </w:tc>
            </w:tr>
          </w:tbl>
          <w:p w14:paraId="3D2A6729">
            <w:pPr>
              <w:ind w:firstLine="482" w:firstLineChars="200"/>
              <w:contextualSpacing/>
              <w:rPr>
                <w:b/>
                <w:color w:val="auto"/>
              </w:rPr>
            </w:pPr>
            <w:r>
              <w:rPr>
                <w:rFonts w:hint="eastAsia"/>
                <w:b/>
                <w:color w:val="auto"/>
                <w:kern w:val="0"/>
              </w:rPr>
              <w:t>5</w:t>
            </w:r>
            <w:r>
              <w:rPr>
                <w:rFonts w:hint="eastAsia" w:ascii="宋体" w:hAnsi="宋体"/>
                <w:b/>
                <w:color w:val="auto"/>
                <w:kern w:val="0"/>
              </w:rPr>
              <w:t>、噪声影响分析结论</w:t>
            </w:r>
          </w:p>
          <w:p w14:paraId="7C437F9F">
            <w:pPr>
              <w:ind w:firstLine="480" w:firstLineChars="200"/>
              <w:contextualSpacing/>
              <w:rPr>
                <w:color w:val="auto"/>
                <w:kern w:val="0"/>
              </w:rPr>
            </w:pPr>
            <w:r>
              <w:rPr>
                <w:rFonts w:hint="eastAsia" w:ascii="宋体" w:hAnsi="宋体"/>
                <w:color w:val="auto"/>
                <w:kern w:val="0"/>
              </w:rPr>
              <w:t>本项目噪声源主要为</w:t>
            </w:r>
            <w:r>
              <w:rPr>
                <w:rFonts w:hint="eastAsia" w:ascii="宋体" w:hAnsi="宋体"/>
                <w:color w:val="auto"/>
                <w:kern w:val="0"/>
                <w:lang w:val="en-US" w:eastAsia="zh-CN"/>
              </w:rPr>
              <w:t>高压清洗机和风机</w:t>
            </w:r>
            <w:r>
              <w:rPr>
                <w:rFonts w:ascii="宋体" w:hAnsi="宋体"/>
                <w:color w:val="auto"/>
                <w:kern w:val="0"/>
              </w:rPr>
              <w:t>运行过程中产生的噪声</w:t>
            </w:r>
            <w:r>
              <w:rPr>
                <w:rFonts w:hint="eastAsia" w:ascii="宋体" w:hAnsi="宋体"/>
                <w:color w:val="auto"/>
                <w:kern w:val="0"/>
              </w:rPr>
              <w:t>，</w:t>
            </w:r>
            <w:r>
              <w:rPr>
                <w:rFonts w:hint="eastAsia" w:ascii="宋体" w:hAnsi="宋体"/>
                <w:color w:val="auto"/>
                <w:kern w:val="0"/>
                <w:lang w:val="en-US" w:eastAsia="zh-CN"/>
              </w:rPr>
              <w:t>运营过程中对设备</w:t>
            </w:r>
            <w:r>
              <w:rPr>
                <w:rFonts w:ascii="宋体" w:hAnsi="宋体"/>
                <w:color w:val="auto"/>
                <w:kern w:val="0"/>
              </w:rPr>
              <w:t>定期检查</w:t>
            </w:r>
            <w:r>
              <w:rPr>
                <w:rFonts w:hint="eastAsia" w:ascii="宋体" w:hAnsi="宋体"/>
                <w:color w:val="auto"/>
                <w:kern w:val="0"/>
              </w:rPr>
              <w:t>、</w:t>
            </w:r>
            <w:r>
              <w:rPr>
                <w:rFonts w:ascii="宋体" w:hAnsi="宋体"/>
                <w:color w:val="auto"/>
                <w:kern w:val="0"/>
              </w:rPr>
              <w:t>维修设备</w:t>
            </w:r>
            <w:r>
              <w:rPr>
                <w:rFonts w:hint="eastAsia" w:ascii="宋体" w:hAnsi="宋体"/>
                <w:color w:val="auto"/>
                <w:kern w:val="0"/>
              </w:rPr>
              <w:t>，</w:t>
            </w:r>
            <w:r>
              <w:rPr>
                <w:rFonts w:ascii="宋体" w:hAnsi="宋体"/>
                <w:color w:val="auto"/>
                <w:kern w:val="0"/>
              </w:rPr>
              <w:t>使设备处于良好的运行状态</w:t>
            </w:r>
            <w:r>
              <w:rPr>
                <w:rFonts w:hint="eastAsia" w:ascii="宋体" w:hAnsi="宋体"/>
                <w:color w:val="auto"/>
                <w:kern w:val="0"/>
              </w:rPr>
              <w:t>，</w:t>
            </w:r>
            <w:r>
              <w:rPr>
                <w:rFonts w:ascii="宋体" w:hAnsi="宋体"/>
                <w:color w:val="auto"/>
                <w:kern w:val="0"/>
              </w:rPr>
              <w:t>利用建筑物</w:t>
            </w:r>
            <w:r>
              <w:rPr>
                <w:rFonts w:hint="eastAsia" w:ascii="宋体" w:hAnsi="宋体"/>
                <w:color w:val="auto"/>
                <w:kern w:val="0"/>
              </w:rPr>
              <w:t>、</w:t>
            </w:r>
            <w:r>
              <w:rPr>
                <w:rFonts w:ascii="宋体" w:hAnsi="宋体"/>
                <w:color w:val="auto"/>
                <w:kern w:val="0"/>
              </w:rPr>
              <w:t>构筑物形成噪声屏障</w:t>
            </w:r>
            <w:r>
              <w:rPr>
                <w:rFonts w:hint="eastAsia" w:ascii="宋体" w:hAnsi="宋体"/>
                <w:color w:val="auto"/>
                <w:kern w:val="0"/>
              </w:rPr>
              <w:t>，</w:t>
            </w:r>
            <w:r>
              <w:rPr>
                <w:rFonts w:ascii="宋体" w:hAnsi="宋体"/>
                <w:color w:val="auto"/>
                <w:kern w:val="0"/>
              </w:rPr>
              <w:t>阻碍噪声传播</w:t>
            </w:r>
            <w:r>
              <w:rPr>
                <w:rFonts w:hint="eastAsia" w:ascii="宋体" w:hAnsi="宋体"/>
                <w:color w:val="auto"/>
                <w:kern w:val="0"/>
              </w:rPr>
              <w:t>。</w:t>
            </w:r>
            <w:r>
              <w:rPr>
                <w:rFonts w:ascii="宋体" w:hAnsi="宋体"/>
                <w:color w:val="auto"/>
                <w:kern w:val="0"/>
              </w:rPr>
              <w:t>采取上述措施后</w:t>
            </w:r>
            <w:r>
              <w:rPr>
                <w:rFonts w:hint="eastAsia" w:ascii="宋体" w:hAnsi="宋体"/>
                <w:color w:val="auto"/>
                <w:kern w:val="0"/>
              </w:rPr>
              <w:t>，</w:t>
            </w:r>
            <w:r>
              <w:rPr>
                <w:rFonts w:ascii="宋体" w:hAnsi="宋体"/>
                <w:color w:val="auto"/>
                <w:kern w:val="0"/>
              </w:rPr>
              <w:t>厂界噪声满足</w:t>
            </w:r>
            <w:r>
              <w:rPr>
                <w:rFonts w:hint="eastAsia" w:ascii="宋体" w:hAnsi="宋体"/>
                <w:color w:val="auto"/>
                <w:kern w:val="0"/>
              </w:rPr>
              <w:t>《工业企业厂界环境噪声排放标准》（</w:t>
            </w:r>
            <w:r>
              <w:rPr>
                <w:rFonts w:hint="eastAsia"/>
                <w:color w:val="auto"/>
                <w:kern w:val="0"/>
              </w:rPr>
              <w:t>GB12348-2008</w:t>
            </w:r>
            <w:r>
              <w:rPr>
                <w:rFonts w:hint="eastAsia" w:ascii="宋体" w:hAnsi="宋体"/>
                <w:color w:val="auto"/>
                <w:kern w:val="0"/>
              </w:rPr>
              <w:t>）中</w:t>
            </w:r>
            <w:r>
              <w:rPr>
                <w:rFonts w:hint="eastAsia"/>
                <w:color w:val="auto"/>
                <w:kern w:val="0"/>
                <w:lang w:val="en-US" w:eastAsia="zh-CN"/>
              </w:rPr>
              <w:t>3</w:t>
            </w:r>
            <w:r>
              <w:rPr>
                <w:rFonts w:hint="eastAsia" w:ascii="宋体" w:hAnsi="宋体"/>
                <w:color w:val="auto"/>
                <w:kern w:val="0"/>
              </w:rPr>
              <w:t>类区昼间标准。厂界周边</w:t>
            </w:r>
            <w:r>
              <w:rPr>
                <w:rFonts w:hint="eastAsia"/>
                <w:color w:val="auto"/>
                <w:kern w:val="0"/>
              </w:rPr>
              <w:t>50m</w:t>
            </w:r>
            <w:r>
              <w:rPr>
                <w:rFonts w:hint="eastAsia" w:ascii="宋体" w:hAnsi="宋体"/>
                <w:color w:val="auto"/>
                <w:kern w:val="0"/>
              </w:rPr>
              <w:t>范围内无声环境保护目标，因此项目噪声对周围环境产生的影响较小。</w:t>
            </w:r>
          </w:p>
          <w:p w14:paraId="6A4A9982">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四、固体废物</w:t>
            </w:r>
          </w:p>
          <w:p w14:paraId="22FA3BE1">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1、固体废物产生情况</w:t>
            </w:r>
          </w:p>
          <w:p w14:paraId="5E3360F0">
            <w:pPr>
              <w:ind w:firstLine="482" w:firstLineChars="200"/>
              <w:rPr>
                <w:b/>
                <w:color w:val="auto"/>
                <w:kern w:val="0"/>
              </w:rPr>
            </w:pPr>
            <w:r>
              <w:rPr>
                <w:rFonts w:hint="eastAsia"/>
                <w:b/>
                <w:color w:val="auto"/>
                <w:kern w:val="0"/>
              </w:rPr>
              <w:t>（</w:t>
            </w:r>
            <w:r>
              <w:rPr>
                <w:rFonts w:hint="eastAsia"/>
                <w:b/>
                <w:color w:val="auto"/>
                <w:kern w:val="0"/>
                <w:lang w:val="en-US" w:eastAsia="zh-CN"/>
              </w:rPr>
              <w:t>1</w:t>
            </w:r>
            <w:r>
              <w:rPr>
                <w:rFonts w:hint="eastAsia"/>
                <w:b/>
                <w:color w:val="auto"/>
                <w:kern w:val="0"/>
              </w:rPr>
              <w:t>）生活垃圾</w:t>
            </w:r>
          </w:p>
          <w:p w14:paraId="28CEAB2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color w:val="auto"/>
                <w:kern w:val="0"/>
              </w:rPr>
              <w:t>项目运营期劳动定员</w:t>
            </w:r>
            <w:r>
              <w:rPr>
                <w:rFonts w:hint="eastAsia"/>
                <w:color w:val="auto"/>
                <w:kern w:val="0"/>
                <w:lang w:val="en-US" w:eastAsia="zh-CN"/>
              </w:rPr>
              <w:t>2</w:t>
            </w:r>
            <w:r>
              <w:rPr>
                <w:color w:val="auto"/>
                <w:kern w:val="0"/>
              </w:rPr>
              <w:t>人，垃圾产生量按0.5kg/人·d计，年工作日</w:t>
            </w:r>
            <w:r>
              <w:rPr>
                <w:rFonts w:hint="eastAsia"/>
                <w:color w:val="auto"/>
                <w:kern w:val="0"/>
                <w:lang w:val="en-US" w:eastAsia="zh-CN"/>
              </w:rPr>
              <w:t>3</w:t>
            </w:r>
            <w:r>
              <w:rPr>
                <w:color w:val="auto"/>
                <w:kern w:val="0"/>
              </w:rPr>
              <w:t>00天，则营运期生活垃圾产生量为</w:t>
            </w:r>
            <w:r>
              <w:rPr>
                <w:rFonts w:hint="eastAsia"/>
                <w:color w:val="auto"/>
                <w:kern w:val="0"/>
                <w:lang w:val="en-US" w:eastAsia="zh-CN"/>
              </w:rPr>
              <w:t>1.0</w:t>
            </w:r>
            <w:r>
              <w:rPr>
                <w:color w:val="auto"/>
                <w:kern w:val="0"/>
              </w:rPr>
              <w:t>kg/d</w:t>
            </w:r>
            <w:r>
              <w:rPr>
                <w:rFonts w:hint="eastAsia"/>
                <w:color w:val="auto"/>
                <w:kern w:val="0"/>
              </w:rPr>
              <w:t>，</w:t>
            </w:r>
            <w:r>
              <w:rPr>
                <w:rFonts w:hint="eastAsia"/>
                <w:color w:val="auto"/>
                <w:kern w:val="0"/>
                <w:lang w:val="en-US" w:eastAsia="zh-CN"/>
              </w:rPr>
              <w:t>0.3</w:t>
            </w:r>
            <w:r>
              <w:rPr>
                <w:color w:val="auto"/>
                <w:kern w:val="0"/>
              </w:rPr>
              <w:t>t/a。</w:t>
            </w:r>
            <w:r>
              <w:rPr>
                <w:rFonts w:hint="eastAsia"/>
                <w:color w:val="auto"/>
                <w:kern w:val="0"/>
              </w:rPr>
              <w:t>对照《固体废物分类与代码目录》，属于SW64其他垃圾，代码为900-099-S64。产生的生活垃圾设置垃圾桶收集，</w:t>
            </w:r>
            <w:r>
              <w:rPr>
                <w:rFonts w:hint="eastAsia"/>
                <w:color w:val="auto"/>
                <w:kern w:val="0"/>
                <w:lang w:val="en-US" w:eastAsia="zh-CN"/>
              </w:rPr>
              <w:t>由园区环卫部门清运处置。</w:t>
            </w:r>
          </w:p>
          <w:p w14:paraId="0A39848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lang w:val="en-US" w:eastAsia="zh-CN"/>
              </w:rPr>
            </w:pPr>
            <w:r>
              <w:rPr>
                <w:rFonts w:hint="eastAsia"/>
                <w:b/>
                <w:bCs/>
                <w:color w:val="auto"/>
                <w:kern w:val="0"/>
                <w:lang w:val="en-US" w:eastAsia="zh-CN"/>
              </w:rPr>
              <w:t>（2）化粪池污泥</w:t>
            </w:r>
          </w:p>
          <w:p w14:paraId="5410B5F2">
            <w:pPr>
              <w:ind w:firstLine="480"/>
              <w:outlineLvl w:val="9"/>
              <w:rPr>
                <w:rFonts w:hint="eastAsia"/>
                <w:color w:val="auto"/>
                <w:highlight w:val="none"/>
                <w:lang w:eastAsia="zh-CN"/>
              </w:rPr>
            </w:pPr>
            <w:r>
              <w:rPr>
                <w:rFonts w:hint="eastAsia" w:ascii="Times New Roman" w:hAnsi="Times New Roman"/>
                <w:color w:val="auto"/>
                <w:highlight w:val="none"/>
              </w:rPr>
              <w:t>项目化粪池在处理过程中会产生一定量的污泥，根据《集中式污染治理设施产排污系数手册（2010修订）》，污泥产生量按照5.04t/万t废水处理量计算，</w:t>
            </w:r>
            <w:r>
              <w:rPr>
                <w:rFonts w:hint="eastAsia"/>
                <w:color w:val="auto"/>
                <w:highlight w:val="none"/>
                <w:lang w:val="en-US" w:eastAsia="zh-CN"/>
              </w:rPr>
              <w:t>项目建成后</w:t>
            </w:r>
            <w:r>
              <w:rPr>
                <w:rFonts w:hint="eastAsia"/>
                <w:color w:val="auto"/>
                <w:lang w:val="en-US" w:eastAsia="zh-CN"/>
              </w:rPr>
              <w:t>生活污水产生量为48</w:t>
            </w:r>
            <w:r>
              <w:rPr>
                <w:rFonts w:hint="eastAsia"/>
                <w:color w:val="auto"/>
              </w:rPr>
              <w:t>t/a，则污泥产生量为0.</w:t>
            </w:r>
            <w:r>
              <w:rPr>
                <w:rFonts w:hint="eastAsia"/>
                <w:color w:val="auto"/>
                <w:lang w:val="en-US" w:eastAsia="zh-CN"/>
              </w:rPr>
              <w:t>024</w:t>
            </w:r>
            <w:r>
              <w:rPr>
                <w:rFonts w:hint="eastAsia"/>
                <w:color w:val="auto"/>
              </w:rPr>
              <w:t>t/a</w:t>
            </w:r>
            <w:r>
              <w:rPr>
                <w:rFonts w:hint="eastAsia" w:ascii="Times New Roman" w:hAnsi="Times New Roman"/>
                <w:color w:val="auto"/>
                <w:highlight w:val="none"/>
              </w:rPr>
              <w:t>。</w:t>
            </w:r>
            <w:r>
              <w:rPr>
                <w:rFonts w:hint="eastAsia"/>
                <w:color w:val="auto"/>
                <w:kern w:val="0"/>
              </w:rPr>
              <w:t>对照《固体废物分类与代码目录》</w:t>
            </w:r>
            <w:r>
              <w:rPr>
                <w:rFonts w:hint="eastAsia"/>
                <w:color w:val="auto"/>
                <w:kern w:val="0"/>
                <w:lang w:eastAsia="zh-CN"/>
              </w:rPr>
              <w:t>，</w:t>
            </w:r>
            <w:r>
              <w:rPr>
                <w:rFonts w:hint="eastAsia"/>
                <w:color w:val="auto"/>
                <w:kern w:val="0"/>
                <w:lang w:val="en-US" w:eastAsia="zh-CN"/>
              </w:rPr>
              <w:t>属于</w:t>
            </w:r>
            <w:r>
              <w:rPr>
                <w:rFonts w:hint="eastAsia" w:ascii="Times New Roman" w:hAnsi="Times New Roman"/>
                <w:color w:val="auto"/>
                <w:highlight w:val="none"/>
              </w:rPr>
              <w:t>SW64其他垃圾，代码为900-002-S64，产生的化粪池污泥定期委托当地环卫部门清掏清运处置</w:t>
            </w:r>
            <w:r>
              <w:rPr>
                <w:rFonts w:hint="eastAsia"/>
                <w:color w:val="auto"/>
                <w:highlight w:val="none"/>
                <w:lang w:eastAsia="zh-CN"/>
              </w:rPr>
              <w:t>。</w:t>
            </w:r>
          </w:p>
          <w:p w14:paraId="79850A4F">
            <w:pPr>
              <w:keepNext w:val="0"/>
              <w:keepLines w:val="0"/>
              <w:suppressLineNumbers w:val="0"/>
              <w:spacing w:before="0" w:beforeAutospacing="0" w:after="0" w:afterAutospacing="0"/>
              <w:ind w:left="0" w:right="0" w:firstLine="480"/>
              <w:rPr>
                <w:rFonts w:hint="default"/>
                <w:b/>
                <w:bCs/>
                <w:color w:val="auto"/>
              </w:rPr>
            </w:pPr>
            <w:r>
              <w:rPr>
                <w:rFonts w:hint="eastAsia"/>
                <w:b/>
                <w:bCs/>
                <w:color w:val="auto"/>
              </w:rPr>
              <w:t>（</w:t>
            </w:r>
            <w:r>
              <w:rPr>
                <w:rFonts w:hint="eastAsia"/>
                <w:b/>
                <w:bCs/>
                <w:color w:val="auto"/>
                <w:lang w:val="en-US" w:eastAsia="zh-CN"/>
              </w:rPr>
              <w:t>3</w:t>
            </w:r>
            <w:r>
              <w:rPr>
                <w:rFonts w:hint="eastAsia"/>
                <w:b/>
                <w:bCs/>
                <w:color w:val="auto"/>
              </w:rPr>
              <w:t>）一体化污水处理设施污泥</w:t>
            </w:r>
          </w:p>
          <w:p w14:paraId="30BA77A8">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rPr>
              <w:t>根据《集中式污染治理设施产排污系数手册（2010修订）》，污泥产生量按照5.04t/万t废水处理量计算，项目建成后污水处理设施污水</w:t>
            </w:r>
            <w:r>
              <w:rPr>
                <w:rFonts w:hint="eastAsia"/>
                <w:color w:val="auto"/>
                <w:lang w:val="en-US" w:eastAsia="zh-CN"/>
              </w:rPr>
              <w:t>处理</w:t>
            </w:r>
            <w:r>
              <w:rPr>
                <w:rFonts w:hint="eastAsia"/>
                <w:color w:val="auto"/>
              </w:rPr>
              <w:t>量为</w:t>
            </w:r>
            <w:r>
              <w:rPr>
                <w:rFonts w:hint="eastAsia"/>
                <w:color w:val="auto"/>
                <w:lang w:val="en-US" w:eastAsia="zh-CN"/>
              </w:rPr>
              <w:t>450</w:t>
            </w:r>
            <w:r>
              <w:rPr>
                <w:rFonts w:hint="eastAsia"/>
                <w:color w:val="auto"/>
              </w:rPr>
              <w:t>t/a，则污泥产生量为0.</w:t>
            </w:r>
            <w:r>
              <w:rPr>
                <w:rFonts w:hint="eastAsia"/>
                <w:color w:val="auto"/>
                <w:lang w:val="en-US" w:eastAsia="zh-CN"/>
              </w:rPr>
              <w:t>227</w:t>
            </w:r>
            <w:r>
              <w:rPr>
                <w:rFonts w:hint="eastAsia"/>
                <w:color w:val="auto"/>
              </w:rPr>
              <w:t>t/a。根据《国家危险废物名录（2025年版）》，</w:t>
            </w:r>
            <w:r>
              <w:rPr>
                <w:rFonts w:hint="eastAsia"/>
                <w:color w:val="auto"/>
                <w:lang w:val="en-US" w:eastAsia="zh-CN"/>
              </w:rPr>
              <w:t>属于</w:t>
            </w:r>
            <w:r>
              <w:rPr>
                <w:rFonts w:hint="eastAsia"/>
                <w:color w:val="auto"/>
              </w:rPr>
              <w:t>其中“含油废水处理中隔油、气浮、沉淀等处理过程中产生的浮油、浮渣和污泥（不包括废水生化处理污泥）”</w:t>
            </w:r>
            <w:r>
              <w:rPr>
                <w:rFonts w:hint="eastAsia"/>
                <w:color w:val="auto"/>
                <w:lang w:eastAsia="zh-CN"/>
              </w:rPr>
              <w:t>，</w:t>
            </w:r>
            <w:r>
              <w:rPr>
                <w:rFonts w:hint="eastAsia"/>
                <w:color w:val="auto"/>
              </w:rPr>
              <w:t>为危险废物，废物类别为“HW08废矿物油与含矿物油废物”，危废代码为900-210-08。</w:t>
            </w:r>
            <w:r>
              <w:rPr>
                <w:rFonts w:hint="eastAsia"/>
                <w:color w:val="auto"/>
                <w:kern w:val="0"/>
              </w:rPr>
              <w:t>产生的污水处理设施污泥定期定期交由有资质单位清运处置。</w:t>
            </w:r>
          </w:p>
          <w:p w14:paraId="63BB4AFC">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b/>
                <w:bCs/>
                <w:color w:val="auto"/>
              </w:rPr>
            </w:pPr>
            <w:r>
              <w:rPr>
                <w:rFonts w:hint="eastAsia"/>
                <w:b/>
                <w:bCs/>
                <w:color w:val="auto"/>
                <w:kern w:val="0"/>
                <w:lang w:val="en-US" w:eastAsia="zh-CN"/>
              </w:rPr>
              <w:t>（4）隔油沉淀池</w:t>
            </w:r>
            <w:r>
              <w:rPr>
                <w:rFonts w:hint="eastAsia" w:ascii="宋体" w:hAnsi="宋体" w:eastAsia="宋体" w:cs="宋体"/>
                <w:b/>
                <w:bCs/>
                <w:color w:val="auto"/>
                <w:kern w:val="0"/>
                <w:sz w:val="24"/>
                <w:szCs w:val="24"/>
                <w:lang w:val="en-US" w:eastAsia="zh-CN" w:bidi="ar"/>
              </w:rPr>
              <w:t>浮油</w:t>
            </w:r>
          </w:p>
          <w:p w14:paraId="3709FE66">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ascii="宋体" w:hAnsi="宋体" w:eastAsia="宋体" w:cs="宋体"/>
                <w:color w:val="auto"/>
                <w:kern w:val="0"/>
                <w:sz w:val="24"/>
                <w:szCs w:val="24"/>
                <w:lang w:val="en-US" w:eastAsia="zh-CN" w:bidi="ar"/>
              </w:rPr>
              <w:t>本项目隔油池会产生少量的浮油。根据建设单位提供数据，浮油产生量约为</w:t>
            </w:r>
            <w:r>
              <w:rPr>
                <w:rFonts w:hint="default" w:ascii="Times New Roman" w:hAnsi="Times New Roman" w:eastAsia="宋体" w:cs="Times New Roman"/>
                <w:color w:val="auto"/>
                <w:kern w:val="0"/>
                <w:sz w:val="24"/>
                <w:szCs w:val="24"/>
                <w:lang w:val="en-US" w:eastAsia="zh-CN" w:bidi="ar"/>
              </w:rPr>
              <w:t>0.1t/a</w:t>
            </w:r>
            <w:r>
              <w:rPr>
                <w:rFonts w:hint="eastAsia" w:ascii="宋体" w:hAnsi="宋体" w:eastAsia="宋体" w:cs="宋体"/>
                <w:color w:val="auto"/>
                <w:kern w:val="0"/>
                <w:sz w:val="24"/>
                <w:szCs w:val="24"/>
                <w:lang w:val="en-US" w:eastAsia="zh-CN" w:bidi="ar"/>
              </w:rPr>
              <w:t>，定期进行清捞。</w:t>
            </w:r>
            <w:r>
              <w:rPr>
                <w:rFonts w:hint="eastAsia"/>
                <w:color w:val="auto"/>
                <w:kern w:val="0"/>
              </w:rPr>
              <w:t>根据《国家危险废物名录（2025年版）》，废矿物油属HW08废矿物油与含矿物油废物中的900-2</w:t>
            </w:r>
            <w:r>
              <w:rPr>
                <w:rFonts w:hint="eastAsia"/>
                <w:color w:val="auto"/>
                <w:kern w:val="0"/>
                <w:lang w:val="en-US" w:eastAsia="zh-CN"/>
              </w:rPr>
              <w:t>10</w:t>
            </w:r>
            <w:r>
              <w:rPr>
                <w:rFonts w:hint="eastAsia"/>
                <w:color w:val="auto"/>
                <w:kern w:val="0"/>
              </w:rPr>
              <w:t>-08</w:t>
            </w:r>
            <w:r>
              <w:rPr>
                <w:rFonts w:hint="eastAsia"/>
                <w:color w:val="auto"/>
                <w:kern w:val="0"/>
                <w:lang w:eastAsia="zh-CN"/>
              </w:rPr>
              <w:t>，</w:t>
            </w:r>
            <w:r>
              <w:rPr>
                <w:rFonts w:hint="eastAsia"/>
                <w:color w:val="auto"/>
                <w:kern w:val="0"/>
              </w:rPr>
              <w:t>定期交由有资质单位清运处置。</w:t>
            </w:r>
          </w:p>
          <w:p w14:paraId="54AC3AAA">
            <w:pPr>
              <w:keepNext w:val="0"/>
              <w:keepLines w:val="0"/>
              <w:suppressLineNumbers w:val="0"/>
              <w:spacing w:before="0" w:beforeAutospacing="0" w:after="0" w:afterAutospacing="0"/>
              <w:ind w:left="0" w:right="0" w:firstLine="482" w:firstLineChars="200"/>
              <w:rPr>
                <w:rFonts w:hint="default" w:eastAsia="宋体"/>
                <w:b/>
                <w:bCs/>
                <w:color w:val="auto"/>
                <w:kern w:val="0"/>
                <w:lang w:val="en-US" w:eastAsia="zh-CN"/>
              </w:rPr>
            </w:pPr>
            <w:r>
              <w:rPr>
                <w:rFonts w:hint="eastAsia"/>
                <w:b/>
                <w:bCs/>
                <w:color w:val="auto"/>
                <w:kern w:val="0"/>
                <w:lang w:eastAsia="zh-CN"/>
              </w:rPr>
              <w:t>（</w:t>
            </w:r>
            <w:r>
              <w:rPr>
                <w:rFonts w:hint="eastAsia"/>
                <w:b/>
                <w:bCs/>
                <w:color w:val="auto"/>
                <w:kern w:val="0"/>
                <w:lang w:val="en-US" w:eastAsia="zh-CN"/>
              </w:rPr>
              <w:t>5</w:t>
            </w:r>
            <w:r>
              <w:rPr>
                <w:rFonts w:hint="eastAsia"/>
                <w:b/>
                <w:bCs/>
                <w:color w:val="auto"/>
                <w:kern w:val="0"/>
                <w:lang w:eastAsia="zh-CN"/>
              </w:rPr>
              <w:t>）</w:t>
            </w:r>
            <w:r>
              <w:rPr>
                <w:rFonts w:hint="eastAsia"/>
                <w:b/>
                <w:bCs/>
                <w:color w:val="auto"/>
                <w:kern w:val="0"/>
                <w:lang w:val="en-US" w:eastAsia="zh-CN"/>
              </w:rPr>
              <w:t>罐车排出残液</w:t>
            </w:r>
          </w:p>
          <w:p w14:paraId="4B4A1AB8">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lang w:val="en-US" w:eastAsia="zh-CN"/>
              </w:rPr>
              <w:t>罐车进场</w:t>
            </w:r>
            <w:r>
              <w:rPr>
                <w:rFonts w:hint="default"/>
                <w:color w:val="auto"/>
                <w:kern w:val="0"/>
              </w:rPr>
              <w:t>通过检查登记后，</w:t>
            </w:r>
            <w:r>
              <w:rPr>
                <w:rFonts w:hint="eastAsia"/>
                <w:color w:val="auto"/>
                <w:kern w:val="0"/>
                <w:lang w:val="en-US" w:eastAsia="zh-CN"/>
              </w:rPr>
              <w:t>需</w:t>
            </w:r>
            <w:r>
              <w:rPr>
                <w:rFonts w:hint="default"/>
                <w:color w:val="auto"/>
                <w:kern w:val="0"/>
              </w:rPr>
              <w:t>将罐内残余物料排</w:t>
            </w:r>
            <w:r>
              <w:rPr>
                <w:rFonts w:hint="eastAsia"/>
                <w:color w:val="auto"/>
                <w:kern w:val="0"/>
                <w:lang w:val="en-US" w:eastAsia="zh-CN"/>
              </w:rPr>
              <w:t>出</w:t>
            </w:r>
            <w:r>
              <w:rPr>
                <w:rFonts w:hint="eastAsia"/>
                <w:color w:val="auto"/>
                <w:kern w:val="0"/>
                <w:lang w:eastAsia="zh-CN"/>
              </w:rPr>
              <w:t>。</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《汽车油罐车容量》</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JJG133-2016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40m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柴油罐车卸料后法定余量V₀</w:t>
            </w:r>
            <w:r>
              <w:rPr>
                <w:rFonts w:hint="eastAsia" w:ascii="Times New Roman" w:hAnsi="Times New Roman" w:eastAsia="宋体" w:cs="Times New Roman"/>
                <w:color w:val="auto"/>
                <w:sz w:val="24"/>
                <w:szCs w:val="24"/>
                <w:lang w:val="en-US" w:eastAsia="zh-CN"/>
              </w:rPr>
              <w:t>为容积的0.15%。则平均每辆柴油罐车内残液量为60L。</w:t>
            </w:r>
            <w:r>
              <w:rPr>
                <w:rFonts w:hint="eastAsia"/>
                <w:color w:val="auto"/>
                <w:kern w:val="0"/>
                <w:lang w:val="en-US" w:eastAsia="zh-CN"/>
              </w:rPr>
              <w:t>本项目年清洗柴油罐车900辆，则收集柴油残液45.36t/a。</w:t>
            </w:r>
            <w:r>
              <w:rPr>
                <w:rFonts w:hint="eastAsia"/>
                <w:color w:val="auto"/>
                <w:kern w:val="0"/>
              </w:rPr>
              <w:t>根据《国家危险废物名录（2025年版）》，</w:t>
            </w:r>
            <w:r>
              <w:rPr>
                <w:rFonts w:hint="eastAsia"/>
                <w:color w:val="auto"/>
                <w:kern w:val="0"/>
                <w:lang w:val="en-US" w:eastAsia="zh-CN"/>
              </w:rPr>
              <w:t>柴油</w:t>
            </w:r>
            <w:r>
              <w:rPr>
                <w:rFonts w:hint="eastAsia"/>
                <w:color w:val="auto"/>
                <w:kern w:val="0"/>
              </w:rPr>
              <w:t>属HW08废矿物油与含矿物油废物中的900-2</w:t>
            </w:r>
            <w:r>
              <w:rPr>
                <w:rFonts w:hint="eastAsia"/>
                <w:color w:val="auto"/>
                <w:kern w:val="0"/>
                <w:lang w:val="en-US" w:eastAsia="zh-CN"/>
              </w:rPr>
              <w:t>01</w:t>
            </w:r>
            <w:r>
              <w:rPr>
                <w:rFonts w:hint="eastAsia"/>
                <w:color w:val="auto"/>
                <w:kern w:val="0"/>
              </w:rPr>
              <w:t>-08</w:t>
            </w:r>
            <w:r>
              <w:rPr>
                <w:rFonts w:hint="eastAsia"/>
                <w:color w:val="auto"/>
                <w:kern w:val="0"/>
                <w:lang w:eastAsia="zh-CN"/>
              </w:rPr>
              <w:t>，</w:t>
            </w:r>
            <w:r>
              <w:rPr>
                <w:rFonts w:hint="eastAsia"/>
                <w:color w:val="auto"/>
                <w:kern w:val="0"/>
              </w:rPr>
              <w:t>定期交由有资质单位清运处置。</w:t>
            </w:r>
          </w:p>
          <w:p w14:paraId="0E81F4B0">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0</w:t>
            </w:r>
            <w:r>
              <w:rPr>
                <w:rFonts w:hint="eastAsia"/>
                <w:b/>
                <w:bCs/>
                <w:color w:val="auto"/>
                <w:sz w:val="21"/>
                <w:szCs w:val="21"/>
              </w:rPr>
              <w:t xml:space="preserve"> </w:t>
            </w:r>
            <w:r>
              <w:rPr>
                <w:rFonts w:hint="eastAsia" w:ascii="宋体" w:hAnsi="宋体"/>
                <w:b/>
                <w:bCs/>
                <w:color w:val="auto"/>
                <w:sz w:val="21"/>
                <w:szCs w:val="21"/>
              </w:rPr>
              <w:t>危险废物汇总表</w:t>
            </w:r>
          </w:p>
          <w:tbl>
            <w:tblPr>
              <w:tblStyle w:val="29"/>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844"/>
              <w:gridCol w:w="1300"/>
              <w:gridCol w:w="947"/>
              <w:gridCol w:w="691"/>
              <w:gridCol w:w="465"/>
              <w:gridCol w:w="601"/>
              <w:gridCol w:w="664"/>
              <w:gridCol w:w="659"/>
              <w:gridCol w:w="1040"/>
            </w:tblGrid>
            <w:tr w14:paraId="2C91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dxa"/>
                  <w:tcBorders>
                    <w:tl2br w:val="nil"/>
                    <w:tr2bl w:val="nil"/>
                  </w:tcBorders>
                  <w:vAlign w:val="center"/>
                </w:tcPr>
                <w:p w14:paraId="7C85E2C7">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危险废物名称</w:t>
                  </w:r>
                </w:p>
              </w:tc>
              <w:tc>
                <w:tcPr>
                  <w:tcW w:w="844" w:type="dxa"/>
                  <w:tcBorders>
                    <w:tl2br w:val="nil"/>
                    <w:tr2bl w:val="nil"/>
                  </w:tcBorders>
                  <w:vAlign w:val="center"/>
                </w:tcPr>
                <w:p w14:paraId="0294197F">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危险废物类别</w:t>
                  </w:r>
                </w:p>
              </w:tc>
              <w:tc>
                <w:tcPr>
                  <w:tcW w:w="1300" w:type="dxa"/>
                  <w:tcBorders>
                    <w:tl2br w:val="nil"/>
                    <w:tr2bl w:val="nil"/>
                  </w:tcBorders>
                  <w:vAlign w:val="center"/>
                </w:tcPr>
                <w:p w14:paraId="7C38FB09">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危险废物代码</w:t>
                  </w:r>
                </w:p>
              </w:tc>
              <w:tc>
                <w:tcPr>
                  <w:tcW w:w="947" w:type="dxa"/>
                  <w:tcBorders>
                    <w:tl2br w:val="nil"/>
                    <w:tr2bl w:val="nil"/>
                  </w:tcBorders>
                  <w:vAlign w:val="center"/>
                </w:tcPr>
                <w:p w14:paraId="1BAFCBA4">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产生量（t/a）</w:t>
                  </w:r>
                </w:p>
              </w:tc>
              <w:tc>
                <w:tcPr>
                  <w:tcW w:w="691" w:type="dxa"/>
                  <w:tcBorders>
                    <w:tl2br w:val="nil"/>
                    <w:tr2bl w:val="nil"/>
                  </w:tcBorders>
                  <w:vAlign w:val="center"/>
                </w:tcPr>
                <w:p w14:paraId="047E9C31">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产生工序及装置</w:t>
                  </w:r>
                </w:p>
              </w:tc>
              <w:tc>
                <w:tcPr>
                  <w:tcW w:w="465" w:type="dxa"/>
                  <w:tcBorders>
                    <w:tl2br w:val="nil"/>
                    <w:tr2bl w:val="nil"/>
                  </w:tcBorders>
                  <w:vAlign w:val="center"/>
                </w:tcPr>
                <w:p w14:paraId="21A58ED2">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形态</w:t>
                  </w:r>
                </w:p>
              </w:tc>
              <w:tc>
                <w:tcPr>
                  <w:tcW w:w="601" w:type="dxa"/>
                  <w:tcBorders>
                    <w:tl2br w:val="nil"/>
                    <w:tr2bl w:val="nil"/>
                  </w:tcBorders>
                  <w:vAlign w:val="center"/>
                </w:tcPr>
                <w:p w14:paraId="47E75D82">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有害成分</w:t>
                  </w:r>
                </w:p>
              </w:tc>
              <w:tc>
                <w:tcPr>
                  <w:tcW w:w="664" w:type="dxa"/>
                  <w:tcBorders>
                    <w:tl2br w:val="nil"/>
                    <w:tr2bl w:val="nil"/>
                  </w:tcBorders>
                  <w:vAlign w:val="center"/>
                </w:tcPr>
                <w:p w14:paraId="36557E89">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产废周期</w:t>
                  </w:r>
                </w:p>
              </w:tc>
              <w:tc>
                <w:tcPr>
                  <w:tcW w:w="659" w:type="dxa"/>
                  <w:tcBorders>
                    <w:tl2br w:val="nil"/>
                    <w:tr2bl w:val="nil"/>
                  </w:tcBorders>
                  <w:vAlign w:val="center"/>
                </w:tcPr>
                <w:p w14:paraId="5859FE8E">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危险特性</w:t>
                  </w:r>
                </w:p>
              </w:tc>
              <w:tc>
                <w:tcPr>
                  <w:tcW w:w="1040" w:type="dxa"/>
                  <w:tcBorders>
                    <w:tl2br w:val="nil"/>
                    <w:tr2bl w:val="nil"/>
                  </w:tcBorders>
                  <w:vAlign w:val="center"/>
                </w:tcPr>
                <w:p w14:paraId="5B3761CF">
                  <w:pPr>
                    <w:pStyle w:val="41"/>
                    <w:keepNext w:val="0"/>
                    <w:keepLines w:val="0"/>
                    <w:suppressLineNumbers w:val="0"/>
                    <w:spacing w:before="0" w:beforeAutospacing="0" w:after="0" w:afterAutospacing="0" w:line="240" w:lineRule="auto"/>
                    <w:ind w:left="0" w:right="0" w:firstLine="0" w:firstLineChars="0"/>
                    <w:contextualSpacing/>
                    <w:rPr>
                      <w:rStyle w:val="42"/>
                      <w:b/>
                      <w:color w:val="auto"/>
                      <w:sz w:val="21"/>
                      <w:szCs w:val="21"/>
                    </w:rPr>
                  </w:pPr>
                  <w:r>
                    <w:rPr>
                      <w:rStyle w:val="42"/>
                      <w:b/>
                      <w:color w:val="auto"/>
                      <w:sz w:val="21"/>
                      <w:szCs w:val="21"/>
                    </w:rPr>
                    <w:t>污染防治措施</w:t>
                  </w:r>
                </w:p>
              </w:tc>
            </w:tr>
            <w:tr w14:paraId="7AC6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dxa"/>
                  <w:tcBorders>
                    <w:tl2br w:val="nil"/>
                    <w:tr2bl w:val="nil"/>
                  </w:tcBorders>
                  <w:vAlign w:val="center"/>
                </w:tcPr>
                <w:p w14:paraId="5ABCEFBE">
                  <w:pPr>
                    <w:pStyle w:val="41"/>
                    <w:keepNext w:val="0"/>
                    <w:keepLines w:val="0"/>
                    <w:suppressLineNumbers w:val="0"/>
                    <w:spacing w:before="0" w:beforeAutospacing="0" w:after="0" w:afterAutospacing="0" w:line="240" w:lineRule="auto"/>
                    <w:ind w:left="0" w:right="0" w:firstLine="0" w:firstLineChars="0"/>
                    <w:contextualSpacing/>
                    <w:rPr>
                      <w:rStyle w:val="42"/>
                      <w:rFonts w:hint="default" w:eastAsia="宋体"/>
                      <w:color w:val="auto"/>
                      <w:sz w:val="21"/>
                      <w:szCs w:val="21"/>
                      <w:lang w:val="en-US" w:eastAsia="zh-CN"/>
                    </w:rPr>
                  </w:pPr>
                  <w:r>
                    <w:rPr>
                      <w:rStyle w:val="42"/>
                      <w:rFonts w:hint="eastAsia"/>
                      <w:color w:val="auto"/>
                      <w:sz w:val="21"/>
                      <w:szCs w:val="21"/>
                      <w:lang w:val="en-US" w:eastAsia="zh-CN"/>
                    </w:rPr>
                    <w:t>隔油沉淀池浮油</w:t>
                  </w:r>
                </w:p>
              </w:tc>
              <w:tc>
                <w:tcPr>
                  <w:tcW w:w="844" w:type="dxa"/>
                  <w:vMerge w:val="restart"/>
                  <w:tcBorders>
                    <w:tl2br w:val="nil"/>
                    <w:tr2bl w:val="nil"/>
                  </w:tcBorders>
                  <w:vAlign w:val="center"/>
                </w:tcPr>
                <w:p w14:paraId="2B0139DC">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HW08废矿物油及含矿物油废物</w:t>
                  </w:r>
                </w:p>
              </w:tc>
              <w:tc>
                <w:tcPr>
                  <w:tcW w:w="1300" w:type="dxa"/>
                  <w:tcBorders>
                    <w:tl2br w:val="nil"/>
                    <w:tr2bl w:val="nil"/>
                  </w:tcBorders>
                  <w:vAlign w:val="center"/>
                </w:tcPr>
                <w:p w14:paraId="6091A786">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900-21</w:t>
                  </w:r>
                  <w:r>
                    <w:rPr>
                      <w:rStyle w:val="42"/>
                      <w:rFonts w:hint="eastAsia"/>
                      <w:color w:val="auto"/>
                      <w:sz w:val="21"/>
                      <w:szCs w:val="21"/>
                      <w:lang w:val="en-US" w:eastAsia="zh-CN"/>
                    </w:rPr>
                    <w:t>0</w:t>
                  </w:r>
                  <w:r>
                    <w:rPr>
                      <w:rStyle w:val="42"/>
                      <w:color w:val="auto"/>
                      <w:sz w:val="21"/>
                      <w:szCs w:val="21"/>
                    </w:rPr>
                    <w:t>-08</w:t>
                  </w:r>
                </w:p>
              </w:tc>
              <w:tc>
                <w:tcPr>
                  <w:tcW w:w="947" w:type="dxa"/>
                  <w:tcBorders>
                    <w:tl2br w:val="nil"/>
                    <w:tr2bl w:val="nil"/>
                  </w:tcBorders>
                  <w:vAlign w:val="center"/>
                </w:tcPr>
                <w:p w14:paraId="7745BD88">
                  <w:pPr>
                    <w:pStyle w:val="41"/>
                    <w:keepNext w:val="0"/>
                    <w:keepLines w:val="0"/>
                    <w:suppressLineNumbers w:val="0"/>
                    <w:spacing w:before="0" w:beforeAutospacing="0" w:after="0" w:afterAutospacing="0" w:line="240" w:lineRule="auto"/>
                    <w:ind w:left="0" w:right="0" w:firstLine="0" w:firstLineChars="0"/>
                    <w:contextualSpacing/>
                    <w:rPr>
                      <w:rStyle w:val="42"/>
                      <w:rFonts w:hint="default" w:eastAsia="宋体"/>
                      <w:color w:val="auto"/>
                      <w:sz w:val="21"/>
                      <w:szCs w:val="21"/>
                      <w:lang w:val="en-US" w:eastAsia="zh-CN"/>
                    </w:rPr>
                  </w:pPr>
                  <w:r>
                    <w:rPr>
                      <w:rStyle w:val="42"/>
                      <w:rFonts w:hint="eastAsia"/>
                      <w:color w:val="auto"/>
                      <w:sz w:val="21"/>
                      <w:szCs w:val="21"/>
                      <w:lang w:val="en-US" w:eastAsia="zh-CN"/>
                    </w:rPr>
                    <w:t>0.1</w:t>
                  </w:r>
                </w:p>
              </w:tc>
              <w:tc>
                <w:tcPr>
                  <w:tcW w:w="691" w:type="dxa"/>
                  <w:tcBorders>
                    <w:tl2br w:val="nil"/>
                    <w:tr2bl w:val="nil"/>
                  </w:tcBorders>
                  <w:vAlign w:val="center"/>
                </w:tcPr>
                <w:p w14:paraId="4E2D5357">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eastAsia="宋体"/>
                      <w:color w:val="auto"/>
                      <w:sz w:val="21"/>
                      <w:szCs w:val="21"/>
                      <w:lang w:eastAsia="zh-CN"/>
                    </w:rPr>
                  </w:pPr>
                  <w:r>
                    <w:rPr>
                      <w:rStyle w:val="42"/>
                      <w:rFonts w:hint="eastAsia"/>
                      <w:color w:val="auto"/>
                      <w:sz w:val="21"/>
                      <w:szCs w:val="21"/>
                      <w:lang w:val="en-US" w:eastAsia="zh-CN"/>
                    </w:rPr>
                    <w:t>隔油沉淀池</w:t>
                  </w:r>
                </w:p>
              </w:tc>
              <w:tc>
                <w:tcPr>
                  <w:tcW w:w="465" w:type="dxa"/>
                  <w:tcBorders>
                    <w:tl2br w:val="nil"/>
                    <w:tr2bl w:val="nil"/>
                  </w:tcBorders>
                  <w:vAlign w:val="center"/>
                </w:tcPr>
                <w:p w14:paraId="65317F52">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液态</w:t>
                  </w:r>
                </w:p>
              </w:tc>
              <w:tc>
                <w:tcPr>
                  <w:tcW w:w="601" w:type="dxa"/>
                  <w:tcBorders>
                    <w:tl2br w:val="nil"/>
                    <w:tr2bl w:val="nil"/>
                  </w:tcBorders>
                  <w:vAlign w:val="center"/>
                </w:tcPr>
                <w:p w14:paraId="05123F6F">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油类物质</w:t>
                  </w:r>
                </w:p>
              </w:tc>
              <w:tc>
                <w:tcPr>
                  <w:tcW w:w="664" w:type="dxa"/>
                  <w:tcBorders>
                    <w:tl2br w:val="nil"/>
                    <w:tr2bl w:val="nil"/>
                  </w:tcBorders>
                  <w:vAlign w:val="center"/>
                </w:tcPr>
                <w:p w14:paraId="5361E3E7">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eastAsia="宋体"/>
                      <w:color w:val="auto"/>
                      <w:sz w:val="21"/>
                      <w:szCs w:val="21"/>
                      <w:lang w:eastAsia="zh-CN"/>
                    </w:rPr>
                  </w:pPr>
                  <w:r>
                    <w:rPr>
                      <w:rStyle w:val="42"/>
                      <w:color w:val="auto"/>
                      <w:sz w:val="21"/>
                      <w:szCs w:val="21"/>
                    </w:rPr>
                    <w:t>1次/</w:t>
                  </w:r>
                  <w:r>
                    <w:rPr>
                      <w:rStyle w:val="42"/>
                      <w:rFonts w:hint="eastAsia"/>
                      <w:color w:val="auto"/>
                      <w:sz w:val="21"/>
                      <w:szCs w:val="21"/>
                      <w:lang w:val="en-US" w:eastAsia="zh-CN"/>
                    </w:rPr>
                    <w:t>a</w:t>
                  </w:r>
                </w:p>
              </w:tc>
              <w:tc>
                <w:tcPr>
                  <w:tcW w:w="659" w:type="dxa"/>
                  <w:tcBorders>
                    <w:tl2br w:val="nil"/>
                    <w:tr2bl w:val="nil"/>
                  </w:tcBorders>
                  <w:vAlign w:val="center"/>
                </w:tcPr>
                <w:p w14:paraId="456F3F59">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T，I</w:t>
                  </w:r>
                </w:p>
              </w:tc>
              <w:tc>
                <w:tcPr>
                  <w:tcW w:w="1040" w:type="dxa"/>
                  <w:vMerge w:val="restart"/>
                  <w:tcBorders>
                    <w:tl2br w:val="nil"/>
                    <w:tr2bl w:val="nil"/>
                  </w:tcBorders>
                  <w:vAlign w:val="center"/>
                </w:tcPr>
                <w:p w14:paraId="47AEA9F5">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eastAsia="宋体"/>
                      <w:color w:val="auto"/>
                      <w:sz w:val="21"/>
                      <w:szCs w:val="21"/>
                      <w:lang w:val="en-US" w:eastAsia="zh-CN"/>
                    </w:rPr>
                  </w:pPr>
                  <w:r>
                    <w:rPr>
                      <w:rStyle w:val="42"/>
                      <w:rFonts w:hint="eastAsia"/>
                      <w:color w:val="auto"/>
                      <w:sz w:val="21"/>
                      <w:szCs w:val="21"/>
                    </w:rPr>
                    <w:t>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Style w:val="42"/>
                      <w:rFonts w:hint="eastAsia"/>
                      <w:color w:val="auto"/>
                      <w:sz w:val="21"/>
                      <w:szCs w:val="21"/>
                    </w:rPr>
                    <w:t>的储存罐，用于储存废油</w:t>
                  </w:r>
                  <w:r>
                    <w:rPr>
                      <w:rStyle w:val="42"/>
                      <w:rFonts w:hint="eastAsia"/>
                      <w:color w:val="auto"/>
                      <w:sz w:val="21"/>
                      <w:szCs w:val="21"/>
                      <w:lang w:eastAsia="zh-CN"/>
                    </w:rPr>
                    <w:t>，</w:t>
                  </w:r>
                  <w:r>
                    <w:rPr>
                      <w:rStyle w:val="42"/>
                      <w:rFonts w:hint="eastAsia"/>
                      <w:color w:val="auto"/>
                      <w:sz w:val="21"/>
                      <w:szCs w:val="21"/>
                      <w:lang w:val="en-US" w:eastAsia="zh-CN"/>
                    </w:rPr>
                    <w:t>隔油沉淀池浮油、污泥用容器收集后存于危废暂存间，</w:t>
                  </w:r>
                  <w:r>
                    <w:rPr>
                      <w:rStyle w:val="42"/>
                      <w:color w:val="auto"/>
                      <w:sz w:val="21"/>
                      <w:szCs w:val="21"/>
                    </w:rPr>
                    <w:t>交</w:t>
                  </w:r>
                  <w:r>
                    <w:rPr>
                      <w:rStyle w:val="42"/>
                      <w:rFonts w:hint="eastAsia"/>
                      <w:color w:val="auto"/>
                      <w:sz w:val="21"/>
                      <w:szCs w:val="21"/>
                    </w:rPr>
                    <w:t>有资质</w:t>
                  </w:r>
                  <w:r>
                    <w:rPr>
                      <w:rStyle w:val="42"/>
                      <w:color w:val="auto"/>
                      <w:sz w:val="21"/>
                      <w:szCs w:val="21"/>
                    </w:rPr>
                    <w:t>单位处置</w:t>
                  </w:r>
                  <w:r>
                    <w:rPr>
                      <w:rStyle w:val="42"/>
                      <w:rFonts w:hint="eastAsia"/>
                      <w:color w:val="auto"/>
                      <w:sz w:val="21"/>
                      <w:szCs w:val="21"/>
                      <w:lang w:val="en-US" w:eastAsia="zh-CN"/>
                    </w:rPr>
                    <w:t>。</w:t>
                  </w:r>
                </w:p>
              </w:tc>
            </w:tr>
            <w:tr w14:paraId="63F7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dxa"/>
                  <w:tcBorders>
                    <w:tl2br w:val="nil"/>
                    <w:tr2bl w:val="nil"/>
                  </w:tcBorders>
                  <w:vAlign w:val="center"/>
                </w:tcPr>
                <w:p w14:paraId="5C0B8F37">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一体化污水处理设施污泥</w:t>
                  </w:r>
                </w:p>
              </w:tc>
              <w:tc>
                <w:tcPr>
                  <w:tcW w:w="844" w:type="dxa"/>
                  <w:vMerge w:val="continue"/>
                  <w:tcBorders>
                    <w:tl2br w:val="nil"/>
                    <w:tr2bl w:val="nil"/>
                  </w:tcBorders>
                  <w:vAlign w:val="center"/>
                </w:tcPr>
                <w:p w14:paraId="3DF7999F">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p>
              </w:tc>
              <w:tc>
                <w:tcPr>
                  <w:tcW w:w="1300" w:type="dxa"/>
                  <w:tcBorders>
                    <w:tl2br w:val="nil"/>
                    <w:tr2bl w:val="nil"/>
                  </w:tcBorders>
                  <w:vAlign w:val="center"/>
                </w:tcPr>
                <w:p w14:paraId="3238E07D">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900-21</w:t>
                  </w:r>
                  <w:r>
                    <w:rPr>
                      <w:rStyle w:val="42"/>
                      <w:rFonts w:hint="eastAsia"/>
                      <w:color w:val="auto"/>
                      <w:sz w:val="21"/>
                      <w:szCs w:val="21"/>
                      <w:lang w:val="en-US" w:eastAsia="zh-CN"/>
                    </w:rPr>
                    <w:t>0</w:t>
                  </w:r>
                  <w:r>
                    <w:rPr>
                      <w:rStyle w:val="42"/>
                      <w:color w:val="auto"/>
                      <w:sz w:val="21"/>
                      <w:szCs w:val="21"/>
                    </w:rPr>
                    <w:t>-08</w:t>
                  </w:r>
                </w:p>
              </w:tc>
              <w:tc>
                <w:tcPr>
                  <w:tcW w:w="947" w:type="dxa"/>
                  <w:tcBorders>
                    <w:tl2br w:val="nil"/>
                    <w:tr2bl w:val="nil"/>
                  </w:tcBorders>
                  <w:vAlign w:val="center"/>
                </w:tcPr>
                <w:p w14:paraId="32850963">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0.227</w:t>
                  </w:r>
                </w:p>
              </w:tc>
              <w:tc>
                <w:tcPr>
                  <w:tcW w:w="691" w:type="dxa"/>
                  <w:tcBorders>
                    <w:tl2br w:val="nil"/>
                    <w:tr2bl w:val="nil"/>
                  </w:tcBorders>
                  <w:vAlign w:val="center"/>
                </w:tcPr>
                <w:p w14:paraId="48066E2E">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污水处理设施</w:t>
                  </w:r>
                </w:p>
              </w:tc>
              <w:tc>
                <w:tcPr>
                  <w:tcW w:w="465" w:type="dxa"/>
                  <w:tcBorders>
                    <w:tl2br w:val="nil"/>
                    <w:tr2bl w:val="nil"/>
                  </w:tcBorders>
                  <w:vAlign w:val="center"/>
                </w:tcPr>
                <w:p w14:paraId="7CE81B4F">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eastAsia="宋体"/>
                      <w:color w:val="auto"/>
                      <w:sz w:val="21"/>
                      <w:szCs w:val="21"/>
                      <w:lang w:val="en-US" w:eastAsia="zh-CN"/>
                    </w:rPr>
                  </w:pPr>
                  <w:r>
                    <w:rPr>
                      <w:rStyle w:val="42"/>
                      <w:rFonts w:hint="eastAsia"/>
                      <w:color w:val="auto"/>
                      <w:sz w:val="21"/>
                      <w:szCs w:val="21"/>
                      <w:lang w:val="en-US" w:eastAsia="zh-CN"/>
                    </w:rPr>
                    <w:t>固态</w:t>
                  </w:r>
                </w:p>
              </w:tc>
              <w:tc>
                <w:tcPr>
                  <w:tcW w:w="601" w:type="dxa"/>
                  <w:tcBorders>
                    <w:tl2br w:val="nil"/>
                    <w:tr2bl w:val="nil"/>
                  </w:tcBorders>
                  <w:vAlign w:val="center"/>
                </w:tcPr>
                <w:p w14:paraId="0A071C35">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eastAsia="宋体"/>
                      <w:color w:val="auto"/>
                      <w:sz w:val="21"/>
                      <w:szCs w:val="21"/>
                      <w:lang w:val="en-US" w:eastAsia="zh-CN"/>
                    </w:rPr>
                  </w:pPr>
                  <w:r>
                    <w:rPr>
                      <w:rStyle w:val="42"/>
                      <w:rFonts w:hint="eastAsia"/>
                      <w:color w:val="auto"/>
                      <w:sz w:val="21"/>
                      <w:szCs w:val="21"/>
                      <w:lang w:val="en-US" w:eastAsia="zh-CN"/>
                    </w:rPr>
                    <w:t>污泥</w:t>
                  </w:r>
                </w:p>
              </w:tc>
              <w:tc>
                <w:tcPr>
                  <w:tcW w:w="664" w:type="dxa"/>
                  <w:tcBorders>
                    <w:tl2br w:val="nil"/>
                    <w:tr2bl w:val="nil"/>
                  </w:tcBorders>
                  <w:vAlign w:val="center"/>
                </w:tcPr>
                <w:p w14:paraId="5022BF39">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1次/</w:t>
                  </w:r>
                  <w:r>
                    <w:rPr>
                      <w:rStyle w:val="42"/>
                      <w:rFonts w:hint="eastAsia"/>
                      <w:color w:val="auto"/>
                      <w:sz w:val="21"/>
                      <w:szCs w:val="21"/>
                      <w:lang w:val="en-US" w:eastAsia="zh-CN"/>
                    </w:rPr>
                    <w:t>a</w:t>
                  </w:r>
                </w:p>
              </w:tc>
              <w:tc>
                <w:tcPr>
                  <w:tcW w:w="659" w:type="dxa"/>
                  <w:tcBorders>
                    <w:tl2br w:val="nil"/>
                    <w:tr2bl w:val="nil"/>
                  </w:tcBorders>
                  <w:vAlign w:val="center"/>
                </w:tcPr>
                <w:p w14:paraId="595A6EB1">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Style w:val="42"/>
                      <w:color w:val="auto"/>
                      <w:sz w:val="21"/>
                      <w:szCs w:val="21"/>
                    </w:rPr>
                    <w:t>T，I</w:t>
                  </w:r>
                </w:p>
              </w:tc>
              <w:tc>
                <w:tcPr>
                  <w:tcW w:w="1040" w:type="dxa"/>
                  <w:vMerge w:val="continue"/>
                  <w:tcBorders>
                    <w:tl2br w:val="nil"/>
                    <w:tr2bl w:val="nil"/>
                  </w:tcBorders>
                  <w:vAlign w:val="center"/>
                </w:tcPr>
                <w:p w14:paraId="36FB6D19">
                  <w:pPr>
                    <w:pStyle w:val="41"/>
                    <w:keepNext w:val="0"/>
                    <w:keepLines w:val="0"/>
                    <w:suppressLineNumbers w:val="0"/>
                    <w:spacing w:before="0" w:beforeAutospacing="0" w:after="0" w:afterAutospacing="0" w:line="240" w:lineRule="auto"/>
                    <w:ind w:left="0" w:right="0" w:firstLine="0" w:firstLineChars="0"/>
                    <w:contextualSpacing/>
                    <w:rPr>
                      <w:rStyle w:val="42"/>
                      <w:rFonts w:hint="eastAsia"/>
                      <w:color w:val="auto"/>
                      <w:sz w:val="21"/>
                      <w:szCs w:val="21"/>
                    </w:rPr>
                  </w:pPr>
                </w:p>
              </w:tc>
            </w:tr>
            <w:tr w14:paraId="0252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dxa"/>
                  <w:tcBorders>
                    <w:tl2br w:val="nil"/>
                    <w:tr2bl w:val="nil"/>
                  </w:tcBorders>
                  <w:vAlign w:val="center"/>
                </w:tcPr>
                <w:p w14:paraId="33418F17">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柴油</w:t>
                  </w:r>
                </w:p>
              </w:tc>
              <w:tc>
                <w:tcPr>
                  <w:tcW w:w="844" w:type="dxa"/>
                  <w:vMerge w:val="continue"/>
                  <w:tcBorders>
                    <w:tl2br w:val="nil"/>
                    <w:tr2bl w:val="nil"/>
                  </w:tcBorders>
                  <w:vAlign w:val="center"/>
                </w:tcPr>
                <w:p w14:paraId="53DC79B1">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p>
              </w:tc>
              <w:tc>
                <w:tcPr>
                  <w:tcW w:w="1300" w:type="dxa"/>
                  <w:tcBorders>
                    <w:tl2br w:val="nil"/>
                    <w:tr2bl w:val="nil"/>
                  </w:tcBorders>
                  <w:vAlign w:val="center"/>
                </w:tcPr>
                <w:p w14:paraId="16204566">
                  <w:pPr>
                    <w:pStyle w:val="41"/>
                    <w:keepNext w:val="0"/>
                    <w:keepLines w:val="0"/>
                    <w:suppressLineNumbers w:val="0"/>
                    <w:spacing w:before="0" w:beforeAutospacing="0" w:after="0" w:afterAutospacing="0" w:line="240" w:lineRule="auto"/>
                    <w:ind w:left="0" w:right="0" w:firstLine="0" w:firstLineChars="0"/>
                    <w:contextualSpacing/>
                    <w:rPr>
                      <w:rStyle w:val="42"/>
                      <w:color w:val="auto"/>
                      <w:sz w:val="21"/>
                      <w:szCs w:val="21"/>
                    </w:rPr>
                  </w:pPr>
                  <w:r>
                    <w:rPr>
                      <w:rFonts w:hint="eastAsia"/>
                      <w:color w:val="auto"/>
                      <w:kern w:val="0"/>
                      <w:sz w:val="21"/>
                      <w:szCs w:val="21"/>
                    </w:rPr>
                    <w:t>900-2</w:t>
                  </w:r>
                  <w:r>
                    <w:rPr>
                      <w:rFonts w:hint="eastAsia"/>
                      <w:color w:val="auto"/>
                      <w:kern w:val="0"/>
                      <w:sz w:val="21"/>
                      <w:szCs w:val="21"/>
                      <w:lang w:val="en-US" w:eastAsia="zh-CN"/>
                    </w:rPr>
                    <w:t>01</w:t>
                  </w:r>
                  <w:r>
                    <w:rPr>
                      <w:rFonts w:hint="eastAsia"/>
                      <w:color w:val="auto"/>
                      <w:kern w:val="0"/>
                      <w:sz w:val="21"/>
                      <w:szCs w:val="21"/>
                    </w:rPr>
                    <w:t>-08</w:t>
                  </w:r>
                </w:p>
              </w:tc>
              <w:tc>
                <w:tcPr>
                  <w:tcW w:w="947" w:type="dxa"/>
                  <w:tcBorders>
                    <w:tl2br w:val="nil"/>
                    <w:tr2bl w:val="nil"/>
                  </w:tcBorders>
                  <w:vAlign w:val="center"/>
                </w:tcPr>
                <w:p w14:paraId="70317CC4">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45.36</w:t>
                  </w:r>
                </w:p>
              </w:tc>
              <w:tc>
                <w:tcPr>
                  <w:tcW w:w="691" w:type="dxa"/>
                  <w:tcBorders>
                    <w:tl2br w:val="nil"/>
                    <w:tr2bl w:val="nil"/>
                  </w:tcBorders>
                  <w:vAlign w:val="center"/>
                </w:tcPr>
                <w:p w14:paraId="7C1C2DE0">
                  <w:pPr>
                    <w:pStyle w:val="41"/>
                    <w:keepNext w:val="0"/>
                    <w:keepLines w:val="0"/>
                    <w:suppressLineNumbers w:val="0"/>
                    <w:spacing w:before="0" w:beforeAutospacing="0" w:after="0" w:afterAutospacing="0" w:line="240" w:lineRule="auto"/>
                    <w:ind w:left="0" w:right="0" w:firstLine="0" w:firstLineChars="0"/>
                    <w:contextualSpacing/>
                    <w:rPr>
                      <w:rStyle w:val="42"/>
                      <w:rFonts w:hint="default"/>
                      <w:color w:val="auto"/>
                      <w:sz w:val="21"/>
                      <w:szCs w:val="21"/>
                      <w:lang w:val="en-US" w:eastAsia="zh-CN"/>
                    </w:rPr>
                  </w:pPr>
                  <w:r>
                    <w:rPr>
                      <w:rStyle w:val="42"/>
                      <w:rFonts w:hint="eastAsia"/>
                      <w:color w:val="auto"/>
                      <w:sz w:val="21"/>
                      <w:szCs w:val="21"/>
                      <w:lang w:val="en-US" w:eastAsia="zh-CN"/>
                    </w:rPr>
                    <w:t>罐车</w:t>
                  </w:r>
                </w:p>
              </w:tc>
              <w:tc>
                <w:tcPr>
                  <w:tcW w:w="465" w:type="dxa"/>
                  <w:tcBorders>
                    <w:tl2br w:val="nil"/>
                    <w:tr2bl w:val="nil"/>
                  </w:tcBorders>
                  <w:shd w:val="clear" w:color="auto" w:fill="auto"/>
                  <w:vAlign w:val="center"/>
                </w:tcPr>
                <w:p w14:paraId="7AF7208E">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42"/>
                      <w:color w:val="auto"/>
                      <w:sz w:val="21"/>
                      <w:szCs w:val="21"/>
                    </w:rPr>
                    <w:t>液态</w:t>
                  </w:r>
                </w:p>
              </w:tc>
              <w:tc>
                <w:tcPr>
                  <w:tcW w:w="601" w:type="dxa"/>
                  <w:tcBorders>
                    <w:tl2br w:val="nil"/>
                    <w:tr2bl w:val="nil"/>
                  </w:tcBorders>
                  <w:shd w:val="clear" w:color="auto" w:fill="auto"/>
                  <w:vAlign w:val="center"/>
                </w:tcPr>
                <w:p w14:paraId="64021912">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42"/>
                      <w:color w:val="auto"/>
                      <w:sz w:val="21"/>
                      <w:szCs w:val="21"/>
                    </w:rPr>
                    <w:t>油类物质</w:t>
                  </w:r>
                </w:p>
              </w:tc>
              <w:tc>
                <w:tcPr>
                  <w:tcW w:w="664" w:type="dxa"/>
                  <w:tcBorders>
                    <w:tl2br w:val="nil"/>
                    <w:tr2bl w:val="nil"/>
                  </w:tcBorders>
                  <w:shd w:val="clear" w:color="auto" w:fill="auto"/>
                  <w:vAlign w:val="center"/>
                </w:tcPr>
                <w:p w14:paraId="054FE591">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平均每天3次</w:t>
                  </w:r>
                </w:p>
              </w:tc>
              <w:tc>
                <w:tcPr>
                  <w:tcW w:w="659" w:type="dxa"/>
                  <w:tcBorders>
                    <w:tl2br w:val="nil"/>
                    <w:tr2bl w:val="nil"/>
                  </w:tcBorders>
                  <w:shd w:val="clear" w:color="auto" w:fill="auto"/>
                  <w:vAlign w:val="center"/>
                </w:tcPr>
                <w:p w14:paraId="6C0293A8">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42"/>
                      <w:color w:val="auto"/>
                      <w:sz w:val="21"/>
                      <w:szCs w:val="21"/>
                    </w:rPr>
                    <w:t>T，I</w:t>
                  </w:r>
                </w:p>
              </w:tc>
              <w:tc>
                <w:tcPr>
                  <w:tcW w:w="1040" w:type="dxa"/>
                  <w:vMerge w:val="continue"/>
                  <w:tcBorders>
                    <w:tl2br w:val="nil"/>
                    <w:tr2bl w:val="nil"/>
                  </w:tcBorders>
                  <w:shd w:val="clear" w:color="auto" w:fill="auto"/>
                  <w:vAlign w:val="center"/>
                </w:tcPr>
                <w:p w14:paraId="3A37A933">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p>
              </w:tc>
            </w:tr>
          </w:tbl>
          <w:p w14:paraId="3D1A6A35">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1</w:t>
            </w:r>
            <w:r>
              <w:rPr>
                <w:rFonts w:hint="eastAsia"/>
                <w:b/>
                <w:bCs/>
                <w:color w:val="auto"/>
                <w:sz w:val="21"/>
                <w:szCs w:val="21"/>
              </w:rPr>
              <w:t xml:space="preserve">  </w:t>
            </w:r>
            <w:r>
              <w:rPr>
                <w:rFonts w:hint="eastAsia" w:ascii="宋体" w:hAnsi="宋体"/>
                <w:b/>
                <w:bCs/>
                <w:color w:val="auto"/>
                <w:sz w:val="21"/>
                <w:szCs w:val="21"/>
              </w:rPr>
              <w:t>危险废物贮存场所基本信息表</w:t>
            </w:r>
          </w:p>
          <w:tbl>
            <w:tblPr>
              <w:tblStyle w:val="29"/>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038"/>
              <w:gridCol w:w="1114"/>
              <w:gridCol w:w="1196"/>
              <w:gridCol w:w="1038"/>
              <w:gridCol w:w="878"/>
              <w:gridCol w:w="1000"/>
              <w:gridCol w:w="888"/>
            </w:tblGrid>
            <w:tr w14:paraId="0EFF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33" w:type="dxa"/>
                  <w:tcBorders>
                    <w:tl2br w:val="nil"/>
                    <w:tr2bl w:val="nil"/>
                  </w:tcBorders>
                  <w:vAlign w:val="center"/>
                </w:tcPr>
                <w:p w14:paraId="3D057C0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贮存场所</w:t>
                  </w:r>
                </w:p>
              </w:tc>
              <w:tc>
                <w:tcPr>
                  <w:tcW w:w="1038" w:type="dxa"/>
                  <w:tcBorders>
                    <w:tl2br w:val="nil"/>
                    <w:tr2bl w:val="nil"/>
                  </w:tcBorders>
                  <w:vAlign w:val="center"/>
                </w:tcPr>
                <w:p w14:paraId="2C0D3977">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危险废物名称</w:t>
                  </w:r>
                </w:p>
              </w:tc>
              <w:tc>
                <w:tcPr>
                  <w:tcW w:w="1114" w:type="dxa"/>
                  <w:tcBorders>
                    <w:tl2br w:val="nil"/>
                    <w:tr2bl w:val="nil"/>
                  </w:tcBorders>
                  <w:vAlign w:val="center"/>
                </w:tcPr>
                <w:p w14:paraId="1F07F86F">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危废类别</w:t>
                  </w:r>
                </w:p>
              </w:tc>
              <w:tc>
                <w:tcPr>
                  <w:tcW w:w="1196" w:type="dxa"/>
                  <w:tcBorders>
                    <w:tl2br w:val="nil"/>
                    <w:tr2bl w:val="nil"/>
                  </w:tcBorders>
                  <w:vAlign w:val="center"/>
                </w:tcPr>
                <w:p w14:paraId="550E8A0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危废代码</w:t>
                  </w:r>
                </w:p>
              </w:tc>
              <w:tc>
                <w:tcPr>
                  <w:tcW w:w="1038" w:type="dxa"/>
                  <w:tcBorders>
                    <w:tl2br w:val="nil"/>
                    <w:tr2bl w:val="nil"/>
                  </w:tcBorders>
                  <w:vAlign w:val="center"/>
                </w:tcPr>
                <w:p w14:paraId="350264D3">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位置</w:t>
                  </w:r>
                </w:p>
              </w:tc>
              <w:tc>
                <w:tcPr>
                  <w:tcW w:w="878" w:type="dxa"/>
                  <w:tcBorders>
                    <w:tl2br w:val="nil"/>
                    <w:tr2bl w:val="nil"/>
                  </w:tcBorders>
                  <w:vAlign w:val="center"/>
                </w:tcPr>
                <w:p w14:paraId="46A872AA">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占地面积</w:t>
                  </w:r>
                </w:p>
              </w:tc>
              <w:tc>
                <w:tcPr>
                  <w:tcW w:w="1000" w:type="dxa"/>
                  <w:tcBorders>
                    <w:tl2br w:val="nil"/>
                    <w:tr2bl w:val="nil"/>
                  </w:tcBorders>
                  <w:vAlign w:val="center"/>
                </w:tcPr>
                <w:p w14:paraId="25E3283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贮存方式</w:t>
                  </w:r>
                </w:p>
              </w:tc>
              <w:tc>
                <w:tcPr>
                  <w:tcW w:w="888" w:type="dxa"/>
                  <w:tcBorders>
                    <w:tl2br w:val="nil"/>
                    <w:tr2bl w:val="nil"/>
                  </w:tcBorders>
                  <w:vAlign w:val="center"/>
                </w:tcPr>
                <w:p w14:paraId="30674347">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贮存周期</w:t>
                  </w:r>
                </w:p>
              </w:tc>
            </w:tr>
            <w:tr w14:paraId="2751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restart"/>
                  <w:tcBorders>
                    <w:tl2br w:val="nil"/>
                    <w:tr2bl w:val="nil"/>
                  </w:tcBorders>
                  <w:vAlign w:val="center"/>
                </w:tcPr>
                <w:p w14:paraId="51F38087">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w:t>
                  </w:r>
                  <w:r>
                    <w:rPr>
                      <w:rFonts w:hint="eastAsia" w:ascii="Times New Roman" w:hAnsi="Times New Roman" w:cs="Times New Roman"/>
                      <w:color w:val="auto"/>
                      <w:sz w:val="21"/>
                      <w:szCs w:val="21"/>
                      <w:lang w:val="en-US" w:eastAsia="zh-CN"/>
                    </w:rPr>
                    <w:t>暂存</w:t>
                  </w:r>
                  <w:r>
                    <w:rPr>
                      <w:rFonts w:hint="default" w:ascii="Times New Roman" w:hAnsi="Times New Roman" w:cs="Times New Roman"/>
                      <w:color w:val="auto"/>
                      <w:sz w:val="21"/>
                      <w:szCs w:val="21"/>
                    </w:rPr>
                    <w:t>间</w:t>
                  </w:r>
                </w:p>
              </w:tc>
              <w:tc>
                <w:tcPr>
                  <w:tcW w:w="1038" w:type="dxa"/>
                  <w:tcBorders>
                    <w:tl2br w:val="nil"/>
                    <w:tr2bl w:val="nil"/>
                  </w:tcBorders>
                  <w:vAlign w:val="center"/>
                </w:tcPr>
                <w:p w14:paraId="5C376E67">
                  <w:pPr>
                    <w:pStyle w:val="43"/>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隔油沉淀池浮油</w:t>
                  </w:r>
                </w:p>
              </w:tc>
              <w:tc>
                <w:tcPr>
                  <w:tcW w:w="1114" w:type="dxa"/>
                  <w:vMerge w:val="restart"/>
                  <w:tcBorders>
                    <w:tl2br w:val="nil"/>
                    <w:tr2bl w:val="nil"/>
                  </w:tcBorders>
                  <w:vAlign w:val="center"/>
                </w:tcPr>
                <w:p w14:paraId="5F7B861E">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HW08废矿物油及含矿物油废物</w:t>
                  </w:r>
                </w:p>
              </w:tc>
              <w:tc>
                <w:tcPr>
                  <w:tcW w:w="1196" w:type="dxa"/>
                  <w:tcBorders>
                    <w:tl2br w:val="nil"/>
                    <w:tr2bl w:val="nil"/>
                  </w:tcBorders>
                  <w:vAlign w:val="center"/>
                </w:tcPr>
                <w:p w14:paraId="27BB4ADE">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038" w:type="dxa"/>
                  <w:tcBorders>
                    <w:tl2br w:val="nil"/>
                    <w:tr2bl w:val="nil"/>
                  </w:tcBorders>
                  <w:vAlign w:val="center"/>
                </w:tcPr>
                <w:p w14:paraId="60E3E749">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vAlign w:val="center"/>
                </w:tcPr>
                <w:p w14:paraId="40D1441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vAlign w:val="center"/>
                </w:tcPr>
                <w:p w14:paraId="56252981">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专用容器收集</w:t>
                  </w:r>
                </w:p>
              </w:tc>
              <w:tc>
                <w:tcPr>
                  <w:tcW w:w="888" w:type="dxa"/>
                  <w:tcBorders>
                    <w:tl2br w:val="nil"/>
                    <w:tr2bl w:val="nil"/>
                  </w:tcBorders>
                  <w:vAlign w:val="center"/>
                </w:tcPr>
                <w:p w14:paraId="2423CD44">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个月</w:t>
                  </w:r>
                </w:p>
              </w:tc>
            </w:tr>
            <w:tr w14:paraId="2CB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05A2DBB6">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4D73F1EB">
                  <w:pPr>
                    <w:pStyle w:val="43"/>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r>
                    <w:rPr>
                      <w:rStyle w:val="42"/>
                      <w:rFonts w:hint="eastAsia"/>
                      <w:color w:val="auto"/>
                      <w:sz w:val="21"/>
                      <w:szCs w:val="21"/>
                      <w:lang w:val="en-US" w:eastAsia="zh-CN"/>
                    </w:rPr>
                    <w:t>一体化污水处理设施污泥</w:t>
                  </w:r>
                </w:p>
              </w:tc>
              <w:tc>
                <w:tcPr>
                  <w:tcW w:w="1114" w:type="dxa"/>
                  <w:vMerge w:val="continue"/>
                  <w:tcBorders>
                    <w:tl2br w:val="nil"/>
                    <w:tr2bl w:val="nil"/>
                  </w:tcBorders>
                  <w:vAlign w:val="center"/>
                </w:tcPr>
                <w:p w14:paraId="09B122C3">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196" w:type="dxa"/>
                  <w:tcBorders>
                    <w:tl2br w:val="nil"/>
                    <w:tr2bl w:val="nil"/>
                  </w:tcBorders>
                  <w:vAlign w:val="center"/>
                </w:tcPr>
                <w:p w14:paraId="196C80D8">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038" w:type="dxa"/>
                  <w:tcBorders>
                    <w:tl2br w:val="nil"/>
                    <w:tr2bl w:val="nil"/>
                  </w:tcBorders>
                  <w:vAlign w:val="center"/>
                </w:tcPr>
                <w:p w14:paraId="6DCA7CB9">
                  <w:pPr>
                    <w:pStyle w:val="43"/>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vAlign w:val="center"/>
                </w:tcPr>
                <w:p w14:paraId="6BC381EA">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10m</w:t>
                  </w:r>
                  <w:r>
                    <w:rPr>
                      <w:rFonts w:hint="eastAsia" w:ascii="Times New Roman" w:hAnsi="Times New Roman" w:cs="Times New Roman"/>
                      <w:color w:val="auto"/>
                      <w:sz w:val="21"/>
                      <w:szCs w:val="21"/>
                      <w:vertAlign w:val="superscript"/>
                      <w:lang w:val="en-US" w:eastAsia="zh-CN"/>
                    </w:rPr>
                    <w:t>2</w:t>
                  </w:r>
                </w:p>
              </w:tc>
              <w:tc>
                <w:tcPr>
                  <w:tcW w:w="1000" w:type="dxa"/>
                  <w:tcBorders>
                    <w:tl2br w:val="nil"/>
                    <w:tr2bl w:val="nil"/>
                  </w:tcBorders>
                  <w:shd w:val="clear" w:color="auto" w:fill="auto"/>
                  <w:vAlign w:val="center"/>
                </w:tcPr>
                <w:p w14:paraId="5378A162">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专用容器收集</w:t>
                  </w:r>
                </w:p>
              </w:tc>
              <w:tc>
                <w:tcPr>
                  <w:tcW w:w="888" w:type="dxa"/>
                  <w:tcBorders>
                    <w:tl2br w:val="nil"/>
                    <w:tr2bl w:val="nil"/>
                  </w:tcBorders>
                  <w:shd w:val="clear" w:color="auto" w:fill="auto"/>
                  <w:vAlign w:val="center"/>
                </w:tcPr>
                <w:p w14:paraId="017C9A13">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个月</w:t>
                  </w:r>
                </w:p>
              </w:tc>
            </w:tr>
            <w:tr w14:paraId="41B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1518E2D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6F4218EF">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柴油</w:t>
                  </w:r>
                </w:p>
              </w:tc>
              <w:tc>
                <w:tcPr>
                  <w:tcW w:w="1114" w:type="dxa"/>
                  <w:vMerge w:val="continue"/>
                  <w:tcBorders>
                    <w:tl2br w:val="nil"/>
                    <w:tr2bl w:val="nil"/>
                  </w:tcBorders>
                  <w:vAlign w:val="center"/>
                </w:tcPr>
                <w:p w14:paraId="3DF9FB4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196" w:type="dxa"/>
                  <w:tcBorders>
                    <w:tl2br w:val="nil"/>
                    <w:tr2bl w:val="nil"/>
                  </w:tcBorders>
                  <w:shd w:val="clear" w:color="auto" w:fill="auto"/>
                  <w:vAlign w:val="center"/>
                </w:tcPr>
                <w:p w14:paraId="66157A53">
                  <w:pPr>
                    <w:pStyle w:val="41"/>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rPr>
                    <w:t>900-2</w:t>
                  </w:r>
                  <w:r>
                    <w:rPr>
                      <w:rFonts w:hint="eastAsia"/>
                      <w:color w:val="auto"/>
                      <w:kern w:val="0"/>
                      <w:sz w:val="21"/>
                      <w:szCs w:val="21"/>
                      <w:lang w:val="en-US" w:eastAsia="zh-CN"/>
                    </w:rPr>
                    <w:t>01</w:t>
                  </w:r>
                  <w:r>
                    <w:rPr>
                      <w:rFonts w:hint="eastAsia"/>
                      <w:color w:val="auto"/>
                      <w:kern w:val="0"/>
                      <w:sz w:val="21"/>
                      <w:szCs w:val="21"/>
                    </w:rPr>
                    <w:t>-08</w:t>
                  </w:r>
                </w:p>
              </w:tc>
              <w:tc>
                <w:tcPr>
                  <w:tcW w:w="1038" w:type="dxa"/>
                  <w:tcBorders>
                    <w:tl2br w:val="nil"/>
                    <w:tr2bl w:val="nil"/>
                  </w:tcBorders>
                  <w:shd w:val="clear" w:color="auto" w:fill="auto"/>
                  <w:vAlign w:val="center"/>
                </w:tcPr>
                <w:p w14:paraId="5F28E005">
                  <w:pPr>
                    <w:pStyle w:val="43"/>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shd w:val="clear" w:color="auto" w:fill="auto"/>
                  <w:vAlign w:val="center"/>
                </w:tcPr>
                <w:p w14:paraId="0A1EEB87">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shd w:val="clear" w:color="auto" w:fill="auto"/>
                  <w:vAlign w:val="center"/>
                </w:tcPr>
                <w:p w14:paraId="15EF6E79">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2个1.5t、1个1t储罐收集</w:t>
                  </w:r>
                </w:p>
              </w:tc>
              <w:tc>
                <w:tcPr>
                  <w:tcW w:w="888" w:type="dxa"/>
                  <w:tcBorders>
                    <w:tl2br w:val="nil"/>
                    <w:tr2bl w:val="nil"/>
                  </w:tcBorders>
                  <w:shd w:val="clear" w:color="auto" w:fill="auto"/>
                  <w:vAlign w:val="center"/>
                </w:tcPr>
                <w:p w14:paraId="3C8C024C">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个月</w:t>
                  </w:r>
                </w:p>
              </w:tc>
            </w:tr>
          </w:tbl>
          <w:p w14:paraId="4DD2D421">
            <w:pPr>
              <w:keepNext w:val="0"/>
              <w:keepLines w:val="0"/>
              <w:suppressLineNumbers w:val="0"/>
              <w:spacing w:before="0" w:beforeAutospacing="0" w:after="0" w:afterAutospacing="0"/>
              <w:ind w:left="0" w:right="0" w:firstLine="480"/>
              <w:rPr>
                <w:rFonts w:hint="default"/>
                <w:color w:val="auto"/>
              </w:rPr>
            </w:pPr>
            <w:r>
              <w:rPr>
                <w:rFonts w:hint="eastAsia" w:ascii="宋体" w:hAnsi="宋体"/>
                <w:color w:val="auto"/>
              </w:rPr>
              <w:t>固体废弃物产排情况汇总表见下表</w:t>
            </w:r>
            <w:r>
              <w:rPr>
                <w:rFonts w:hint="eastAsia"/>
                <w:color w:val="auto"/>
              </w:rPr>
              <w:t>。</w:t>
            </w:r>
          </w:p>
          <w:p w14:paraId="523F1023">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2</w:t>
            </w:r>
            <w:r>
              <w:rPr>
                <w:rFonts w:hint="eastAsia"/>
                <w:b/>
                <w:bCs/>
                <w:color w:val="auto"/>
                <w:sz w:val="21"/>
                <w:szCs w:val="21"/>
              </w:rPr>
              <w:t xml:space="preserve">  </w:t>
            </w:r>
            <w:r>
              <w:rPr>
                <w:rFonts w:hint="eastAsia" w:ascii="宋体" w:hAnsi="宋体"/>
                <w:b/>
                <w:bCs/>
                <w:color w:val="auto"/>
                <w:sz w:val="21"/>
                <w:szCs w:val="21"/>
              </w:rPr>
              <w:t>固体废物产生处置汇总表</w:t>
            </w:r>
          </w:p>
          <w:tbl>
            <w:tblPr>
              <w:tblStyle w:val="29"/>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200"/>
              <w:gridCol w:w="1404"/>
              <w:gridCol w:w="1120"/>
              <w:gridCol w:w="2183"/>
              <w:gridCol w:w="899"/>
            </w:tblGrid>
            <w:tr w14:paraId="6CF1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tcBorders>
                    <w:tl2br w:val="nil"/>
                    <w:tr2bl w:val="nil"/>
                  </w:tcBorders>
                  <w:vAlign w:val="center"/>
                </w:tcPr>
                <w:p w14:paraId="56F87AC5">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废物名称</w:t>
                  </w:r>
                </w:p>
              </w:tc>
              <w:tc>
                <w:tcPr>
                  <w:tcW w:w="1200" w:type="dxa"/>
                  <w:tcBorders>
                    <w:tl2br w:val="nil"/>
                    <w:tr2bl w:val="nil"/>
                  </w:tcBorders>
                  <w:vAlign w:val="center"/>
                </w:tcPr>
                <w:p w14:paraId="341A44F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污染工段</w:t>
                  </w:r>
                </w:p>
              </w:tc>
              <w:tc>
                <w:tcPr>
                  <w:tcW w:w="1404" w:type="dxa"/>
                  <w:tcBorders>
                    <w:tl2br w:val="nil"/>
                    <w:tr2bl w:val="nil"/>
                  </w:tcBorders>
                  <w:vAlign w:val="center"/>
                </w:tcPr>
                <w:p w14:paraId="0E27D0A3">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性质</w:t>
                  </w:r>
                </w:p>
              </w:tc>
              <w:tc>
                <w:tcPr>
                  <w:tcW w:w="1120" w:type="dxa"/>
                  <w:tcBorders>
                    <w:tl2br w:val="nil"/>
                    <w:tr2bl w:val="nil"/>
                  </w:tcBorders>
                  <w:vAlign w:val="center"/>
                </w:tcPr>
                <w:p w14:paraId="79737B6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产生量（t/a）</w:t>
                  </w:r>
                </w:p>
              </w:tc>
              <w:tc>
                <w:tcPr>
                  <w:tcW w:w="2183" w:type="dxa"/>
                  <w:tcBorders>
                    <w:tl2br w:val="nil"/>
                    <w:tr2bl w:val="nil"/>
                  </w:tcBorders>
                  <w:vAlign w:val="center"/>
                </w:tcPr>
                <w:p w14:paraId="6DD25D53">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处置</w:t>
                  </w:r>
                </w:p>
              </w:tc>
              <w:tc>
                <w:tcPr>
                  <w:tcW w:w="899" w:type="dxa"/>
                  <w:tcBorders>
                    <w:tl2br w:val="nil"/>
                    <w:tr2bl w:val="nil"/>
                  </w:tcBorders>
                  <w:vAlign w:val="center"/>
                </w:tcPr>
                <w:p w14:paraId="3879C16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处置量（t/a）</w:t>
                  </w:r>
                </w:p>
              </w:tc>
            </w:tr>
            <w:tr w14:paraId="5B28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tcBorders>
                    <w:tl2br w:val="nil"/>
                    <w:tr2bl w:val="nil"/>
                  </w:tcBorders>
                  <w:vAlign w:val="center"/>
                </w:tcPr>
                <w:p w14:paraId="0B0119E7">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200" w:type="dxa"/>
                  <w:tcBorders>
                    <w:tl2br w:val="nil"/>
                    <w:tr2bl w:val="nil"/>
                  </w:tcBorders>
                  <w:vAlign w:val="center"/>
                </w:tcPr>
                <w:p w14:paraId="45410C5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员工生活</w:t>
                  </w:r>
                </w:p>
              </w:tc>
              <w:tc>
                <w:tcPr>
                  <w:tcW w:w="1404" w:type="dxa"/>
                  <w:tcBorders>
                    <w:tl2br w:val="nil"/>
                    <w:tr2bl w:val="nil"/>
                  </w:tcBorders>
                  <w:vAlign w:val="center"/>
                </w:tcPr>
                <w:p w14:paraId="683D098A">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一般固废900-099-S64</w:t>
                  </w:r>
                </w:p>
              </w:tc>
              <w:tc>
                <w:tcPr>
                  <w:tcW w:w="1120" w:type="dxa"/>
                  <w:tcBorders>
                    <w:tl2br w:val="nil"/>
                    <w:tr2bl w:val="nil"/>
                  </w:tcBorders>
                  <w:shd w:val="clear" w:color="auto" w:fill="auto"/>
                  <w:vAlign w:val="center"/>
                </w:tcPr>
                <w:p w14:paraId="00189D8A">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0.3</w:t>
                  </w:r>
                </w:p>
              </w:tc>
              <w:tc>
                <w:tcPr>
                  <w:tcW w:w="2183" w:type="dxa"/>
                  <w:tcBorders>
                    <w:tl2br w:val="nil"/>
                    <w:tr2bl w:val="nil"/>
                  </w:tcBorders>
                  <w:vAlign w:val="center"/>
                </w:tcPr>
                <w:p w14:paraId="736D3F34">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收集后定期送至园区垃圾收集点</w:t>
                  </w:r>
                </w:p>
              </w:tc>
              <w:tc>
                <w:tcPr>
                  <w:tcW w:w="899" w:type="dxa"/>
                  <w:tcBorders>
                    <w:tl2br w:val="nil"/>
                    <w:tr2bl w:val="nil"/>
                  </w:tcBorders>
                  <w:vAlign w:val="center"/>
                </w:tcPr>
                <w:p w14:paraId="74BC6A57">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r>
            <w:tr w14:paraId="3D62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vMerge w:val="restart"/>
                  <w:tcBorders>
                    <w:tl2br w:val="nil"/>
                    <w:tr2bl w:val="nil"/>
                  </w:tcBorders>
                  <w:vAlign w:val="center"/>
                </w:tcPr>
                <w:p w14:paraId="480FA127">
                  <w:pPr>
                    <w:pStyle w:val="43"/>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危险废物</w:t>
                  </w:r>
                </w:p>
              </w:tc>
              <w:tc>
                <w:tcPr>
                  <w:tcW w:w="1200" w:type="dxa"/>
                  <w:tcBorders>
                    <w:tl2br w:val="nil"/>
                    <w:tr2bl w:val="nil"/>
                  </w:tcBorders>
                  <w:vAlign w:val="center"/>
                </w:tcPr>
                <w:p w14:paraId="20D50B7B">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隔油沉淀池</w:t>
                  </w:r>
                </w:p>
              </w:tc>
              <w:tc>
                <w:tcPr>
                  <w:tcW w:w="1404" w:type="dxa"/>
                  <w:tcBorders>
                    <w:tl2br w:val="nil"/>
                    <w:tr2bl w:val="nil"/>
                  </w:tcBorders>
                  <w:vAlign w:val="center"/>
                </w:tcPr>
                <w:p w14:paraId="283737FD">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120" w:type="dxa"/>
                  <w:tcBorders>
                    <w:tl2br w:val="nil"/>
                    <w:tr2bl w:val="nil"/>
                  </w:tcBorders>
                  <w:shd w:val="clear" w:color="auto" w:fill="auto"/>
                  <w:vAlign w:val="center"/>
                </w:tcPr>
                <w:p w14:paraId="226D9AE5">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0.1</w:t>
                  </w:r>
                </w:p>
              </w:tc>
              <w:tc>
                <w:tcPr>
                  <w:tcW w:w="2183" w:type="dxa"/>
                  <w:vMerge w:val="restart"/>
                  <w:tcBorders>
                    <w:tl2br w:val="nil"/>
                    <w:tr2bl w:val="nil"/>
                  </w:tcBorders>
                  <w:vAlign w:val="center"/>
                </w:tcPr>
                <w:p w14:paraId="3285EAF5">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按照《危险废物转移联单管理办法》、《危险废物贮存污染控制标准》进行操作，妥善处置</w:t>
                  </w:r>
                </w:p>
              </w:tc>
              <w:tc>
                <w:tcPr>
                  <w:tcW w:w="899" w:type="dxa"/>
                  <w:tcBorders>
                    <w:tl2br w:val="nil"/>
                    <w:tr2bl w:val="nil"/>
                  </w:tcBorders>
                  <w:vAlign w:val="center"/>
                </w:tcPr>
                <w:p w14:paraId="49FA4312">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r>
            <w:tr w14:paraId="7B5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vMerge w:val="continue"/>
                  <w:tcBorders>
                    <w:tl2br w:val="nil"/>
                    <w:tr2bl w:val="nil"/>
                  </w:tcBorders>
                  <w:vAlign w:val="center"/>
                </w:tcPr>
                <w:p w14:paraId="68D9A810">
                  <w:pPr>
                    <w:pStyle w:val="43"/>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p>
              </w:tc>
              <w:tc>
                <w:tcPr>
                  <w:tcW w:w="1200" w:type="dxa"/>
                  <w:tcBorders>
                    <w:tl2br w:val="nil"/>
                    <w:tr2bl w:val="nil"/>
                  </w:tcBorders>
                  <w:vAlign w:val="center"/>
                </w:tcPr>
                <w:p w14:paraId="688CA9B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一体化污水处理设施</w:t>
                  </w:r>
                </w:p>
              </w:tc>
              <w:tc>
                <w:tcPr>
                  <w:tcW w:w="1404" w:type="dxa"/>
                  <w:tcBorders>
                    <w:tl2br w:val="nil"/>
                    <w:tr2bl w:val="nil"/>
                  </w:tcBorders>
                  <w:vAlign w:val="center"/>
                </w:tcPr>
                <w:p w14:paraId="092FC853">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120" w:type="dxa"/>
                  <w:tcBorders>
                    <w:tl2br w:val="nil"/>
                    <w:tr2bl w:val="nil"/>
                  </w:tcBorders>
                  <w:shd w:val="clear" w:color="auto" w:fill="auto"/>
                  <w:vAlign w:val="center"/>
                </w:tcPr>
                <w:p w14:paraId="20521246">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0.227</w:t>
                  </w:r>
                </w:p>
              </w:tc>
              <w:tc>
                <w:tcPr>
                  <w:tcW w:w="2183" w:type="dxa"/>
                  <w:vMerge w:val="continue"/>
                  <w:tcBorders>
                    <w:tl2br w:val="nil"/>
                    <w:tr2bl w:val="nil"/>
                  </w:tcBorders>
                  <w:vAlign w:val="center"/>
                </w:tcPr>
                <w:p w14:paraId="4BE07A48">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899" w:type="dxa"/>
                  <w:tcBorders>
                    <w:tl2br w:val="nil"/>
                    <w:tr2bl w:val="nil"/>
                  </w:tcBorders>
                  <w:vAlign w:val="center"/>
                </w:tcPr>
                <w:p w14:paraId="4F425750">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0.227</w:t>
                  </w:r>
                </w:p>
              </w:tc>
            </w:tr>
            <w:tr w14:paraId="4C3A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vMerge w:val="continue"/>
                  <w:tcBorders>
                    <w:tl2br w:val="nil"/>
                    <w:tr2bl w:val="nil"/>
                  </w:tcBorders>
                  <w:vAlign w:val="center"/>
                </w:tcPr>
                <w:p w14:paraId="7A296F0E">
                  <w:pPr>
                    <w:pStyle w:val="43"/>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p>
              </w:tc>
              <w:tc>
                <w:tcPr>
                  <w:tcW w:w="1200" w:type="dxa"/>
                  <w:tcBorders>
                    <w:tl2br w:val="nil"/>
                    <w:tr2bl w:val="nil"/>
                  </w:tcBorders>
                  <w:vAlign w:val="center"/>
                </w:tcPr>
                <w:p w14:paraId="703FD6C8">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罐车残液</w:t>
                  </w:r>
                </w:p>
              </w:tc>
              <w:tc>
                <w:tcPr>
                  <w:tcW w:w="1404" w:type="dxa"/>
                  <w:tcBorders>
                    <w:tl2br w:val="nil"/>
                    <w:tr2bl w:val="nil"/>
                  </w:tcBorders>
                  <w:vAlign w:val="center"/>
                </w:tcPr>
                <w:p w14:paraId="0509A2EA">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900-201-08</w:t>
                  </w:r>
                </w:p>
              </w:tc>
              <w:tc>
                <w:tcPr>
                  <w:tcW w:w="1120" w:type="dxa"/>
                  <w:tcBorders>
                    <w:tl2br w:val="nil"/>
                    <w:tr2bl w:val="nil"/>
                  </w:tcBorders>
                  <w:shd w:val="clear" w:color="auto" w:fill="auto"/>
                  <w:vAlign w:val="center"/>
                </w:tcPr>
                <w:p w14:paraId="17FE70F9">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45.36</w:t>
                  </w:r>
                </w:p>
              </w:tc>
              <w:tc>
                <w:tcPr>
                  <w:tcW w:w="2183" w:type="dxa"/>
                  <w:vMerge w:val="continue"/>
                  <w:tcBorders>
                    <w:tl2br w:val="nil"/>
                    <w:tr2bl w:val="nil"/>
                  </w:tcBorders>
                  <w:vAlign w:val="center"/>
                </w:tcPr>
                <w:p w14:paraId="7449926E">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899" w:type="dxa"/>
                  <w:tcBorders>
                    <w:tl2br w:val="nil"/>
                    <w:tr2bl w:val="nil"/>
                  </w:tcBorders>
                  <w:vAlign w:val="center"/>
                </w:tcPr>
                <w:p w14:paraId="34628477">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45.36</w:t>
                  </w:r>
                </w:p>
              </w:tc>
            </w:tr>
            <w:tr w14:paraId="6E97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 w:type="dxa"/>
                  <w:tcBorders>
                    <w:tl2br w:val="nil"/>
                    <w:tr2bl w:val="nil"/>
                  </w:tcBorders>
                  <w:vAlign w:val="center"/>
                </w:tcPr>
                <w:p w14:paraId="593E2319">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200" w:type="dxa"/>
                  <w:tcBorders>
                    <w:tl2br w:val="nil"/>
                    <w:tr2bl w:val="nil"/>
                  </w:tcBorders>
                  <w:vAlign w:val="center"/>
                </w:tcPr>
                <w:p w14:paraId="5D031D12">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04" w:type="dxa"/>
                  <w:tcBorders>
                    <w:tl2br w:val="nil"/>
                    <w:tr2bl w:val="nil"/>
                  </w:tcBorders>
                  <w:vAlign w:val="center"/>
                </w:tcPr>
                <w:p w14:paraId="64800F61">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20" w:type="dxa"/>
                  <w:tcBorders>
                    <w:tl2br w:val="nil"/>
                    <w:tr2bl w:val="nil"/>
                  </w:tcBorders>
                  <w:shd w:val="clear" w:color="auto" w:fill="auto"/>
                  <w:vAlign w:val="center"/>
                </w:tcPr>
                <w:p w14:paraId="089CF740">
                  <w:pPr>
                    <w:pStyle w:val="43"/>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45.987</w:t>
                  </w:r>
                </w:p>
              </w:tc>
              <w:tc>
                <w:tcPr>
                  <w:tcW w:w="2183" w:type="dxa"/>
                  <w:tcBorders>
                    <w:tl2br w:val="nil"/>
                    <w:tr2bl w:val="nil"/>
                  </w:tcBorders>
                  <w:vAlign w:val="center"/>
                </w:tcPr>
                <w:p w14:paraId="583F502C">
                  <w:pPr>
                    <w:pStyle w:val="43"/>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99" w:type="dxa"/>
                  <w:tcBorders>
                    <w:tl2br w:val="nil"/>
                    <w:tr2bl w:val="nil"/>
                  </w:tcBorders>
                  <w:vAlign w:val="center"/>
                </w:tcPr>
                <w:p w14:paraId="6CFCF3AD">
                  <w:pPr>
                    <w:pStyle w:val="43"/>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45.987</w:t>
                  </w:r>
                </w:p>
              </w:tc>
            </w:tr>
          </w:tbl>
          <w:p w14:paraId="3E4FC76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2、环境管理要求</w:t>
            </w:r>
          </w:p>
          <w:p w14:paraId="16C4A581">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w:t>
            </w:r>
            <w:r>
              <w:rPr>
                <w:rFonts w:hint="eastAsia"/>
                <w:color w:val="auto"/>
                <w:kern w:val="0"/>
              </w:rPr>
              <w:t>1</w:t>
            </w:r>
            <w:r>
              <w:rPr>
                <w:rFonts w:hint="eastAsia" w:ascii="宋体" w:hAnsi="宋体"/>
                <w:color w:val="auto"/>
                <w:kern w:val="0"/>
              </w:rPr>
              <w:t>）生活垃圾</w:t>
            </w:r>
          </w:p>
          <w:p w14:paraId="4CE3A594">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项目运营期生活垃圾主要为果皮纸屑、塑料等物质，属于一般固废。生活垃圾对环境的影响主要是收集暂存过程中散发的异味影响和处理不当对环境造成固废污染。针对生活垃圾，环评提出以下管理要求：</w:t>
            </w:r>
          </w:p>
          <w:p w14:paraId="2C556E85">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①</w:t>
            </w:r>
            <w:r>
              <w:rPr>
                <w:rFonts w:hint="eastAsia" w:ascii="宋体" w:hAnsi="宋体"/>
                <w:color w:val="auto"/>
                <w:kern w:val="0"/>
              </w:rPr>
              <w:t>运营中生活垃圾应使用加盖垃圾桶统一收集，袋装暂存；</w:t>
            </w:r>
          </w:p>
          <w:p w14:paraId="582A4783">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②</w:t>
            </w:r>
            <w:r>
              <w:rPr>
                <w:rFonts w:hint="eastAsia" w:ascii="宋体" w:hAnsi="宋体"/>
                <w:color w:val="auto"/>
                <w:kern w:val="0"/>
              </w:rPr>
              <w:t>设置专人负责定期清运，清运周期控制在</w:t>
            </w:r>
            <w:r>
              <w:rPr>
                <w:rFonts w:hint="eastAsia"/>
                <w:color w:val="auto"/>
                <w:kern w:val="0"/>
              </w:rPr>
              <w:t>1</w:t>
            </w:r>
            <w:r>
              <w:rPr>
                <w:rFonts w:hint="eastAsia" w:ascii="宋体" w:hAnsi="宋体"/>
                <w:color w:val="auto"/>
                <w:kern w:val="0"/>
              </w:rPr>
              <w:t>～</w:t>
            </w:r>
            <w:r>
              <w:rPr>
                <w:rFonts w:hint="eastAsia"/>
                <w:color w:val="auto"/>
                <w:kern w:val="0"/>
              </w:rPr>
              <w:t>2</w:t>
            </w:r>
            <w:r>
              <w:rPr>
                <w:rFonts w:hint="eastAsia" w:ascii="宋体" w:hAnsi="宋体"/>
                <w:color w:val="auto"/>
                <w:kern w:val="0"/>
              </w:rPr>
              <w:t>天内，避免垃圾发酵产生异味；</w:t>
            </w:r>
          </w:p>
          <w:p w14:paraId="77544219">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③</w:t>
            </w:r>
            <w:r>
              <w:rPr>
                <w:rFonts w:hint="eastAsia" w:ascii="宋体" w:hAnsi="宋体"/>
                <w:color w:val="auto"/>
                <w:kern w:val="0"/>
              </w:rPr>
              <w:t>严禁随意丢弃、焚烧垃圾。</w:t>
            </w:r>
          </w:p>
          <w:p w14:paraId="596ECB5A">
            <w:pPr>
              <w:keepNext w:val="0"/>
              <w:keepLines w:val="0"/>
              <w:suppressLineNumbers w:val="0"/>
              <w:spacing w:before="0" w:beforeAutospacing="0" w:after="0" w:afterAutospacing="0"/>
              <w:ind w:left="0" w:right="0" w:firstLine="480"/>
              <w:rPr>
                <w:rFonts w:hint="default" w:eastAsia="宋体"/>
                <w:color w:val="auto"/>
                <w:kern w:val="0"/>
                <w:lang w:val="en-US" w:eastAsia="zh-CN"/>
              </w:rPr>
            </w:pPr>
            <w:r>
              <w:rPr>
                <w:rFonts w:hint="eastAsia"/>
                <w:color w:val="auto"/>
                <w:kern w:val="0"/>
              </w:rPr>
              <w:t>（</w:t>
            </w:r>
            <w:r>
              <w:rPr>
                <w:rFonts w:hint="eastAsia"/>
                <w:color w:val="auto"/>
                <w:kern w:val="0"/>
                <w:lang w:val="en-US" w:eastAsia="zh-CN"/>
              </w:rPr>
              <w:t>2</w:t>
            </w:r>
            <w:r>
              <w:rPr>
                <w:rFonts w:hint="eastAsia"/>
                <w:color w:val="auto"/>
                <w:kern w:val="0"/>
              </w:rPr>
              <w:t>）废油类物质</w:t>
            </w:r>
          </w:p>
          <w:p w14:paraId="1D3D8C74">
            <w:pPr>
              <w:keepNext w:val="0"/>
              <w:keepLines w:val="0"/>
              <w:suppressLineNumbers w:val="0"/>
              <w:spacing w:before="0" w:beforeAutospacing="0" w:after="0" w:afterAutospacing="0"/>
              <w:ind w:left="0" w:right="0" w:firstLine="480"/>
              <w:rPr>
                <w:rFonts w:hint="default"/>
                <w:color w:val="auto"/>
                <w:kern w:val="0"/>
              </w:rPr>
            </w:pPr>
            <w:r>
              <w:rPr>
                <w:rFonts w:hint="default"/>
                <w:color w:val="auto"/>
                <w:kern w:val="0"/>
              </w:rPr>
              <w:t>项目设置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default"/>
                <w:color w:val="auto"/>
                <w:kern w:val="0"/>
              </w:rPr>
              <w:t>的储存罐</w:t>
            </w:r>
            <w:r>
              <w:rPr>
                <w:rFonts w:hint="eastAsia"/>
                <w:color w:val="auto"/>
                <w:kern w:val="0"/>
                <w:lang w:eastAsia="zh-CN"/>
              </w:rPr>
              <w:t>，</w:t>
            </w:r>
            <w:r>
              <w:rPr>
                <w:rFonts w:hint="default"/>
                <w:color w:val="auto"/>
                <w:kern w:val="0"/>
              </w:rPr>
              <w:t>用于储存废油，</w:t>
            </w:r>
            <w:r>
              <w:rPr>
                <w:rFonts w:hint="eastAsia"/>
                <w:color w:val="auto"/>
                <w:kern w:val="0"/>
                <w:lang w:val="en-US" w:eastAsia="zh-CN"/>
              </w:rPr>
              <w:t>隔油</w:t>
            </w:r>
            <w:r>
              <w:rPr>
                <w:rFonts w:hint="default"/>
                <w:color w:val="auto"/>
                <w:kern w:val="0"/>
              </w:rPr>
              <w:t>沉淀池浮油、</w:t>
            </w:r>
            <w:r>
              <w:rPr>
                <w:rFonts w:hint="eastAsia"/>
                <w:color w:val="auto"/>
                <w:kern w:val="0"/>
                <w:lang w:val="en-US" w:eastAsia="zh-CN"/>
              </w:rPr>
              <w:t>一体化污水处理设施</w:t>
            </w:r>
            <w:r>
              <w:rPr>
                <w:rFonts w:hint="default"/>
                <w:color w:val="auto"/>
                <w:kern w:val="0"/>
              </w:rPr>
              <w:t>污泥收集后存于危废暂存间，交有资质单位处置。危废暂存间的建设、危险废物的临时贮存、转运处置应严格按照《危险废物贮存污染控制标准》（GB18597-2023）严格执行环境管理要求。</w:t>
            </w:r>
          </w:p>
          <w:p w14:paraId="63134728">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①防渗标准及措施</w:t>
            </w:r>
          </w:p>
          <w:p w14:paraId="5D81F5C5">
            <w:pPr>
              <w:keepNext w:val="0"/>
              <w:keepLines w:val="0"/>
              <w:suppressLineNumbers w:val="0"/>
              <w:spacing w:before="0" w:beforeAutospacing="0" w:after="0" w:afterAutospacing="0"/>
              <w:ind w:left="0" w:right="0" w:firstLine="480"/>
              <w:rPr>
                <w:rFonts w:hint="default" w:eastAsiaTheme="minorEastAsia"/>
                <w:color w:val="auto"/>
                <w:kern w:val="0"/>
              </w:rPr>
            </w:pPr>
            <w:r>
              <w:rPr>
                <w:rFonts w:hint="eastAsia" w:ascii="宋体" w:hAnsi="宋体"/>
                <w:color w:val="auto"/>
                <w:kern w:val="0"/>
              </w:rPr>
              <w:t>根据《危险废物贮存污染控制标准》（</w:t>
            </w:r>
            <w:r>
              <w:rPr>
                <w:rFonts w:hint="eastAsia"/>
                <w:color w:val="auto"/>
                <w:kern w:val="0"/>
              </w:rPr>
              <w:t>GB18597-2023</w:t>
            </w:r>
            <w:r>
              <w:rPr>
                <w:rFonts w:hint="eastAsia" w:ascii="宋体" w:hAnsi="宋体"/>
                <w:color w:val="auto"/>
                <w:kern w:val="0"/>
              </w:rPr>
              <w:t>），危险废物暂存间地面和四周墙裙脚采用</w:t>
            </w:r>
            <w:r>
              <w:rPr>
                <w:rFonts w:hint="default" w:eastAsiaTheme="minorEastAsia"/>
                <w:color w:val="auto"/>
                <w:kern w:val="0"/>
              </w:rPr>
              <w:t>“抗渗混凝土+2mm厚HDPE+环氧树脂”进行重点防渗处理，渗透系数≤10</w:t>
            </w:r>
            <w:r>
              <w:rPr>
                <w:rFonts w:hint="default" w:eastAsiaTheme="minorEastAsia"/>
                <w:color w:val="auto"/>
                <w:kern w:val="0"/>
                <w:vertAlign w:val="superscript"/>
              </w:rPr>
              <w:t>-10</w:t>
            </w:r>
            <w:r>
              <w:rPr>
                <w:rFonts w:hint="default" w:eastAsiaTheme="minorEastAsia"/>
                <w:color w:val="auto"/>
                <w:kern w:val="0"/>
              </w:rPr>
              <w:t>cm/s，并按照要求设置规范的标识标牌。</w:t>
            </w:r>
          </w:p>
          <w:p w14:paraId="3D44412E">
            <w:pPr>
              <w:pStyle w:val="41"/>
              <w:keepNext w:val="0"/>
              <w:keepLines w:val="0"/>
              <w:suppressLineNumbers w:val="0"/>
              <w:spacing w:before="0" w:beforeAutospacing="0" w:after="0" w:afterAutospacing="0"/>
              <w:ind w:left="0" w:right="0" w:firstLine="480"/>
              <w:rPr>
                <w:rFonts w:hint="default" w:eastAsiaTheme="minorEastAsia"/>
                <w:color w:val="auto"/>
                <w:kern w:val="0"/>
                <w:sz w:val="24"/>
                <w:szCs w:val="24"/>
              </w:rPr>
            </w:pPr>
            <w:r>
              <w:rPr>
                <w:rFonts w:hint="eastAsia" w:ascii="宋体" w:hAnsi="宋体" w:cs="宋体"/>
                <w:color w:val="auto"/>
                <w:kern w:val="0"/>
                <w:sz w:val="24"/>
                <w:szCs w:val="24"/>
              </w:rPr>
              <w:t>②</w:t>
            </w:r>
            <w:r>
              <w:rPr>
                <w:rFonts w:hint="default" w:eastAsiaTheme="minorEastAsia"/>
                <w:color w:val="auto"/>
                <w:kern w:val="0"/>
                <w:sz w:val="24"/>
                <w:szCs w:val="24"/>
              </w:rPr>
              <w:t>暂存</w:t>
            </w:r>
          </w:p>
          <w:p w14:paraId="07944FA9">
            <w:pPr>
              <w:pStyle w:val="41"/>
              <w:keepNext w:val="0"/>
              <w:keepLines w:val="0"/>
              <w:suppressLineNumbers w:val="0"/>
              <w:spacing w:before="0" w:beforeAutospacing="0" w:after="0" w:afterAutospacing="0"/>
              <w:ind w:left="0" w:right="0" w:firstLine="480"/>
              <w:rPr>
                <w:rFonts w:hint="default"/>
                <w:color w:val="auto"/>
                <w:kern w:val="0"/>
                <w:sz w:val="24"/>
                <w:szCs w:val="24"/>
              </w:rPr>
            </w:pPr>
            <w:r>
              <w:rPr>
                <w:rFonts w:hint="eastAsia" w:ascii="宋体" w:hAnsi="宋体"/>
                <w:color w:val="auto"/>
                <w:kern w:val="0"/>
                <w:sz w:val="24"/>
                <w:szCs w:val="24"/>
              </w:rPr>
              <w:t>对于危险废物委托有资质单位处置。应按《危险废物贮存污染控制标准》（</w:t>
            </w:r>
            <w:r>
              <w:rPr>
                <w:rFonts w:hint="eastAsia"/>
                <w:color w:val="auto"/>
                <w:kern w:val="0"/>
                <w:sz w:val="24"/>
                <w:szCs w:val="24"/>
              </w:rPr>
              <w:t>GB18597-2023</w:t>
            </w:r>
            <w:r>
              <w:rPr>
                <w:rFonts w:hint="eastAsia" w:ascii="宋体" w:hAnsi="宋体"/>
                <w:color w:val="auto"/>
                <w:kern w:val="0"/>
                <w:sz w:val="24"/>
                <w:szCs w:val="24"/>
              </w:rPr>
              <w:t>）要求设置暂存场地，并要求做到以下几点：</w:t>
            </w:r>
          </w:p>
          <w:p w14:paraId="155A2C1B">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A</w:t>
            </w:r>
            <w:r>
              <w:rPr>
                <w:rFonts w:hint="eastAsia" w:ascii="宋体" w:hAnsi="宋体"/>
                <w:color w:val="auto"/>
                <w:kern w:val="0"/>
              </w:rPr>
              <w:t>、贮存设施应根据危险废物的形态、物理化学性质、包装形式和污染物迁移途径，采取必要的防风、防晒、防雨、防漏、防渗、防腐以及其他环境污染防治措施，不应露天堆放危险废物。</w:t>
            </w:r>
          </w:p>
          <w:p w14:paraId="6E1E4332">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B</w:t>
            </w:r>
            <w:r>
              <w:rPr>
                <w:rFonts w:hint="eastAsia" w:ascii="宋体" w:hAnsi="宋体"/>
                <w:color w:val="auto"/>
                <w:kern w:val="0"/>
              </w:rPr>
              <w:t>、贮存设施应根据危险废物的类别、数量、形态、物理化学性质和污染防治等要求设置必要的贮存分区，避免不相容的危险废物接触、混合。</w:t>
            </w:r>
          </w:p>
          <w:p w14:paraId="0B86734D">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C</w:t>
            </w:r>
            <w:r>
              <w:rPr>
                <w:rFonts w:hint="eastAsia" w:ascii="宋体" w:hAnsi="宋体"/>
                <w:color w:val="auto"/>
                <w:kern w:val="0"/>
              </w:rPr>
              <w:t>、贮存设施或贮存分区内地面、墙面裙脚、堵截泄漏的围堰、接触危险废物的隔板和墙体等应采用坚固的材料建造，表面无裂缝。</w:t>
            </w:r>
          </w:p>
          <w:p w14:paraId="27E99398">
            <w:pPr>
              <w:pStyle w:val="44"/>
              <w:keepNext w:val="0"/>
              <w:keepLines w:val="0"/>
              <w:widowControl/>
              <w:suppressLineNumbers w:val="0"/>
              <w:spacing w:before="0" w:beforeAutospacing="0" w:after="0" w:afterAutospacing="0"/>
              <w:ind w:left="0" w:right="0" w:firstLine="480"/>
              <w:rPr>
                <w:rFonts w:hint="default"/>
                <w:color w:val="auto"/>
                <w:kern w:val="0"/>
              </w:rPr>
            </w:pPr>
            <w:r>
              <w:rPr>
                <w:rFonts w:hint="eastAsia"/>
                <w:color w:val="auto"/>
                <w:kern w:val="0"/>
              </w:rPr>
              <w:t>D</w:t>
            </w:r>
            <w:r>
              <w:rPr>
                <w:rFonts w:hint="eastAsia" w:ascii="宋体" w:hAnsi="宋体"/>
                <w:color w:val="auto"/>
                <w:kern w:val="0"/>
              </w:rPr>
              <w:t>、贮存设施地面与裙脚应采取表面防渗措施；表面防渗材料应与所接触的物料或污染物相容，可采用抗渗混凝土、高密度聚乙烯膜、钠基膨润土防水毯或其他防渗性能等效的材料。</w:t>
            </w:r>
          </w:p>
          <w:p w14:paraId="1A57DA9D">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E</w:t>
            </w:r>
            <w:r>
              <w:rPr>
                <w:rFonts w:hint="eastAsia" w:ascii="宋体" w:hAnsi="宋体"/>
                <w:color w:val="auto"/>
                <w:kern w:val="0"/>
              </w:rPr>
              <w:t>、同一贮存设施宜采用相同的防渗、防腐工艺（包括防渗、防腐结构或材料），防渗、防腐材料应覆盖所有可能与废物及其渗滤液、渗漏液等接触的构建物表面；采用不同防渗、防腐工艺应分别建设贮存分区。</w:t>
            </w:r>
          </w:p>
          <w:p w14:paraId="745D7DEF">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F</w:t>
            </w:r>
            <w:r>
              <w:rPr>
                <w:rFonts w:hint="eastAsia" w:ascii="宋体" w:hAnsi="宋体"/>
                <w:color w:val="auto"/>
                <w:kern w:val="0"/>
              </w:rPr>
              <w:t>、贮存设施应采取技术和管理措施防止无关人员进入。</w:t>
            </w:r>
          </w:p>
          <w:p w14:paraId="4C7E021E">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s="宋体"/>
                <w:color w:val="auto"/>
                <w:kern w:val="0"/>
              </w:rPr>
              <w:t>③</w:t>
            </w:r>
            <w:r>
              <w:rPr>
                <w:rFonts w:hint="eastAsia" w:ascii="宋体" w:hAnsi="宋体"/>
                <w:color w:val="auto"/>
                <w:kern w:val="0"/>
              </w:rPr>
              <w:t>危险废物日常管理及转运管理要求</w:t>
            </w:r>
          </w:p>
          <w:p w14:paraId="2F9A9602">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项目日常管理中应定期对所有贮存容器进行检查，发现破损，及时清理更换，危险废物暂存间内禁止存放其他杂物，并做好危险废物记录台账，记录上须注明危险废物的名称、来源、数量、特性和包装容器的类别、入库日期、存放库位、废物出库日期及接收单位名称。</w:t>
            </w:r>
          </w:p>
          <w:p w14:paraId="683463BD">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厂内危废临时贮存设施暂存后由有资质单位处置，在转移行为发生时应执行危险废物转移联单制度。危废记录台账和转移联单在危险废物收取后应继续保留三年。</w:t>
            </w:r>
          </w:p>
          <w:p w14:paraId="70AD2780">
            <w:pPr>
              <w:keepNext w:val="0"/>
              <w:keepLines w:val="0"/>
              <w:suppressLineNumbers w:val="0"/>
              <w:spacing w:before="0" w:beforeAutospacing="0" w:after="0" w:afterAutospacing="0"/>
              <w:ind w:left="0" w:right="0" w:firstLine="482" w:firstLineChars="200"/>
              <w:rPr>
                <w:rFonts w:hint="default"/>
                <w:b/>
                <w:color w:val="auto"/>
                <w:kern w:val="0"/>
                <w:highlight w:val="cyan"/>
              </w:rPr>
            </w:pPr>
            <w:r>
              <w:rPr>
                <w:rFonts w:hint="eastAsia"/>
                <w:b/>
                <w:color w:val="auto"/>
                <w:kern w:val="0"/>
              </w:rPr>
              <w:t>五、</w:t>
            </w:r>
            <w:r>
              <w:rPr>
                <w:rFonts w:hint="eastAsia"/>
                <w:b/>
                <w:color w:val="auto"/>
                <w:kern w:val="0"/>
                <w:highlight w:val="none"/>
              </w:rPr>
              <w:t>土壤、地下水环境影响分析</w:t>
            </w:r>
          </w:p>
          <w:p w14:paraId="19FE0EF8">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b/>
                <w:bCs/>
                <w:color w:val="auto"/>
                <w:kern w:val="0"/>
              </w:rPr>
              <w:t>1</w:t>
            </w:r>
            <w:r>
              <w:rPr>
                <w:rFonts w:hint="eastAsia" w:ascii="宋体" w:hAnsi="宋体"/>
                <w:b/>
                <w:bCs/>
                <w:color w:val="auto"/>
                <w:kern w:val="0"/>
              </w:rPr>
              <w:t>、污染源分析</w:t>
            </w:r>
          </w:p>
          <w:p w14:paraId="3FC733FD">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从项目原料、燃料、产品、三废等物质分析。</w:t>
            </w:r>
          </w:p>
          <w:p w14:paraId="4902FC46">
            <w:pPr>
              <w:keepNext w:val="0"/>
              <w:keepLines w:val="0"/>
              <w:suppressLineNumbers w:val="0"/>
              <w:spacing w:before="0" w:beforeAutospacing="0" w:after="0" w:afterAutospacing="0"/>
              <w:ind w:left="0" w:right="0" w:firstLine="482" w:firstLineChars="200"/>
              <w:rPr>
                <w:rFonts w:hint="eastAsia" w:ascii="宋体" w:hAnsi="宋体"/>
                <w:color w:val="auto"/>
                <w:kern w:val="0"/>
              </w:rPr>
            </w:pPr>
            <w:r>
              <w:rPr>
                <w:rFonts w:hint="eastAsia" w:ascii="宋体" w:hAnsi="宋体"/>
                <w:b/>
                <w:bCs/>
                <w:color w:val="auto"/>
                <w:kern w:val="0"/>
              </w:rPr>
              <w:t>原料、产品：</w:t>
            </w:r>
            <w:r>
              <w:rPr>
                <w:rFonts w:hint="eastAsia" w:ascii="宋体" w:hAnsi="宋体"/>
                <w:color w:val="auto"/>
                <w:kern w:val="0"/>
              </w:rPr>
              <w:t>项目</w:t>
            </w:r>
            <w:r>
              <w:rPr>
                <w:rFonts w:hint="eastAsia" w:ascii="宋体" w:hAnsi="宋体"/>
                <w:color w:val="auto"/>
                <w:kern w:val="0"/>
                <w:lang w:val="en-US" w:eastAsia="zh-CN"/>
              </w:rPr>
              <w:t>采用清水对柴油罐车内部进行清洗</w:t>
            </w:r>
            <w:r>
              <w:rPr>
                <w:rFonts w:hint="eastAsia" w:ascii="宋体" w:hAnsi="宋体"/>
                <w:color w:val="auto"/>
                <w:kern w:val="0"/>
              </w:rPr>
              <w:t>，项目使用的原料主要是</w:t>
            </w:r>
            <w:r>
              <w:rPr>
                <w:rFonts w:hint="eastAsia" w:ascii="宋体" w:hAnsi="宋体"/>
                <w:color w:val="auto"/>
                <w:kern w:val="0"/>
                <w:lang w:val="en-US" w:eastAsia="zh-CN"/>
              </w:rPr>
              <w:t>一体化污</w:t>
            </w:r>
            <w:r>
              <w:rPr>
                <w:rFonts w:hint="default" w:ascii="Times New Roman" w:hAnsi="Times New Roman" w:cs="Times New Roman"/>
                <w:color w:val="auto"/>
                <w:kern w:val="0"/>
                <w:lang w:val="en-US" w:eastAsia="zh-CN"/>
              </w:rPr>
              <w:t>水处理设施</w:t>
            </w:r>
            <w:r>
              <w:rPr>
                <w:rFonts w:hint="eastAsia" w:ascii="Times New Roman" w:hAnsi="Times New Roman" w:cs="Times New Roman"/>
                <w:color w:val="auto"/>
                <w:kern w:val="0"/>
                <w:lang w:val="en-US" w:eastAsia="zh-CN"/>
              </w:rPr>
              <w:t>运行</w:t>
            </w:r>
            <w:r>
              <w:rPr>
                <w:rFonts w:hint="eastAsia" w:ascii="宋体" w:hAnsi="宋体"/>
                <w:color w:val="auto"/>
                <w:kern w:val="0"/>
                <w:lang w:val="en-US" w:eastAsia="zh-CN"/>
              </w:rPr>
              <w:t>投加的</w:t>
            </w:r>
            <w:r>
              <w:rPr>
                <w:rFonts w:hint="eastAsia" w:ascii="宋体" w:hAnsi="宋体"/>
                <w:color w:val="auto"/>
                <w:kern w:val="0"/>
              </w:rPr>
              <w:t>混凝絮凝药剂</w:t>
            </w:r>
            <w:r>
              <w:rPr>
                <w:rFonts w:hint="eastAsia" w:ascii="宋体" w:hAnsi="宋体"/>
                <w:color w:val="auto"/>
                <w:kern w:val="0"/>
                <w:lang w:eastAsia="zh-CN"/>
              </w:rPr>
              <w:t>、</w:t>
            </w:r>
            <w:r>
              <w:rPr>
                <w:rFonts w:hint="eastAsia" w:ascii="宋体" w:hAnsi="宋体"/>
                <w:color w:val="auto"/>
                <w:kern w:val="0"/>
              </w:rPr>
              <w:t>酸碱调节药剂</w:t>
            </w:r>
            <w:r>
              <w:rPr>
                <w:rFonts w:hint="eastAsia" w:ascii="宋体" w:hAnsi="宋体"/>
                <w:color w:val="auto"/>
                <w:kern w:val="0"/>
                <w:lang w:eastAsia="zh-CN"/>
              </w:rPr>
              <w:t>，</w:t>
            </w:r>
            <w:r>
              <w:rPr>
                <w:rFonts w:hint="eastAsia" w:ascii="宋体" w:hAnsi="宋体"/>
                <w:color w:val="auto"/>
                <w:kern w:val="0"/>
                <w:lang w:val="en-US" w:eastAsia="zh-CN"/>
              </w:rPr>
              <w:t>主要成分分别为三氧化二铝、氢氧化钠，均为固体，且均有外包装袋，地面均已硬化，对土壤、地下水影响较小。</w:t>
            </w:r>
          </w:p>
          <w:p w14:paraId="5DFA7733">
            <w:pPr>
              <w:keepNext w:val="0"/>
              <w:keepLines w:val="0"/>
              <w:suppressLineNumbers w:val="0"/>
              <w:spacing w:before="0" w:beforeAutospacing="0" w:after="0" w:afterAutospacing="0"/>
              <w:ind w:left="0" w:right="0" w:firstLine="482" w:firstLineChars="200"/>
              <w:rPr>
                <w:rFonts w:hint="default"/>
                <w:color w:val="auto"/>
                <w:kern w:val="0"/>
              </w:rPr>
            </w:pPr>
            <w:r>
              <w:rPr>
                <w:rFonts w:hint="eastAsia" w:ascii="宋体" w:hAnsi="宋体"/>
                <w:b/>
                <w:bCs/>
                <w:color w:val="auto"/>
                <w:kern w:val="0"/>
              </w:rPr>
              <w:t>燃料：</w:t>
            </w:r>
            <w:r>
              <w:rPr>
                <w:rFonts w:hint="eastAsia" w:ascii="宋体" w:hAnsi="宋体"/>
                <w:color w:val="auto"/>
                <w:kern w:val="0"/>
              </w:rPr>
              <w:t>项目</w:t>
            </w:r>
            <w:r>
              <w:rPr>
                <w:rFonts w:hint="eastAsia" w:ascii="宋体" w:hAnsi="宋体"/>
                <w:color w:val="auto"/>
                <w:kern w:val="0"/>
                <w:lang w:val="en-US" w:eastAsia="zh-CN"/>
              </w:rPr>
              <w:t>不涉及燃料</w:t>
            </w:r>
            <w:r>
              <w:rPr>
                <w:rFonts w:hint="eastAsia" w:ascii="宋体" w:hAnsi="宋体"/>
                <w:color w:val="auto"/>
                <w:kern w:val="0"/>
              </w:rPr>
              <w:t>，不</w:t>
            </w:r>
            <w:r>
              <w:rPr>
                <w:rFonts w:hint="eastAsia" w:ascii="宋体" w:hAnsi="宋体"/>
                <w:color w:val="auto"/>
                <w:kern w:val="0"/>
                <w:lang w:val="en-US" w:eastAsia="zh-CN"/>
              </w:rPr>
              <w:t>会</w:t>
            </w:r>
            <w:r>
              <w:rPr>
                <w:rFonts w:hint="eastAsia" w:ascii="宋体" w:hAnsi="宋体"/>
                <w:color w:val="auto"/>
                <w:kern w:val="0"/>
              </w:rPr>
              <w:t>对地下水、土壤造成污染。</w:t>
            </w:r>
          </w:p>
          <w:p w14:paraId="5AE729F6">
            <w:pPr>
              <w:keepNext w:val="0"/>
              <w:keepLines w:val="0"/>
              <w:suppressLineNumbers w:val="0"/>
              <w:spacing w:before="0" w:beforeAutospacing="0" w:after="0" w:afterAutospacing="0"/>
              <w:ind w:left="0" w:right="0" w:firstLine="482" w:firstLineChars="200"/>
              <w:rPr>
                <w:rFonts w:hint="default"/>
                <w:color w:val="auto"/>
                <w:kern w:val="0"/>
              </w:rPr>
            </w:pPr>
            <w:r>
              <w:rPr>
                <w:rFonts w:hint="eastAsia" w:ascii="宋体" w:hAnsi="宋体"/>
                <w:b/>
                <w:bCs/>
                <w:color w:val="auto"/>
                <w:kern w:val="0"/>
              </w:rPr>
              <w:t>三废：</w:t>
            </w:r>
            <w:r>
              <w:rPr>
                <w:rFonts w:hint="eastAsia" w:ascii="宋体" w:hAnsi="宋体"/>
                <w:color w:val="auto"/>
                <w:kern w:val="0"/>
              </w:rPr>
              <w:t>项目废气主要为</w:t>
            </w:r>
            <w:r>
              <w:rPr>
                <w:rFonts w:hint="eastAsia" w:ascii="宋体" w:hAnsi="宋体"/>
                <w:color w:val="auto"/>
                <w:kern w:val="0"/>
                <w:lang w:val="en-US" w:eastAsia="zh-CN"/>
              </w:rPr>
              <w:t>清洗过程产生的挥发性气体，呈无组织排放，</w:t>
            </w:r>
            <w:r>
              <w:rPr>
                <w:rFonts w:hint="eastAsia" w:ascii="宋体" w:hAnsi="宋体"/>
                <w:color w:val="auto"/>
                <w:kern w:val="0"/>
              </w:rPr>
              <w:t>不会对土壤、地下水造成影响；生活垃圾主要为固态，量较少，只要不乱扔、乱放，及时清运后会对土壤、地下水造成影响。</w:t>
            </w:r>
            <w:r>
              <w:rPr>
                <w:rFonts w:hint="eastAsia" w:ascii="宋体" w:hAnsi="宋体"/>
                <w:color w:val="auto"/>
                <w:kern w:val="0"/>
                <w:lang w:val="en-US" w:eastAsia="zh-CN"/>
              </w:rPr>
              <w:t>项目危险废物和生产废水</w:t>
            </w:r>
            <w:r>
              <w:rPr>
                <w:rFonts w:hint="eastAsia" w:ascii="宋体" w:hAnsi="宋体"/>
                <w:color w:val="auto"/>
                <w:kern w:val="0"/>
              </w:rPr>
              <w:t>可能会出现泄露、渗漏等情况，可能对周边土壤造成污染，长时间泄露可能深入地下对地下水造成污染。</w:t>
            </w:r>
          </w:p>
          <w:p w14:paraId="546D0195">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综上，本项目可能对地下水、土壤造成污染主要是危废暂存间内的</w:t>
            </w:r>
            <w:r>
              <w:rPr>
                <w:rFonts w:hint="eastAsia" w:ascii="宋体" w:hAnsi="宋体"/>
                <w:color w:val="auto"/>
                <w:kern w:val="0"/>
                <w:lang w:val="en-US" w:eastAsia="zh-CN"/>
              </w:rPr>
              <w:t>贮存的危险物质以及项目生产废水</w:t>
            </w:r>
            <w:r>
              <w:rPr>
                <w:rFonts w:hint="eastAsia" w:ascii="宋体" w:hAnsi="宋体"/>
                <w:color w:val="auto"/>
                <w:kern w:val="0"/>
              </w:rPr>
              <w:t>。</w:t>
            </w:r>
          </w:p>
          <w:p w14:paraId="77E3474E">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b/>
                <w:bCs/>
                <w:color w:val="auto"/>
                <w:kern w:val="0"/>
              </w:rPr>
              <w:t>2</w:t>
            </w:r>
            <w:r>
              <w:rPr>
                <w:rFonts w:hint="eastAsia" w:ascii="宋体" w:hAnsi="宋体"/>
                <w:b/>
                <w:bCs/>
                <w:color w:val="auto"/>
                <w:kern w:val="0"/>
              </w:rPr>
              <w:t>、污染物类型和污染途径识别</w:t>
            </w:r>
          </w:p>
          <w:p w14:paraId="5E107F6E">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ascii="宋体" w:hAnsi="宋体"/>
                <w:b/>
                <w:bCs/>
                <w:color w:val="auto"/>
                <w:kern w:val="0"/>
              </w:rPr>
              <w:t>（</w:t>
            </w:r>
            <w:r>
              <w:rPr>
                <w:rFonts w:hint="eastAsia"/>
                <w:b/>
                <w:bCs/>
                <w:color w:val="auto"/>
                <w:kern w:val="0"/>
              </w:rPr>
              <w:t>1</w:t>
            </w:r>
            <w:r>
              <w:rPr>
                <w:rFonts w:hint="eastAsia" w:ascii="宋体" w:hAnsi="宋体"/>
                <w:b/>
                <w:bCs/>
                <w:color w:val="auto"/>
                <w:kern w:val="0"/>
              </w:rPr>
              <w:t>）土壤环境影响类型与影响途径识别</w:t>
            </w:r>
          </w:p>
          <w:p w14:paraId="0EC734B4">
            <w:pPr>
              <w:keepNext w:val="0"/>
              <w:keepLines w:val="0"/>
              <w:suppressLineNumbers w:val="0"/>
              <w:spacing w:before="0" w:beforeAutospacing="0" w:after="0" w:afterAutospacing="0"/>
              <w:ind w:left="0" w:right="0" w:firstLine="480" w:firstLineChars="200"/>
              <w:rPr>
                <w:rFonts w:hint="eastAsia" w:ascii="宋体" w:hAnsi="宋体"/>
                <w:color w:val="auto"/>
                <w:kern w:val="0"/>
              </w:rPr>
            </w:pPr>
            <w:r>
              <w:rPr>
                <w:rFonts w:hint="eastAsia" w:ascii="宋体" w:hAnsi="宋体"/>
                <w:color w:val="auto"/>
                <w:kern w:val="0"/>
              </w:rPr>
              <w:t>本项目对周边土壤环境影响的类型与影响途径见下表。</w:t>
            </w:r>
          </w:p>
          <w:p w14:paraId="34B18B4A">
            <w:pPr>
              <w:keepNext w:val="0"/>
              <w:keepLines w:val="0"/>
              <w:suppressLineNumbers w:val="0"/>
              <w:spacing w:before="0" w:beforeAutospacing="0" w:after="0" w:afterAutospacing="0"/>
              <w:ind w:left="0" w:right="0"/>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3</w:t>
            </w:r>
            <w:r>
              <w:rPr>
                <w:rFonts w:hint="eastAsia"/>
                <w:b/>
                <w:bCs/>
                <w:color w:val="auto"/>
                <w:kern w:val="0"/>
                <w:sz w:val="21"/>
                <w:szCs w:val="21"/>
              </w:rPr>
              <w:t xml:space="preserve"> </w:t>
            </w:r>
            <w:r>
              <w:rPr>
                <w:rFonts w:hint="eastAsia" w:ascii="宋体" w:hAnsi="宋体"/>
                <w:b/>
                <w:bCs/>
                <w:color w:val="auto"/>
                <w:kern w:val="0"/>
                <w:sz w:val="21"/>
                <w:szCs w:val="21"/>
              </w:rPr>
              <w:t>项目土壤、地下水环境影响类型与影响途径识别表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548"/>
              <w:gridCol w:w="1548"/>
              <w:gridCol w:w="1548"/>
              <w:gridCol w:w="1548"/>
            </w:tblGrid>
            <w:tr w14:paraId="72CD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vMerge w:val="restart"/>
                  <w:tcBorders>
                    <w:top w:val="single" w:color="auto" w:sz="4" w:space="0"/>
                    <w:left w:val="single" w:color="auto" w:sz="4" w:space="0"/>
                    <w:bottom w:val="single" w:color="auto" w:sz="4" w:space="0"/>
                    <w:right w:val="single" w:color="auto" w:sz="4" w:space="0"/>
                  </w:tcBorders>
                  <w:vAlign w:val="center"/>
                </w:tcPr>
                <w:p w14:paraId="1185E816">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时段</w:t>
                  </w:r>
                </w:p>
              </w:tc>
              <w:tc>
                <w:tcPr>
                  <w:tcW w:w="6216" w:type="dxa"/>
                  <w:gridSpan w:val="4"/>
                  <w:tcBorders>
                    <w:top w:val="single" w:color="auto" w:sz="4" w:space="0"/>
                    <w:left w:val="nil"/>
                    <w:bottom w:val="single" w:color="auto" w:sz="4" w:space="0"/>
                    <w:right w:val="single" w:color="auto" w:sz="4" w:space="0"/>
                  </w:tcBorders>
                  <w:vAlign w:val="center"/>
                </w:tcPr>
                <w:p w14:paraId="0C33181F">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污染影响型</w:t>
                  </w:r>
                </w:p>
              </w:tc>
            </w:tr>
            <w:tr w14:paraId="221F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0" w:type="dxa"/>
                  <w:vMerge w:val="continue"/>
                  <w:tcBorders>
                    <w:top w:val="single" w:color="auto" w:sz="4" w:space="0"/>
                    <w:left w:val="single" w:color="auto" w:sz="4" w:space="0"/>
                    <w:bottom w:val="single" w:color="auto" w:sz="4" w:space="0"/>
                    <w:right w:val="single" w:color="auto" w:sz="4" w:space="0"/>
                  </w:tcBorders>
                  <w:vAlign w:val="center"/>
                </w:tcPr>
                <w:p w14:paraId="44FE77BD">
                  <w:pPr>
                    <w:keepNext w:val="0"/>
                    <w:keepLines w:val="0"/>
                    <w:widowControl/>
                    <w:suppressLineNumbers w:val="0"/>
                    <w:spacing w:before="0" w:beforeAutospacing="0" w:after="0" w:afterAutospacing="0" w:line="240" w:lineRule="auto"/>
                    <w:ind w:left="0" w:right="0"/>
                    <w:contextualSpacing/>
                    <w:jc w:val="center"/>
                    <w:rPr>
                      <w:rFonts w:hint="default" w:ascii="MingLiU" w:hAnsi="宋体" w:eastAsia="MingLiU" w:cs="宋体"/>
                      <w:b/>
                      <w:bCs/>
                      <w:color w:val="auto"/>
                      <w:sz w:val="21"/>
                      <w:szCs w:val="21"/>
                    </w:rPr>
                  </w:pPr>
                </w:p>
              </w:tc>
              <w:tc>
                <w:tcPr>
                  <w:tcW w:w="1554" w:type="dxa"/>
                  <w:tcBorders>
                    <w:top w:val="single" w:color="auto" w:sz="4" w:space="0"/>
                    <w:left w:val="nil"/>
                    <w:bottom w:val="single" w:color="auto" w:sz="4" w:space="0"/>
                    <w:right w:val="single" w:color="auto" w:sz="4" w:space="0"/>
                  </w:tcBorders>
                  <w:vAlign w:val="center"/>
                </w:tcPr>
                <w:p w14:paraId="27ECDBC2">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大气沉降</w:t>
                  </w:r>
                </w:p>
              </w:tc>
              <w:tc>
                <w:tcPr>
                  <w:tcW w:w="1554" w:type="dxa"/>
                  <w:tcBorders>
                    <w:top w:val="single" w:color="auto" w:sz="4" w:space="0"/>
                    <w:left w:val="nil"/>
                    <w:bottom w:val="single" w:color="auto" w:sz="4" w:space="0"/>
                    <w:right w:val="single" w:color="auto" w:sz="4" w:space="0"/>
                  </w:tcBorders>
                  <w:vAlign w:val="center"/>
                </w:tcPr>
                <w:p w14:paraId="59285738">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地面漫流</w:t>
                  </w:r>
                </w:p>
              </w:tc>
              <w:tc>
                <w:tcPr>
                  <w:tcW w:w="1554" w:type="dxa"/>
                  <w:tcBorders>
                    <w:top w:val="single" w:color="auto" w:sz="4" w:space="0"/>
                    <w:left w:val="nil"/>
                    <w:bottom w:val="single" w:color="auto" w:sz="4" w:space="0"/>
                    <w:right w:val="single" w:color="auto" w:sz="4" w:space="0"/>
                  </w:tcBorders>
                  <w:vAlign w:val="center"/>
                </w:tcPr>
                <w:p w14:paraId="774B0E35">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垂直入渗</w:t>
                  </w:r>
                </w:p>
              </w:tc>
              <w:tc>
                <w:tcPr>
                  <w:tcW w:w="1554" w:type="dxa"/>
                  <w:tcBorders>
                    <w:top w:val="single" w:color="auto" w:sz="4" w:space="0"/>
                    <w:left w:val="nil"/>
                    <w:bottom w:val="single" w:color="auto" w:sz="4" w:space="0"/>
                    <w:right w:val="single" w:color="auto" w:sz="4" w:space="0"/>
                  </w:tcBorders>
                  <w:vAlign w:val="center"/>
                </w:tcPr>
                <w:p w14:paraId="14FD83AE">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其他</w:t>
                  </w:r>
                </w:p>
              </w:tc>
            </w:tr>
            <w:tr w14:paraId="561E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120D8B5A">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运营期</w:t>
                  </w:r>
                </w:p>
              </w:tc>
              <w:tc>
                <w:tcPr>
                  <w:tcW w:w="1554" w:type="dxa"/>
                  <w:tcBorders>
                    <w:top w:val="single" w:color="auto" w:sz="4" w:space="0"/>
                    <w:left w:val="nil"/>
                    <w:bottom w:val="single" w:color="auto" w:sz="4" w:space="0"/>
                    <w:right w:val="single" w:color="auto" w:sz="4" w:space="0"/>
                  </w:tcBorders>
                  <w:vAlign w:val="center"/>
                </w:tcPr>
                <w:p w14:paraId="36ECD271">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51514BC6">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7F709580">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0FA29CB5">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r>
          </w:tbl>
          <w:p w14:paraId="3D1375F2">
            <w:pPr>
              <w:keepNext w:val="0"/>
              <w:keepLines w:val="0"/>
              <w:suppressLineNumbers w:val="0"/>
              <w:spacing w:before="0" w:beforeAutospacing="0" w:after="0" w:afterAutospacing="0"/>
              <w:ind w:left="0" w:right="0" w:firstLine="482" w:firstLineChars="200"/>
              <w:rPr>
                <w:rFonts w:hint="default" w:ascii="MingLiU" w:eastAsia="MingLiU"/>
                <w:b/>
                <w:bCs/>
                <w:color w:val="auto"/>
              </w:rPr>
            </w:pPr>
            <w:r>
              <w:rPr>
                <w:rFonts w:hint="eastAsia" w:ascii="宋体" w:hAnsi="宋体"/>
                <w:b/>
                <w:bCs/>
                <w:color w:val="auto"/>
                <w:kern w:val="0"/>
              </w:rPr>
              <w:t>（</w:t>
            </w:r>
            <w:r>
              <w:rPr>
                <w:rFonts w:hint="eastAsia"/>
                <w:b/>
                <w:bCs/>
                <w:color w:val="auto"/>
                <w:kern w:val="0"/>
              </w:rPr>
              <w:t>2</w:t>
            </w:r>
            <w:r>
              <w:rPr>
                <w:rFonts w:hint="eastAsia" w:ascii="宋体" w:hAnsi="宋体"/>
                <w:b/>
                <w:bCs/>
                <w:color w:val="auto"/>
                <w:kern w:val="0"/>
              </w:rPr>
              <w:t>）土壤环境影响源及影响因子</w:t>
            </w:r>
          </w:p>
          <w:p w14:paraId="53641E56">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本项目对土壤、地下水环境的影响源及影响因子见下表。</w:t>
            </w:r>
          </w:p>
          <w:p w14:paraId="4C30EEB4">
            <w:pPr>
              <w:keepNext w:val="0"/>
              <w:keepLines w:val="0"/>
              <w:suppressLineNumbers w:val="0"/>
              <w:spacing w:before="0" w:beforeAutospacing="0" w:after="0" w:afterAutospacing="0"/>
              <w:ind w:left="0" w:right="0"/>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4</w:t>
            </w:r>
            <w:r>
              <w:rPr>
                <w:rFonts w:hint="eastAsia"/>
                <w:b/>
                <w:bCs/>
                <w:color w:val="auto"/>
                <w:kern w:val="0"/>
                <w:sz w:val="21"/>
                <w:szCs w:val="21"/>
              </w:rPr>
              <w:t xml:space="preserve">  </w:t>
            </w:r>
            <w:r>
              <w:rPr>
                <w:rFonts w:hint="eastAsia" w:ascii="宋体" w:hAnsi="宋体"/>
                <w:b/>
                <w:bCs/>
                <w:color w:val="auto"/>
                <w:kern w:val="0"/>
                <w:sz w:val="21"/>
                <w:szCs w:val="21"/>
              </w:rPr>
              <w:t>建设项目土壤、地下水环境影响源及影响因子识别表</w:t>
            </w:r>
          </w:p>
          <w:tbl>
            <w:tblPr>
              <w:tblStyle w:val="29"/>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376"/>
              <w:gridCol w:w="1113"/>
              <w:gridCol w:w="1586"/>
              <w:gridCol w:w="2632"/>
            </w:tblGrid>
            <w:tr w14:paraId="2240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3" w:type="dxa"/>
                  <w:tcBorders>
                    <w:top w:val="single" w:color="auto" w:sz="4" w:space="0"/>
                    <w:left w:val="single" w:color="auto" w:sz="4" w:space="0"/>
                    <w:bottom w:val="single" w:color="auto" w:sz="4" w:space="0"/>
                    <w:right w:val="single" w:color="auto" w:sz="4" w:space="0"/>
                  </w:tcBorders>
                  <w:vAlign w:val="center"/>
                </w:tcPr>
                <w:p w14:paraId="0119E4D9">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污染源</w:t>
                  </w:r>
                </w:p>
              </w:tc>
              <w:tc>
                <w:tcPr>
                  <w:tcW w:w="1376" w:type="dxa"/>
                  <w:tcBorders>
                    <w:top w:val="single" w:color="auto" w:sz="4" w:space="0"/>
                    <w:left w:val="nil"/>
                    <w:bottom w:val="single" w:color="auto" w:sz="4" w:space="0"/>
                    <w:right w:val="single" w:color="auto" w:sz="4" w:space="0"/>
                  </w:tcBorders>
                  <w:vAlign w:val="center"/>
                </w:tcPr>
                <w:p w14:paraId="47086C76">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工艺流程/节点</w:t>
                  </w:r>
                </w:p>
              </w:tc>
              <w:tc>
                <w:tcPr>
                  <w:tcW w:w="1113" w:type="dxa"/>
                  <w:tcBorders>
                    <w:top w:val="single" w:color="auto" w:sz="4" w:space="0"/>
                    <w:left w:val="nil"/>
                    <w:bottom w:val="single" w:color="auto" w:sz="4" w:space="0"/>
                    <w:right w:val="single" w:color="auto" w:sz="4" w:space="0"/>
                  </w:tcBorders>
                  <w:vAlign w:val="center"/>
                </w:tcPr>
                <w:p w14:paraId="34087FBB">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污染途径</w:t>
                  </w:r>
                </w:p>
              </w:tc>
              <w:tc>
                <w:tcPr>
                  <w:tcW w:w="1586" w:type="dxa"/>
                  <w:tcBorders>
                    <w:top w:val="single" w:color="auto" w:sz="4" w:space="0"/>
                    <w:left w:val="nil"/>
                    <w:bottom w:val="single" w:color="auto" w:sz="4" w:space="0"/>
                    <w:right w:val="single" w:color="auto" w:sz="4" w:space="0"/>
                  </w:tcBorders>
                  <w:vAlign w:val="center"/>
                </w:tcPr>
                <w:p w14:paraId="443134BF">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污染物</w:t>
                  </w:r>
                </w:p>
              </w:tc>
              <w:tc>
                <w:tcPr>
                  <w:tcW w:w="2632" w:type="dxa"/>
                  <w:tcBorders>
                    <w:top w:val="single" w:color="auto" w:sz="4" w:space="0"/>
                    <w:left w:val="nil"/>
                    <w:bottom w:val="single" w:color="auto" w:sz="4" w:space="0"/>
                    <w:right w:val="single" w:color="auto" w:sz="4" w:space="0"/>
                  </w:tcBorders>
                  <w:vAlign w:val="center"/>
                </w:tcPr>
                <w:p w14:paraId="398EB017">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备注</w:t>
                  </w:r>
                </w:p>
              </w:tc>
            </w:tr>
            <w:tr w14:paraId="53FD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73" w:type="dxa"/>
                  <w:vMerge w:val="restart"/>
                  <w:tcBorders>
                    <w:top w:val="single" w:color="auto" w:sz="4" w:space="0"/>
                    <w:left w:val="single" w:color="auto" w:sz="4" w:space="0"/>
                    <w:right w:val="single" w:color="auto" w:sz="4" w:space="0"/>
                  </w:tcBorders>
                  <w:vAlign w:val="center"/>
                </w:tcPr>
                <w:p w14:paraId="70DB5101">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危废暂存间</w:t>
                  </w:r>
                </w:p>
              </w:tc>
              <w:tc>
                <w:tcPr>
                  <w:tcW w:w="1376" w:type="dxa"/>
                  <w:vMerge w:val="restart"/>
                  <w:tcBorders>
                    <w:top w:val="single" w:color="auto" w:sz="4" w:space="0"/>
                    <w:left w:val="nil"/>
                    <w:right w:val="single" w:color="auto" w:sz="4" w:space="0"/>
                  </w:tcBorders>
                  <w:vAlign w:val="center"/>
                </w:tcPr>
                <w:p w14:paraId="4651958F">
                  <w:pPr>
                    <w:pStyle w:val="45"/>
                    <w:keepNext w:val="0"/>
                    <w:keepLines w:val="0"/>
                    <w:suppressLineNumbers w:val="0"/>
                    <w:spacing w:before="0" w:beforeAutospacing="0" w:after="0" w:afterAutospacing="0" w:line="240" w:lineRule="auto"/>
                    <w:ind w:left="0" w:right="0"/>
                    <w:contextualSpacing/>
                    <w:jc w:val="center"/>
                    <w:rPr>
                      <w:rFonts w:hint="default" w:ascii="MingLiU" w:eastAsia="宋体"/>
                      <w:bCs/>
                      <w:color w:val="auto"/>
                      <w:kern w:val="2"/>
                      <w:sz w:val="21"/>
                      <w:szCs w:val="21"/>
                      <w:lang w:val="en-US" w:eastAsia="zh-CN"/>
                    </w:rPr>
                  </w:pPr>
                  <w:r>
                    <w:rPr>
                      <w:rFonts w:hint="eastAsia" w:cs="Times New Roman"/>
                      <w:bCs/>
                      <w:color w:val="auto"/>
                      <w:sz w:val="21"/>
                      <w:szCs w:val="21"/>
                      <w:lang w:val="en-US" w:eastAsia="zh-CN"/>
                    </w:rPr>
                    <w:t>危废间暂存</w:t>
                  </w:r>
                </w:p>
              </w:tc>
              <w:tc>
                <w:tcPr>
                  <w:tcW w:w="1113" w:type="dxa"/>
                  <w:vMerge w:val="restart"/>
                  <w:tcBorders>
                    <w:top w:val="single" w:color="auto" w:sz="4" w:space="0"/>
                    <w:left w:val="nil"/>
                    <w:right w:val="single" w:color="auto" w:sz="4" w:space="0"/>
                  </w:tcBorders>
                  <w:vAlign w:val="center"/>
                </w:tcPr>
                <w:p w14:paraId="25CE34BF">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垂直入渗</w:t>
                  </w:r>
                </w:p>
              </w:tc>
              <w:tc>
                <w:tcPr>
                  <w:tcW w:w="1586" w:type="dxa"/>
                  <w:tcBorders>
                    <w:top w:val="single" w:color="auto" w:sz="4" w:space="0"/>
                    <w:left w:val="nil"/>
                    <w:bottom w:val="single" w:color="auto" w:sz="4" w:space="0"/>
                    <w:right w:val="single" w:color="auto" w:sz="4" w:space="0"/>
                  </w:tcBorders>
                  <w:vAlign w:val="center"/>
                </w:tcPr>
                <w:p w14:paraId="58D24F4A">
                  <w:pPr>
                    <w:pStyle w:val="45"/>
                    <w:keepNext w:val="0"/>
                    <w:keepLines w:val="0"/>
                    <w:suppressLineNumbers w:val="0"/>
                    <w:spacing w:before="0" w:beforeAutospacing="0" w:after="0" w:afterAutospacing="0" w:line="240" w:lineRule="auto"/>
                    <w:ind w:left="0" w:right="0"/>
                    <w:contextualSpacing/>
                    <w:jc w:val="center"/>
                    <w:rPr>
                      <w:rFonts w:hint="eastAsia" w:ascii="MingLiU" w:eastAsia="宋体"/>
                      <w:bCs/>
                      <w:color w:val="auto"/>
                      <w:kern w:val="2"/>
                      <w:sz w:val="21"/>
                      <w:szCs w:val="21"/>
                      <w:lang w:eastAsia="zh-CN"/>
                    </w:rPr>
                  </w:pPr>
                  <w:r>
                    <w:rPr>
                      <w:rFonts w:hint="eastAsia" w:eastAsia="宋体" w:cs="Times New Roman"/>
                      <w:bCs/>
                      <w:color w:val="auto"/>
                      <w:sz w:val="21"/>
                      <w:szCs w:val="21"/>
                      <w:lang w:val="en-US" w:eastAsia="zh-CN"/>
                    </w:rPr>
                    <w:t>柴油</w:t>
                  </w:r>
                </w:p>
              </w:tc>
              <w:tc>
                <w:tcPr>
                  <w:tcW w:w="2632" w:type="dxa"/>
                  <w:vMerge w:val="restart"/>
                  <w:tcBorders>
                    <w:top w:val="single" w:color="auto" w:sz="4" w:space="0"/>
                    <w:left w:val="nil"/>
                    <w:right w:val="single" w:color="auto" w:sz="4" w:space="0"/>
                  </w:tcBorders>
                  <w:vAlign w:val="center"/>
                </w:tcPr>
                <w:p w14:paraId="6F4FA164">
                  <w:pPr>
                    <w:pStyle w:val="45"/>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lang w:val="en-US" w:eastAsia="zh-CN"/>
                    </w:rPr>
                    <w:t>危险废物</w:t>
                  </w:r>
                  <w:r>
                    <w:rPr>
                      <w:rFonts w:hint="eastAsia" w:cs="Times New Roman"/>
                      <w:bCs/>
                      <w:color w:val="auto"/>
                      <w:sz w:val="21"/>
                      <w:szCs w:val="21"/>
                    </w:rPr>
                    <w:t>收集容器损坏，</w:t>
                  </w:r>
                  <w:r>
                    <w:rPr>
                      <w:rFonts w:hint="eastAsia" w:cs="Times New Roman"/>
                      <w:bCs/>
                      <w:color w:val="auto"/>
                      <w:sz w:val="21"/>
                      <w:szCs w:val="21"/>
                      <w:lang w:val="en-US" w:eastAsia="zh-CN"/>
                    </w:rPr>
                    <w:t>污染物</w:t>
                  </w:r>
                  <w:r>
                    <w:rPr>
                      <w:rFonts w:hint="eastAsia" w:cs="Times New Roman"/>
                      <w:bCs/>
                      <w:color w:val="auto"/>
                      <w:sz w:val="21"/>
                      <w:szCs w:val="21"/>
                    </w:rPr>
                    <w:t>泄露深入土壤造成污染。</w:t>
                  </w:r>
                </w:p>
              </w:tc>
            </w:tr>
            <w:tr w14:paraId="4A3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continue"/>
                  <w:tcBorders>
                    <w:left w:val="single" w:color="auto" w:sz="4" w:space="0"/>
                    <w:right w:val="single" w:color="auto" w:sz="4" w:space="0"/>
                  </w:tcBorders>
                  <w:vAlign w:val="center"/>
                </w:tcPr>
                <w:p w14:paraId="33B45532">
                  <w:pPr>
                    <w:pStyle w:val="45"/>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376" w:type="dxa"/>
                  <w:vMerge w:val="continue"/>
                  <w:tcBorders>
                    <w:left w:val="nil"/>
                    <w:right w:val="single" w:color="auto" w:sz="4" w:space="0"/>
                  </w:tcBorders>
                  <w:vAlign w:val="center"/>
                </w:tcPr>
                <w:p w14:paraId="4E49AD04">
                  <w:pPr>
                    <w:pStyle w:val="45"/>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113" w:type="dxa"/>
                  <w:vMerge w:val="continue"/>
                  <w:tcBorders>
                    <w:left w:val="nil"/>
                    <w:right w:val="single" w:color="auto" w:sz="4" w:space="0"/>
                  </w:tcBorders>
                  <w:vAlign w:val="center"/>
                </w:tcPr>
                <w:p w14:paraId="4D961EF2">
                  <w:pPr>
                    <w:pStyle w:val="45"/>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586" w:type="dxa"/>
                  <w:tcBorders>
                    <w:top w:val="single" w:color="auto" w:sz="4" w:space="0"/>
                    <w:left w:val="nil"/>
                    <w:bottom w:val="single" w:color="auto" w:sz="4" w:space="0"/>
                    <w:right w:val="single" w:color="auto" w:sz="4" w:space="0"/>
                  </w:tcBorders>
                  <w:vAlign w:val="center"/>
                </w:tcPr>
                <w:p w14:paraId="116038A0">
                  <w:pPr>
                    <w:pStyle w:val="45"/>
                    <w:keepNext w:val="0"/>
                    <w:keepLines w:val="0"/>
                    <w:suppressLineNumbers w:val="0"/>
                    <w:spacing w:before="0" w:beforeAutospacing="0" w:after="0" w:afterAutospacing="0" w:line="240" w:lineRule="auto"/>
                    <w:ind w:left="0" w:right="0"/>
                    <w:contextualSpacing/>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污水处理污泥、隔油沉淀池浮油</w:t>
                  </w:r>
                </w:p>
              </w:tc>
              <w:tc>
                <w:tcPr>
                  <w:tcW w:w="2632" w:type="dxa"/>
                  <w:vMerge w:val="continue"/>
                  <w:tcBorders>
                    <w:left w:val="nil"/>
                    <w:right w:val="single" w:color="auto" w:sz="4" w:space="0"/>
                  </w:tcBorders>
                  <w:vAlign w:val="center"/>
                </w:tcPr>
                <w:p w14:paraId="7844AF86">
                  <w:pPr>
                    <w:pStyle w:val="45"/>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r>
            <w:tr w14:paraId="77DE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73" w:type="dxa"/>
                  <w:tcBorders>
                    <w:left w:val="single" w:color="auto" w:sz="4" w:space="0"/>
                    <w:right w:val="single" w:color="auto" w:sz="4" w:space="0"/>
                  </w:tcBorders>
                  <w:vAlign w:val="center"/>
                </w:tcPr>
                <w:p w14:paraId="708C023C">
                  <w:pPr>
                    <w:pStyle w:val="45"/>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隔油沉淀池、一体化污水处理设施</w:t>
                  </w:r>
                </w:p>
              </w:tc>
              <w:tc>
                <w:tcPr>
                  <w:tcW w:w="1376" w:type="dxa"/>
                  <w:tcBorders>
                    <w:left w:val="nil"/>
                    <w:right w:val="single" w:color="auto" w:sz="4" w:space="0"/>
                  </w:tcBorders>
                  <w:vAlign w:val="center"/>
                </w:tcPr>
                <w:p w14:paraId="07225EAF">
                  <w:pPr>
                    <w:pStyle w:val="45"/>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生产废水收集处理</w:t>
                  </w:r>
                </w:p>
              </w:tc>
              <w:tc>
                <w:tcPr>
                  <w:tcW w:w="1113" w:type="dxa"/>
                  <w:tcBorders>
                    <w:left w:val="nil"/>
                    <w:right w:val="single" w:color="auto" w:sz="4" w:space="0"/>
                  </w:tcBorders>
                  <w:vAlign w:val="center"/>
                </w:tcPr>
                <w:p w14:paraId="73D9B26C">
                  <w:pPr>
                    <w:pStyle w:val="45"/>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r>
                    <w:rPr>
                      <w:rFonts w:hint="eastAsia" w:cs="Times New Roman"/>
                      <w:bCs/>
                      <w:color w:val="auto"/>
                      <w:sz w:val="21"/>
                      <w:szCs w:val="21"/>
                    </w:rPr>
                    <w:t>垂直入渗</w:t>
                  </w:r>
                </w:p>
              </w:tc>
              <w:tc>
                <w:tcPr>
                  <w:tcW w:w="1586" w:type="dxa"/>
                  <w:tcBorders>
                    <w:top w:val="single" w:color="auto" w:sz="4" w:space="0"/>
                    <w:left w:val="nil"/>
                    <w:bottom w:val="single" w:color="auto" w:sz="4" w:space="0"/>
                    <w:right w:val="single" w:color="auto" w:sz="4" w:space="0"/>
                  </w:tcBorders>
                  <w:vAlign w:val="center"/>
                </w:tcPr>
                <w:p w14:paraId="3065F9C7">
                  <w:pPr>
                    <w:pStyle w:val="45"/>
                    <w:keepNext w:val="0"/>
                    <w:keepLines w:val="0"/>
                    <w:suppressLineNumbers w:val="0"/>
                    <w:spacing w:before="0" w:beforeAutospacing="0" w:after="0" w:afterAutospacing="0" w:line="240" w:lineRule="auto"/>
                    <w:ind w:left="0" w:right="0"/>
                    <w:contextualSpacing/>
                    <w:jc w:val="center"/>
                    <w:rPr>
                      <w:rFonts w:hint="default" w:cs="Times New Roman"/>
                      <w:bCs/>
                      <w:color w:val="auto"/>
                      <w:sz w:val="21"/>
                      <w:szCs w:val="21"/>
                      <w:lang w:val="en-US" w:eastAsia="zh-CN"/>
                    </w:rPr>
                  </w:pPr>
                  <w:r>
                    <w:rPr>
                      <w:rFonts w:hint="eastAsia" w:cs="Times New Roman"/>
                      <w:bCs/>
                      <w:color w:val="auto"/>
                      <w:sz w:val="21"/>
                      <w:szCs w:val="21"/>
                      <w:lang w:val="en-US" w:eastAsia="zh-CN"/>
                    </w:rPr>
                    <w:t>含油废水</w:t>
                  </w:r>
                </w:p>
              </w:tc>
              <w:tc>
                <w:tcPr>
                  <w:tcW w:w="2632" w:type="dxa"/>
                  <w:tcBorders>
                    <w:left w:val="nil"/>
                    <w:right w:val="single" w:color="auto" w:sz="4" w:space="0"/>
                  </w:tcBorders>
                  <w:vAlign w:val="center"/>
                </w:tcPr>
                <w:p w14:paraId="18EEE5FD">
                  <w:pPr>
                    <w:pStyle w:val="45"/>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含油废水、酸碱废水发生泄漏、渗漏，废水进入土壤造成污染。</w:t>
                  </w:r>
                </w:p>
              </w:tc>
            </w:tr>
          </w:tbl>
          <w:p w14:paraId="1E400D5B">
            <w:pPr>
              <w:keepNext w:val="0"/>
              <w:keepLines w:val="0"/>
              <w:suppressLineNumbers w:val="0"/>
              <w:spacing w:before="0" w:beforeAutospacing="0" w:after="0" w:afterAutospacing="0"/>
              <w:ind w:left="0" w:right="0" w:firstLine="482" w:firstLineChars="200"/>
              <w:rPr>
                <w:rFonts w:hint="default" w:ascii="MingLiU" w:eastAsia="MingLiU"/>
                <w:b/>
                <w:bCs/>
                <w:color w:val="auto"/>
              </w:rPr>
            </w:pPr>
            <w:r>
              <w:rPr>
                <w:rFonts w:hint="eastAsia"/>
                <w:b/>
                <w:bCs/>
                <w:color w:val="auto"/>
                <w:kern w:val="0"/>
              </w:rPr>
              <w:t>3</w:t>
            </w:r>
            <w:r>
              <w:rPr>
                <w:rFonts w:hint="eastAsia" w:ascii="宋体" w:hAnsi="宋体"/>
                <w:b/>
                <w:bCs/>
                <w:color w:val="auto"/>
                <w:kern w:val="0"/>
              </w:rPr>
              <w:t>、分区防控措施</w:t>
            </w:r>
          </w:p>
          <w:p w14:paraId="526D85AF">
            <w:pPr>
              <w:tabs>
                <w:tab w:val="left" w:pos="540"/>
                <w:tab w:val="left" w:pos="851"/>
                <w:tab w:val="left" w:pos="994"/>
                <w:tab w:val="left" w:pos="1260"/>
                <w:tab w:val="left" w:pos="3108"/>
                <w:tab w:val="left" w:pos="3150"/>
              </w:tabs>
              <w:spacing w:line="360" w:lineRule="auto"/>
              <w:ind w:firstLine="480" w:firstLineChars="200"/>
              <w:rPr>
                <w:color w:val="auto"/>
                <w:sz w:val="24"/>
              </w:rPr>
            </w:pPr>
            <w:r>
              <w:rPr>
                <w:rFonts w:hint="default" w:ascii="宋体" w:hAnsi="宋体"/>
                <w:color w:val="auto"/>
                <w:kern w:val="0"/>
              </w:rPr>
              <w:t>根据以上分析，项目存在土壤、地下水污染源的区域主要为危废暂存间</w:t>
            </w:r>
            <w:r>
              <w:rPr>
                <w:rFonts w:hint="eastAsia" w:ascii="宋体" w:hAnsi="宋体"/>
                <w:color w:val="auto"/>
                <w:kern w:val="0"/>
                <w:lang w:eastAsia="zh-CN"/>
              </w:rPr>
              <w:t>、</w:t>
            </w:r>
            <w:r>
              <w:rPr>
                <w:rFonts w:hint="eastAsia" w:ascii="宋体" w:hAnsi="宋体"/>
                <w:color w:val="auto"/>
                <w:kern w:val="0"/>
                <w:lang w:val="en-US" w:eastAsia="zh-CN"/>
              </w:rPr>
              <w:t>隔油沉淀池、一体化污水处理设施</w:t>
            </w:r>
            <w:r>
              <w:rPr>
                <w:rFonts w:hint="default" w:ascii="宋体" w:hAnsi="宋体"/>
                <w:color w:val="auto"/>
                <w:kern w:val="0"/>
              </w:rPr>
              <w:t>，因此，评价提出应对危废暂存间</w:t>
            </w:r>
            <w:r>
              <w:rPr>
                <w:rFonts w:hint="eastAsia" w:ascii="宋体" w:hAnsi="宋体"/>
                <w:color w:val="auto"/>
                <w:kern w:val="0"/>
                <w:lang w:val="en-US" w:eastAsia="zh-CN"/>
              </w:rPr>
              <w:t>、隔油沉淀池、一体化污水处理设施</w:t>
            </w:r>
            <w:r>
              <w:rPr>
                <w:rFonts w:hint="default" w:ascii="宋体" w:hAnsi="宋体"/>
                <w:color w:val="auto"/>
                <w:kern w:val="0"/>
              </w:rPr>
              <w:t>进行重点防渗，危废暂存间按照《危险废物贮存污染控制标准》（</w:t>
            </w:r>
            <w:r>
              <w:rPr>
                <w:rFonts w:hint="default"/>
                <w:color w:val="auto"/>
                <w:kern w:val="0"/>
              </w:rPr>
              <w:t>GB18597-2023</w:t>
            </w:r>
            <w:r>
              <w:rPr>
                <w:rFonts w:hint="default" w:ascii="宋体" w:hAnsi="宋体"/>
                <w:color w:val="auto"/>
                <w:kern w:val="0"/>
              </w:rPr>
              <w:t>）中要求，对地面和裙角进行防渗建设，防渗系数</w:t>
            </w:r>
            <w:r>
              <w:rPr>
                <w:rFonts w:hint="default"/>
                <w:color w:val="auto"/>
                <w:kern w:val="0"/>
              </w:rPr>
              <w:t>≤10</w:t>
            </w:r>
            <w:r>
              <w:rPr>
                <w:rFonts w:hint="default"/>
                <w:color w:val="auto"/>
                <w:kern w:val="0"/>
                <w:vertAlign w:val="superscript"/>
              </w:rPr>
              <w:t>-10</w:t>
            </w:r>
            <w:r>
              <w:rPr>
                <w:rFonts w:hint="default"/>
                <w:color w:val="auto"/>
                <w:kern w:val="0"/>
              </w:rPr>
              <w:t>cm/s</w:t>
            </w:r>
            <w:r>
              <w:rPr>
                <w:rFonts w:hint="default" w:ascii="宋体" w:hAnsi="宋体"/>
                <w:color w:val="auto"/>
                <w:kern w:val="0"/>
              </w:rPr>
              <w:t>。清洗车间进行一般防渗处理</w:t>
            </w:r>
            <w:r>
              <w:rPr>
                <w:rFonts w:hint="eastAsia" w:ascii="宋体" w:hAnsi="宋体"/>
                <w:color w:val="auto"/>
                <w:kern w:val="0"/>
                <w:lang w:eastAsia="zh-CN"/>
              </w:rPr>
              <w:t>，</w:t>
            </w:r>
            <w:r>
              <w:rPr>
                <w:rFonts w:hint="default" w:ascii="宋体" w:hAnsi="宋体"/>
                <w:color w:val="auto"/>
                <w:kern w:val="0"/>
              </w:rPr>
              <w:t>其余办公生活区、</w:t>
            </w:r>
            <w:r>
              <w:rPr>
                <w:rFonts w:hint="eastAsia" w:ascii="宋体" w:hAnsi="宋体"/>
                <w:color w:val="auto"/>
                <w:kern w:val="0"/>
                <w:lang w:val="en-US" w:eastAsia="zh-CN"/>
              </w:rPr>
              <w:t>停车场、</w:t>
            </w:r>
            <w:r>
              <w:rPr>
                <w:rFonts w:hint="default" w:ascii="宋体" w:hAnsi="宋体"/>
                <w:color w:val="auto"/>
                <w:kern w:val="0"/>
              </w:rPr>
              <w:t>仓库等进行硬化处理。</w:t>
            </w:r>
            <w:r>
              <w:rPr>
                <w:color w:val="auto"/>
                <w:sz w:val="24"/>
              </w:rPr>
              <w:t>具体如下。</w:t>
            </w:r>
          </w:p>
          <w:p w14:paraId="523BDB4E">
            <w:pPr>
              <w:pStyle w:val="11"/>
              <w:keepNext w:val="0"/>
              <w:keepLines w:val="0"/>
              <w:pageBreakBefore w:val="0"/>
              <w:widowControl w:val="0"/>
              <w:numPr>
                <w:ilvl w:val="0"/>
                <w:numId w:val="0"/>
              </w:numPr>
              <w:kinsoku/>
              <w:wordWrap/>
              <w:overflowPunct/>
              <w:topLinePunct w:val="0"/>
              <w:bidi w:val="0"/>
              <w:adjustRightIn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重点防渗区：</w:t>
            </w:r>
            <w:r>
              <w:rPr>
                <w:rFonts w:hint="default" w:ascii="Times New Roman" w:hAnsi="Times New Roman" w:eastAsia="宋体" w:cs="Times New Roman"/>
                <w:color w:val="auto"/>
                <w:sz w:val="24"/>
                <w:szCs w:val="24"/>
                <w:lang w:val="en-US" w:eastAsia="zh-CN"/>
              </w:rPr>
              <w:t>包括危废暂存间、</w:t>
            </w:r>
            <w:r>
              <w:rPr>
                <w:rFonts w:hint="eastAsia" w:eastAsia="宋体" w:cs="Times New Roman"/>
                <w:color w:val="auto"/>
                <w:sz w:val="24"/>
                <w:szCs w:val="24"/>
                <w:lang w:val="en-US" w:eastAsia="zh-CN"/>
              </w:rPr>
              <w:t>隔油</w:t>
            </w:r>
            <w:r>
              <w:rPr>
                <w:rFonts w:hint="default" w:ascii="Times New Roman" w:hAnsi="Times New Roman" w:eastAsia="宋体" w:cs="Times New Roman"/>
                <w:color w:val="auto"/>
                <w:sz w:val="24"/>
                <w:szCs w:val="24"/>
                <w:lang w:val="en-US" w:eastAsia="zh-CN"/>
              </w:rPr>
              <w:t>沉淀池、一体化污水处理设施。</w:t>
            </w:r>
            <w:r>
              <w:rPr>
                <w:rFonts w:hint="default" w:ascii="Times New Roman" w:hAnsi="Times New Roman" w:eastAsia="宋体" w:cs="Times New Roman"/>
                <w:color w:val="auto"/>
                <w:sz w:val="24"/>
                <w:szCs w:val="24"/>
                <w:highlight w:val="none"/>
              </w:rPr>
              <w:t>根据《环境影响评价技术导则地下水环境》（HJ610-2016）表7，“重点防渗区”的防渗技术要满足以下要求：等效黏土防渗层Mb≥6.0m，K≤1×10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cm/s；项目</w:t>
            </w:r>
            <w:r>
              <w:rPr>
                <w:rFonts w:hint="eastAsia" w:eastAsia="宋体" w:cs="Times New Roman"/>
                <w:color w:val="auto"/>
                <w:sz w:val="24"/>
                <w:szCs w:val="24"/>
                <w:highlight w:val="none"/>
                <w:lang w:val="en-US" w:eastAsia="zh-CN"/>
              </w:rPr>
              <w:t>隔油</w:t>
            </w:r>
            <w:r>
              <w:rPr>
                <w:rFonts w:hint="default" w:ascii="Times New Roman" w:hAnsi="Times New Roman" w:eastAsia="宋体" w:cs="Times New Roman"/>
                <w:color w:val="auto"/>
                <w:sz w:val="24"/>
                <w:szCs w:val="24"/>
                <w:highlight w:val="none"/>
                <w:lang w:val="en-US" w:eastAsia="zh-CN"/>
              </w:rPr>
              <w:t>沉淀池和一体化污水处理设施</w:t>
            </w:r>
            <w:r>
              <w:rPr>
                <w:rFonts w:hint="default" w:ascii="Times New Roman" w:hAnsi="Times New Roman" w:eastAsia="宋体" w:cs="Times New Roman"/>
                <w:color w:val="auto"/>
                <w:sz w:val="24"/>
                <w:szCs w:val="24"/>
                <w:highlight w:val="none"/>
              </w:rPr>
              <w:t>采用抗渗混凝土+环氧树脂，</w:t>
            </w:r>
            <w:r>
              <w:rPr>
                <w:rFonts w:hint="default" w:ascii="Times New Roman" w:hAnsi="Times New Roman" w:eastAsia="宋体" w:cs="Times New Roman"/>
                <w:color w:val="auto"/>
                <w:sz w:val="24"/>
                <w:szCs w:val="24"/>
                <w:vertAlign w:val="baseline"/>
                <w:lang w:val="en-US" w:eastAsia="zh-CN"/>
              </w:rPr>
              <w:t>危废暂存间按《危险废物贮存污染物控制标准》（GB18597-2023），地面和四周墙裙脚采用“抗渗混凝土+环氧树脂”进行重点防渗处理，渗透系数≤10</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vertAlign w:val="baseline"/>
                <w:lang w:val="en-US" w:eastAsia="zh-CN"/>
              </w:rPr>
              <w:t>cm/s。</w:t>
            </w:r>
          </w:p>
          <w:p w14:paraId="6C547A5D">
            <w:pPr>
              <w:pStyle w:val="48"/>
              <w:keepNext w:val="0"/>
              <w:keepLines w:val="0"/>
              <w:pageBreakBefore w:val="0"/>
              <w:widowControl w:val="0"/>
              <w:kinsoku/>
              <w:wordWrap/>
              <w:overflowPunct/>
              <w:topLinePunct w:val="0"/>
              <w:autoSpaceDE w:val="0"/>
              <w:autoSpaceDN w:val="0"/>
              <w:bidi w:val="0"/>
              <w:adjustRightInd w:val="0"/>
              <w:spacing w:before="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（2）一般防渗区：</w:t>
            </w:r>
            <w:r>
              <w:rPr>
                <w:rFonts w:hint="default" w:ascii="Times New Roman" w:hAnsi="Times New Roman" w:eastAsia="宋体" w:cs="Times New Roman"/>
                <w:color w:val="auto"/>
                <w:kern w:val="0"/>
                <w:sz w:val="24"/>
                <w:szCs w:val="24"/>
                <w:lang w:val="en-US" w:eastAsia="zh-CN"/>
              </w:rPr>
              <w:t>清洗车间</w:t>
            </w:r>
            <w:r>
              <w:rPr>
                <w:rFonts w:hint="default" w:ascii="Times New Roman" w:hAnsi="Times New Roman" w:eastAsia="宋体" w:cs="Times New Roman"/>
                <w:color w:val="auto"/>
                <w:sz w:val="24"/>
                <w:szCs w:val="24"/>
              </w:rPr>
              <w:t>采用20cm厚的</w:t>
            </w:r>
            <w:r>
              <w:rPr>
                <w:rFonts w:hint="eastAsia" w:ascii="Times New Roman" w:hAnsi="Times New Roman" w:cs="Times New Roman"/>
                <w:color w:val="auto"/>
                <w:sz w:val="24"/>
                <w:szCs w:val="24"/>
                <w:lang w:val="en-US" w:eastAsia="zh-CN"/>
              </w:rPr>
              <w:t>抗渗</w:t>
            </w:r>
            <w:r>
              <w:rPr>
                <w:rFonts w:hint="default" w:ascii="Times New Roman" w:hAnsi="Times New Roman" w:eastAsia="宋体" w:cs="Times New Roman"/>
                <w:color w:val="auto"/>
                <w:sz w:val="24"/>
                <w:szCs w:val="24"/>
              </w:rPr>
              <w:t>混凝土硬化防渗，防渗系数K≤1x10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p>
          <w:p w14:paraId="7472BA61">
            <w:pPr>
              <w:pStyle w:val="48"/>
              <w:keepNext w:val="0"/>
              <w:keepLines w:val="0"/>
              <w:pageBreakBefore w:val="0"/>
              <w:widowControl w:val="0"/>
              <w:kinsoku/>
              <w:wordWrap/>
              <w:overflowPunct/>
              <w:topLinePunct w:val="0"/>
              <w:autoSpaceDE w:val="0"/>
              <w:autoSpaceDN w:val="0"/>
              <w:bidi w:val="0"/>
              <w:adjustRightInd w:val="0"/>
              <w:spacing w:before="0" w:line="360" w:lineRule="auto"/>
              <w:ind w:firstLine="480" w:firstLineChars="200"/>
              <w:jc w:val="both"/>
              <w:rPr>
                <w:rFonts w:hint="default" w:ascii="Times New Roman" w:hAnsi="Times New Roman" w:cs="宋体"/>
                <w:bCs/>
                <w:color w:val="auto"/>
                <w:sz w:val="24"/>
                <w:szCs w:val="24"/>
                <w:highlight w:val="no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简单防渗区：</w:t>
            </w:r>
            <w:r>
              <w:rPr>
                <w:rFonts w:hint="default" w:ascii="Times New Roman" w:hAnsi="Times New Roman" w:eastAsia="宋体" w:cs="Times New Roman"/>
                <w:bCs/>
                <w:color w:val="auto"/>
                <w:sz w:val="24"/>
                <w:szCs w:val="24"/>
                <w:highlight w:val="none"/>
              </w:rPr>
              <w:t>其余</w:t>
            </w:r>
            <w:r>
              <w:rPr>
                <w:rFonts w:hint="default" w:ascii="Times New Roman" w:hAnsi="Times New Roman" w:eastAsia="宋体" w:cs="Times New Roman"/>
                <w:bCs/>
                <w:color w:val="auto"/>
                <w:sz w:val="24"/>
                <w:szCs w:val="24"/>
                <w:highlight w:val="none"/>
                <w:lang w:val="en-US" w:eastAsia="zh-CN"/>
              </w:rPr>
              <w:t>办公生活区、停车场等</w:t>
            </w:r>
            <w:r>
              <w:rPr>
                <w:rFonts w:hint="default" w:ascii="Times New Roman" w:hAnsi="Times New Roman" w:eastAsia="宋体" w:cs="Times New Roman"/>
                <w:bCs/>
                <w:color w:val="auto"/>
                <w:sz w:val="24"/>
                <w:szCs w:val="24"/>
                <w:highlight w:val="none"/>
              </w:rPr>
              <w:t>进行硬化处理</w:t>
            </w:r>
            <w:r>
              <w:rPr>
                <w:rFonts w:hint="eastAsia" w:ascii="Times New Roman" w:hAnsi="Times New Roman" w:cs="宋体"/>
                <w:bCs/>
                <w:color w:val="auto"/>
                <w:sz w:val="24"/>
                <w:szCs w:val="24"/>
                <w:highlight w:val="none"/>
              </w:rPr>
              <w:t>。</w:t>
            </w:r>
            <w:r>
              <w:rPr>
                <w:rFonts w:hint="default" w:ascii="Times New Roman" w:hAnsi="Times New Roman" w:cs="宋体"/>
                <w:bCs/>
                <w:color w:val="auto"/>
                <w:sz w:val="24"/>
                <w:szCs w:val="24"/>
                <w:highlight w:val="none"/>
                <w:lang w:val="en-US" w:eastAsia="zh-CN"/>
              </w:rPr>
              <w:t>建设单位通过加强危险废物日常管理、强化防渗措施，可以避免项目运营期对地下水、土壤环境产生不良影响。</w:t>
            </w:r>
          </w:p>
          <w:p w14:paraId="720C1634">
            <w:pPr>
              <w:keepNext w:val="0"/>
              <w:keepLines w:val="0"/>
              <w:suppressLineNumbers w:val="0"/>
              <w:spacing w:before="0" w:beforeAutospacing="0" w:after="0" w:afterAutospacing="0"/>
              <w:ind w:left="0" w:right="0" w:firstLine="482" w:firstLineChars="200"/>
              <w:rPr>
                <w:rFonts w:hint="default"/>
                <w:b/>
                <w:bCs/>
                <w:color w:val="auto"/>
              </w:rPr>
            </w:pPr>
            <w:r>
              <w:rPr>
                <w:rFonts w:hint="eastAsia"/>
                <w:b/>
                <w:bCs/>
                <w:color w:val="auto"/>
                <w:kern w:val="0"/>
              </w:rPr>
              <w:t>4</w:t>
            </w:r>
            <w:r>
              <w:rPr>
                <w:rFonts w:hint="eastAsia" w:ascii="宋体" w:hAnsi="宋体"/>
                <w:b/>
                <w:bCs/>
                <w:color w:val="auto"/>
                <w:kern w:val="0"/>
              </w:rPr>
              <w:t>、</w:t>
            </w:r>
            <w:r>
              <w:rPr>
                <w:rFonts w:hint="eastAsia" w:ascii="宋体" w:hAnsi="宋体"/>
                <w:b/>
                <w:bCs/>
                <w:color w:val="auto"/>
                <w:kern w:val="0"/>
                <w:highlight w:val="none"/>
              </w:rPr>
              <w:t>跟踪监测</w:t>
            </w:r>
          </w:p>
          <w:p w14:paraId="41227DFB">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根据上述分析</w:t>
            </w:r>
            <w:r>
              <w:rPr>
                <w:rFonts w:hint="eastAsia" w:ascii="宋体" w:hAnsi="宋体"/>
                <w:color w:val="auto"/>
                <w:kern w:val="0"/>
                <w:lang w:eastAsia="zh-CN"/>
              </w:rPr>
              <w:t>，</w:t>
            </w:r>
            <w:r>
              <w:rPr>
                <w:rFonts w:hint="eastAsia" w:ascii="宋体" w:hAnsi="宋体"/>
                <w:color w:val="auto"/>
                <w:kern w:val="0"/>
              </w:rPr>
              <w:t>正常工况下项目无地下水、土壤污染源，仅在事故状态下可能存在影响，但本项目危险废物暂存量较小，建设单位通过加强危险废物日常管理、强化防渗措施，可以避免项目运营期对地下水、土壤环境产生不良影响，故不制定跟踪监测计划。</w:t>
            </w:r>
          </w:p>
          <w:p w14:paraId="093DCDA5">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六、生态环境影响分析</w:t>
            </w:r>
          </w:p>
          <w:p w14:paraId="768C4813">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本项目位于工业园区内，在原有停车场范围内进行建设，场地</w:t>
            </w:r>
            <w:r>
              <w:rPr>
                <w:rFonts w:hint="eastAsia"/>
                <w:color w:val="auto"/>
                <w:kern w:val="0"/>
              </w:rPr>
              <w:t>内已无天然植被，周边</w:t>
            </w:r>
            <w:r>
              <w:rPr>
                <w:rFonts w:hint="eastAsia"/>
                <w:color w:val="auto"/>
                <w:kern w:val="0"/>
                <w:lang w:val="en-US" w:eastAsia="zh-CN"/>
              </w:rPr>
              <w:t>企业</w:t>
            </w:r>
            <w:r>
              <w:rPr>
                <w:rFonts w:hint="eastAsia"/>
                <w:color w:val="auto"/>
                <w:kern w:val="0"/>
              </w:rPr>
              <w:t>主要为</w:t>
            </w:r>
            <w:r>
              <w:rPr>
                <w:rFonts w:hint="eastAsia"/>
                <w:color w:val="auto"/>
                <w:kern w:val="0"/>
                <w:lang w:val="en-US" w:eastAsia="zh-CN"/>
              </w:rPr>
              <w:t>化工</w:t>
            </w:r>
            <w:r>
              <w:rPr>
                <w:rFonts w:hint="eastAsia"/>
                <w:color w:val="auto"/>
                <w:kern w:val="0"/>
              </w:rPr>
              <w:t>企业，植被主要为道路绿化植被，区域内无自然保护区、风景名胜区、森林公园、历史文化遗迹等需要特殊保护的生态敏感目标。</w:t>
            </w:r>
          </w:p>
          <w:p w14:paraId="3D4B2626">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七、环境风险</w:t>
            </w:r>
          </w:p>
          <w:p w14:paraId="60EB8F62">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1</w:t>
            </w:r>
            <w:r>
              <w:rPr>
                <w:rFonts w:hint="eastAsia" w:ascii="宋体" w:hAnsi="宋体"/>
                <w:b/>
                <w:color w:val="auto"/>
                <w:kern w:val="0"/>
              </w:rPr>
              <w:t>、风险物质识别</w:t>
            </w:r>
          </w:p>
          <w:p w14:paraId="1EFD7295">
            <w:pPr>
              <w:keepNext w:val="0"/>
              <w:keepLines w:val="0"/>
              <w:suppressLineNumbers w:val="0"/>
              <w:spacing w:before="0" w:beforeAutospacing="0" w:after="0" w:afterAutospacing="0"/>
              <w:ind w:left="0" w:right="0" w:firstLine="480" w:firstLineChars="200"/>
              <w:rPr>
                <w:rFonts w:hint="eastAsia"/>
                <w:bCs/>
                <w:color w:val="auto"/>
                <w:kern w:val="0"/>
                <w:lang w:val="en-US" w:eastAsia="zh-CN"/>
              </w:rPr>
            </w:pPr>
            <w:r>
              <w:rPr>
                <w:rFonts w:hint="eastAsia" w:ascii="宋体" w:hAnsi="宋体"/>
                <w:bCs/>
                <w:color w:val="auto"/>
                <w:kern w:val="0"/>
              </w:rPr>
              <w:t>根据《建设项目环境风险评价技术导则》（</w:t>
            </w:r>
            <w:r>
              <w:rPr>
                <w:rFonts w:hint="eastAsia"/>
                <w:bCs/>
                <w:color w:val="auto"/>
                <w:kern w:val="0"/>
              </w:rPr>
              <w:t>HJ169-2018</w:t>
            </w:r>
            <w:r>
              <w:rPr>
                <w:rFonts w:hint="eastAsia" w:ascii="宋体" w:hAnsi="宋体"/>
                <w:bCs/>
                <w:color w:val="auto"/>
                <w:kern w:val="0"/>
              </w:rPr>
              <w:t>）附录</w:t>
            </w:r>
            <w:r>
              <w:rPr>
                <w:rFonts w:hint="eastAsia"/>
                <w:bCs/>
                <w:color w:val="auto"/>
                <w:kern w:val="0"/>
              </w:rPr>
              <w:t>B</w:t>
            </w:r>
            <w:r>
              <w:rPr>
                <w:rFonts w:hint="default"/>
                <w:bCs/>
                <w:color w:val="auto"/>
                <w:kern w:val="0"/>
              </w:rPr>
              <w:t>，本项目涉及的危险性物质为</w:t>
            </w:r>
            <w:r>
              <w:rPr>
                <w:rFonts w:hint="eastAsia"/>
                <w:bCs/>
                <w:color w:val="auto"/>
                <w:kern w:val="0"/>
                <w:lang w:val="en-US" w:eastAsia="zh-CN"/>
              </w:rPr>
              <w:t>柴油。</w:t>
            </w:r>
          </w:p>
          <w:p w14:paraId="342715A7">
            <w:pPr>
              <w:keepNext w:val="0"/>
              <w:keepLines w:val="0"/>
              <w:suppressLineNumbers w:val="0"/>
              <w:spacing w:before="0" w:beforeAutospacing="0" w:after="0" w:afterAutospacing="0"/>
              <w:ind w:left="0" w:right="0" w:firstLine="480" w:firstLineChars="200"/>
              <w:rPr>
                <w:rFonts w:hint="eastAsia"/>
                <w:bCs/>
                <w:color w:val="auto"/>
                <w:kern w:val="0"/>
                <w:lang w:val="en-US" w:eastAsia="zh-CN"/>
              </w:rPr>
            </w:pPr>
          </w:p>
          <w:p w14:paraId="73022752">
            <w:pPr>
              <w:keepNext w:val="0"/>
              <w:keepLines w:val="0"/>
              <w:suppressLineNumbers w:val="0"/>
              <w:spacing w:before="0" w:beforeAutospacing="0" w:after="0" w:afterAutospacing="0"/>
              <w:ind w:left="0" w:right="0"/>
              <w:jc w:val="center"/>
              <w:rPr>
                <w:rFonts w:hint="default"/>
                <w:b/>
                <w:bCs/>
                <w:color w:val="auto"/>
                <w:kern w:val="0"/>
                <w:sz w:val="21"/>
                <w:szCs w:val="21"/>
              </w:rPr>
            </w:pPr>
            <w:bookmarkStart w:id="10" w:name="OLE_LINK13"/>
            <w:bookmarkStart w:id="11" w:name="OLE_LINK14"/>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5</w:t>
            </w:r>
            <w:r>
              <w:rPr>
                <w:rFonts w:hint="default"/>
                <w:b/>
                <w:bCs/>
                <w:color w:val="auto"/>
                <w:kern w:val="0"/>
                <w:sz w:val="21"/>
                <w:szCs w:val="21"/>
              </w:rPr>
              <w:t xml:space="preserve">  </w:t>
            </w:r>
            <w:r>
              <w:rPr>
                <w:rFonts w:hint="eastAsia" w:ascii="宋体" w:hAnsi="宋体"/>
                <w:b/>
                <w:bCs/>
                <w:color w:val="auto"/>
                <w:kern w:val="0"/>
                <w:sz w:val="21"/>
                <w:szCs w:val="21"/>
                <w:lang w:val="en-US" w:eastAsia="zh-CN"/>
              </w:rPr>
              <w:t>柴油</w:t>
            </w:r>
            <w:r>
              <w:rPr>
                <w:rFonts w:hint="eastAsia" w:ascii="宋体" w:hAnsi="宋体"/>
                <w:b/>
                <w:bCs/>
                <w:color w:val="auto"/>
                <w:kern w:val="0"/>
                <w:sz w:val="21"/>
                <w:szCs w:val="21"/>
              </w:rPr>
              <w:t>理化性质及危险特性一览表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133"/>
              <w:gridCol w:w="1431"/>
              <w:gridCol w:w="1640"/>
              <w:gridCol w:w="2939"/>
            </w:tblGrid>
            <w:tr w14:paraId="725A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single" w:color="auto" w:sz="4" w:space="0"/>
                    <w:left w:val="single" w:color="auto" w:sz="4" w:space="0"/>
                    <w:bottom w:val="single" w:color="auto" w:sz="4" w:space="0"/>
                    <w:right w:val="single" w:color="auto" w:sz="4" w:space="0"/>
                  </w:tcBorders>
                  <w:vAlign w:val="center"/>
                </w:tcPr>
                <w:p w14:paraId="2213709B">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标识</w:t>
                  </w:r>
                </w:p>
              </w:tc>
              <w:tc>
                <w:tcPr>
                  <w:tcW w:w="722" w:type="pct"/>
                  <w:tcBorders>
                    <w:top w:val="single" w:color="auto" w:sz="4" w:space="0"/>
                    <w:left w:val="nil"/>
                    <w:bottom w:val="single" w:color="auto" w:sz="4" w:space="0"/>
                    <w:right w:val="single" w:color="auto" w:sz="4" w:space="0"/>
                  </w:tcBorders>
                  <w:vAlign w:val="center"/>
                </w:tcPr>
                <w:p w14:paraId="1A00FF8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中文名</w:t>
                  </w:r>
                </w:p>
              </w:tc>
              <w:tc>
                <w:tcPr>
                  <w:tcW w:w="912" w:type="pct"/>
                  <w:tcBorders>
                    <w:top w:val="single" w:color="auto" w:sz="4" w:space="0"/>
                    <w:left w:val="nil"/>
                    <w:bottom w:val="single" w:color="auto" w:sz="4" w:space="0"/>
                    <w:right w:val="single" w:color="auto" w:sz="4" w:space="0"/>
                  </w:tcBorders>
                  <w:vAlign w:val="center"/>
                </w:tcPr>
                <w:p w14:paraId="4BCBB1B8">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柴油</w:t>
                  </w:r>
                </w:p>
              </w:tc>
              <w:tc>
                <w:tcPr>
                  <w:tcW w:w="1045" w:type="pct"/>
                  <w:tcBorders>
                    <w:top w:val="single" w:color="auto" w:sz="4" w:space="0"/>
                    <w:left w:val="nil"/>
                    <w:bottom w:val="single" w:color="auto" w:sz="4" w:space="0"/>
                    <w:right w:val="single" w:color="auto" w:sz="4" w:space="0"/>
                  </w:tcBorders>
                  <w:vAlign w:val="center"/>
                </w:tcPr>
                <w:p w14:paraId="61D2112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英文名</w:t>
                  </w:r>
                </w:p>
              </w:tc>
              <w:tc>
                <w:tcPr>
                  <w:tcW w:w="1873" w:type="pct"/>
                  <w:tcBorders>
                    <w:top w:val="single" w:color="auto" w:sz="4" w:space="0"/>
                    <w:left w:val="nil"/>
                    <w:bottom w:val="single" w:color="auto" w:sz="4" w:space="0"/>
                    <w:right w:val="single" w:color="auto" w:sz="4" w:space="0"/>
                  </w:tcBorders>
                  <w:vAlign w:val="center"/>
                </w:tcPr>
                <w:p w14:paraId="6C935D14">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Diesel oil；Diesel fuel</w:t>
                  </w:r>
                </w:p>
              </w:tc>
            </w:tr>
            <w:tr w14:paraId="4DE5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3FFE46C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073F63C0">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分子式</w:t>
                  </w:r>
                </w:p>
              </w:tc>
              <w:tc>
                <w:tcPr>
                  <w:tcW w:w="912" w:type="pct"/>
                  <w:tcBorders>
                    <w:top w:val="single" w:color="auto" w:sz="4" w:space="0"/>
                    <w:left w:val="nil"/>
                    <w:bottom w:val="single" w:color="auto" w:sz="4" w:space="0"/>
                    <w:right w:val="single" w:color="auto" w:sz="4" w:space="0"/>
                  </w:tcBorders>
                  <w:vAlign w:val="center"/>
                </w:tcPr>
                <w:p w14:paraId="2A3E3353">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045" w:type="pct"/>
                  <w:tcBorders>
                    <w:top w:val="single" w:color="auto" w:sz="4" w:space="0"/>
                    <w:left w:val="nil"/>
                    <w:bottom w:val="single" w:color="auto" w:sz="4" w:space="0"/>
                    <w:right w:val="single" w:color="auto" w:sz="4" w:space="0"/>
                  </w:tcBorders>
                  <w:vAlign w:val="center"/>
                </w:tcPr>
                <w:p w14:paraId="57B0CC5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危险货物编号</w:t>
                  </w:r>
                </w:p>
              </w:tc>
              <w:tc>
                <w:tcPr>
                  <w:tcW w:w="1873" w:type="pct"/>
                  <w:tcBorders>
                    <w:top w:val="single" w:color="auto" w:sz="4" w:space="0"/>
                    <w:left w:val="nil"/>
                    <w:bottom w:val="single" w:color="auto" w:sz="4" w:space="0"/>
                    <w:right w:val="single" w:color="auto" w:sz="4" w:space="0"/>
                  </w:tcBorders>
                  <w:vAlign w:val="center"/>
                </w:tcPr>
                <w:p w14:paraId="2E6B811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7E8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04A1EFC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46F30C8C">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分子量</w:t>
                  </w:r>
                </w:p>
              </w:tc>
              <w:tc>
                <w:tcPr>
                  <w:tcW w:w="912" w:type="pct"/>
                  <w:tcBorders>
                    <w:top w:val="single" w:color="auto" w:sz="4" w:space="0"/>
                    <w:left w:val="nil"/>
                    <w:bottom w:val="single" w:color="auto" w:sz="4" w:space="0"/>
                    <w:right w:val="single" w:color="auto" w:sz="4" w:space="0"/>
                  </w:tcBorders>
                  <w:vAlign w:val="center"/>
                </w:tcPr>
                <w:p w14:paraId="3F1D27B8">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w:t>
                  </w:r>
                </w:p>
              </w:tc>
              <w:tc>
                <w:tcPr>
                  <w:tcW w:w="1045" w:type="pct"/>
                  <w:tcBorders>
                    <w:top w:val="single" w:color="auto" w:sz="4" w:space="0"/>
                    <w:left w:val="nil"/>
                    <w:bottom w:val="single" w:color="auto" w:sz="4" w:space="0"/>
                    <w:right w:val="single" w:color="auto" w:sz="4" w:space="0"/>
                  </w:tcBorders>
                  <w:vAlign w:val="center"/>
                </w:tcPr>
                <w:p w14:paraId="00C40D8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危险性类别</w:t>
                  </w:r>
                </w:p>
              </w:tc>
              <w:tc>
                <w:tcPr>
                  <w:tcW w:w="1873" w:type="pct"/>
                  <w:tcBorders>
                    <w:top w:val="single" w:color="auto" w:sz="4" w:space="0"/>
                    <w:left w:val="nil"/>
                    <w:bottom w:val="single" w:color="auto" w:sz="4" w:space="0"/>
                    <w:right w:val="single" w:color="auto" w:sz="4" w:space="0"/>
                  </w:tcBorders>
                  <w:vAlign w:val="center"/>
                </w:tcPr>
                <w:p w14:paraId="10DE342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易燃性</w:t>
                  </w:r>
                </w:p>
              </w:tc>
            </w:tr>
            <w:tr w14:paraId="60A5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2E6C225D">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理化特性</w:t>
                  </w:r>
                </w:p>
              </w:tc>
              <w:tc>
                <w:tcPr>
                  <w:tcW w:w="722" w:type="pct"/>
                  <w:tcBorders>
                    <w:top w:val="single" w:color="auto" w:sz="4" w:space="0"/>
                    <w:left w:val="nil"/>
                    <w:bottom w:val="single" w:color="auto" w:sz="4" w:space="0"/>
                    <w:right w:val="single" w:color="auto" w:sz="4" w:space="0"/>
                  </w:tcBorders>
                  <w:vAlign w:val="center"/>
                </w:tcPr>
                <w:p w14:paraId="19D61E8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熔点(℃)</w:t>
                  </w:r>
                </w:p>
              </w:tc>
              <w:tc>
                <w:tcPr>
                  <w:tcW w:w="912" w:type="pct"/>
                  <w:tcBorders>
                    <w:top w:val="single" w:color="auto" w:sz="4" w:space="0"/>
                    <w:left w:val="nil"/>
                    <w:bottom w:val="single" w:color="auto" w:sz="4" w:space="0"/>
                    <w:right w:val="single" w:color="auto" w:sz="4" w:space="0"/>
                  </w:tcBorders>
                  <w:vAlign w:val="center"/>
                </w:tcPr>
                <w:p w14:paraId="4D1EBFDC">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045" w:type="pct"/>
                  <w:tcBorders>
                    <w:top w:val="single" w:color="auto" w:sz="4" w:space="0"/>
                    <w:left w:val="nil"/>
                    <w:bottom w:val="single" w:color="auto" w:sz="4" w:space="0"/>
                    <w:right w:val="single" w:color="auto" w:sz="4" w:space="0"/>
                  </w:tcBorders>
                  <w:vAlign w:val="center"/>
                </w:tcPr>
                <w:p w14:paraId="42BFA50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沸点(℃)</w:t>
                  </w:r>
                </w:p>
              </w:tc>
              <w:tc>
                <w:tcPr>
                  <w:tcW w:w="1873" w:type="pct"/>
                  <w:tcBorders>
                    <w:top w:val="single" w:color="auto" w:sz="4" w:space="0"/>
                    <w:left w:val="nil"/>
                    <w:bottom w:val="single" w:color="auto" w:sz="4" w:space="0"/>
                    <w:right w:val="single" w:color="auto" w:sz="4" w:space="0"/>
                  </w:tcBorders>
                  <w:vAlign w:val="center"/>
                </w:tcPr>
                <w:p w14:paraId="7236E876">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580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1A90CE2E">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5D83950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燃烧热(kJ/mol)</w:t>
                  </w:r>
                </w:p>
              </w:tc>
              <w:tc>
                <w:tcPr>
                  <w:tcW w:w="912" w:type="pct"/>
                  <w:tcBorders>
                    <w:top w:val="single" w:color="auto" w:sz="4" w:space="0"/>
                    <w:left w:val="nil"/>
                    <w:bottom w:val="single" w:color="auto" w:sz="4" w:space="0"/>
                    <w:right w:val="single" w:color="auto" w:sz="4" w:space="0"/>
                  </w:tcBorders>
                  <w:vAlign w:val="center"/>
                </w:tcPr>
                <w:p w14:paraId="78692141">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无资料</w:t>
                  </w:r>
                </w:p>
              </w:tc>
              <w:tc>
                <w:tcPr>
                  <w:tcW w:w="1045" w:type="pct"/>
                  <w:tcBorders>
                    <w:top w:val="single" w:color="auto" w:sz="4" w:space="0"/>
                    <w:left w:val="nil"/>
                    <w:bottom w:val="single" w:color="auto" w:sz="4" w:space="0"/>
                    <w:right w:val="single" w:color="auto" w:sz="4" w:space="0"/>
                  </w:tcBorders>
                  <w:vAlign w:val="center"/>
                </w:tcPr>
                <w:p w14:paraId="3EE394C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饱和蒸气压(kPa)</w:t>
                  </w:r>
                </w:p>
              </w:tc>
              <w:tc>
                <w:tcPr>
                  <w:tcW w:w="1873" w:type="pct"/>
                  <w:tcBorders>
                    <w:top w:val="single" w:color="auto" w:sz="4" w:space="0"/>
                    <w:left w:val="nil"/>
                    <w:bottom w:val="single" w:color="auto" w:sz="4" w:space="0"/>
                    <w:right w:val="single" w:color="auto" w:sz="4" w:space="0"/>
                  </w:tcBorders>
                  <w:vAlign w:val="center"/>
                </w:tcPr>
                <w:p w14:paraId="4D4C6BC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054C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0B50D3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F5EB9BB">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相对密度</w:t>
                  </w:r>
                </w:p>
              </w:tc>
              <w:tc>
                <w:tcPr>
                  <w:tcW w:w="3830" w:type="pct"/>
                  <w:gridSpan w:val="3"/>
                  <w:tcBorders>
                    <w:top w:val="single" w:color="auto" w:sz="4" w:space="0"/>
                    <w:left w:val="nil"/>
                    <w:bottom w:val="single" w:color="auto" w:sz="4" w:space="0"/>
                    <w:right w:val="single" w:color="auto" w:sz="4" w:space="0"/>
                  </w:tcBorders>
                  <w:vAlign w:val="center"/>
                </w:tcPr>
                <w:p w14:paraId="2E535C74">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lang w:val="en-US" w:eastAsia="zh-CN"/>
                    </w:rPr>
                    <w:t>0.87~0.9</w:t>
                  </w:r>
                  <w:r>
                    <w:rPr>
                      <w:rFonts w:hint="default"/>
                      <w:color w:val="auto"/>
                      <w:sz w:val="21"/>
                      <w:szCs w:val="21"/>
                    </w:rPr>
                    <w:t>(水=1)</w:t>
                  </w:r>
                </w:p>
              </w:tc>
            </w:tr>
            <w:tr w14:paraId="1FD0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38ECF7D0">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4B6093D">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外观性状</w:t>
                  </w:r>
                </w:p>
              </w:tc>
              <w:tc>
                <w:tcPr>
                  <w:tcW w:w="3830" w:type="pct"/>
                  <w:gridSpan w:val="3"/>
                  <w:tcBorders>
                    <w:top w:val="single" w:color="auto" w:sz="4" w:space="0"/>
                    <w:left w:val="nil"/>
                    <w:bottom w:val="single" w:color="auto" w:sz="4" w:space="0"/>
                    <w:right w:val="single" w:color="auto" w:sz="4" w:space="0"/>
                  </w:tcBorders>
                  <w:vAlign w:val="center"/>
                </w:tcPr>
                <w:p w14:paraId="6D5A2388">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稍有粘性的棕色液体</w:t>
                  </w:r>
                </w:p>
              </w:tc>
            </w:tr>
            <w:tr w14:paraId="64A6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02995109">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61BDCC4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溶解性</w:t>
                  </w:r>
                </w:p>
              </w:tc>
              <w:tc>
                <w:tcPr>
                  <w:tcW w:w="3830" w:type="pct"/>
                  <w:gridSpan w:val="3"/>
                  <w:tcBorders>
                    <w:top w:val="single" w:color="auto" w:sz="4" w:space="0"/>
                    <w:left w:val="nil"/>
                    <w:bottom w:val="single" w:color="auto" w:sz="4" w:space="0"/>
                    <w:right w:val="single" w:color="auto" w:sz="4" w:space="0"/>
                  </w:tcBorders>
                  <w:vAlign w:val="center"/>
                </w:tcPr>
                <w:p w14:paraId="74023D2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不溶于水</w:t>
                  </w:r>
                </w:p>
              </w:tc>
            </w:tr>
            <w:tr w14:paraId="6090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3D1ADB1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7AC6DD49">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主要用途</w:t>
                  </w:r>
                </w:p>
              </w:tc>
              <w:tc>
                <w:tcPr>
                  <w:tcW w:w="3830" w:type="pct"/>
                  <w:gridSpan w:val="3"/>
                  <w:tcBorders>
                    <w:top w:val="single" w:color="auto" w:sz="4" w:space="0"/>
                    <w:left w:val="nil"/>
                    <w:bottom w:val="single" w:color="auto" w:sz="4" w:space="0"/>
                    <w:right w:val="single" w:color="auto" w:sz="4" w:space="0"/>
                  </w:tcBorders>
                  <w:vAlign w:val="center"/>
                </w:tcPr>
                <w:p w14:paraId="2021C55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参与冶金及石油工业和解决人类衣食住行。</w:t>
                  </w:r>
                </w:p>
              </w:tc>
            </w:tr>
            <w:tr w14:paraId="7FE6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1056DFC8">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燃爆特性</w:t>
                  </w:r>
                </w:p>
              </w:tc>
              <w:tc>
                <w:tcPr>
                  <w:tcW w:w="722" w:type="pct"/>
                  <w:tcBorders>
                    <w:top w:val="single" w:color="auto" w:sz="4" w:space="0"/>
                    <w:left w:val="nil"/>
                    <w:bottom w:val="single" w:color="auto" w:sz="4" w:space="0"/>
                    <w:right w:val="single" w:color="auto" w:sz="4" w:space="0"/>
                  </w:tcBorders>
                  <w:vAlign w:val="center"/>
                </w:tcPr>
                <w:p w14:paraId="274E328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燃烧性</w:t>
                  </w:r>
                </w:p>
              </w:tc>
              <w:tc>
                <w:tcPr>
                  <w:tcW w:w="912" w:type="pct"/>
                  <w:tcBorders>
                    <w:top w:val="single" w:color="auto" w:sz="4" w:space="0"/>
                    <w:left w:val="nil"/>
                    <w:bottom w:val="single" w:color="auto" w:sz="4" w:space="0"/>
                    <w:right w:val="single" w:color="auto" w:sz="4" w:space="0"/>
                  </w:tcBorders>
                  <w:vAlign w:val="center"/>
                </w:tcPr>
                <w:p w14:paraId="7FEC6D38">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可燃</w:t>
                  </w:r>
                </w:p>
              </w:tc>
              <w:tc>
                <w:tcPr>
                  <w:tcW w:w="1045" w:type="pct"/>
                  <w:tcBorders>
                    <w:top w:val="single" w:color="auto" w:sz="4" w:space="0"/>
                    <w:left w:val="nil"/>
                    <w:bottom w:val="single" w:color="auto" w:sz="4" w:space="0"/>
                    <w:right w:val="single" w:color="auto" w:sz="4" w:space="0"/>
                  </w:tcBorders>
                  <w:vAlign w:val="center"/>
                </w:tcPr>
                <w:p w14:paraId="2F448773">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闪点(℃)</w:t>
                  </w:r>
                </w:p>
              </w:tc>
              <w:tc>
                <w:tcPr>
                  <w:tcW w:w="1873" w:type="pct"/>
                  <w:tcBorders>
                    <w:top w:val="single" w:color="auto" w:sz="4" w:space="0"/>
                    <w:left w:val="nil"/>
                    <w:bottom w:val="single" w:color="auto" w:sz="4" w:space="0"/>
                    <w:right w:val="single" w:color="auto" w:sz="4" w:space="0"/>
                  </w:tcBorders>
                  <w:vAlign w:val="center"/>
                </w:tcPr>
                <w:p w14:paraId="17A329EF">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38</w:t>
                  </w:r>
                </w:p>
              </w:tc>
            </w:tr>
            <w:tr w14:paraId="287D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425C9CF2">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251D13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爆炸极限（%）</w:t>
                  </w:r>
                </w:p>
              </w:tc>
              <w:tc>
                <w:tcPr>
                  <w:tcW w:w="912" w:type="pct"/>
                  <w:tcBorders>
                    <w:top w:val="single" w:color="auto" w:sz="4" w:space="0"/>
                    <w:left w:val="nil"/>
                    <w:bottom w:val="single" w:color="auto" w:sz="4" w:space="0"/>
                    <w:right w:val="single" w:color="auto" w:sz="4" w:space="0"/>
                  </w:tcBorders>
                  <w:vAlign w:val="center"/>
                </w:tcPr>
                <w:p w14:paraId="0D30B0EC">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0.7~5.0</w:t>
                  </w:r>
                </w:p>
              </w:tc>
              <w:tc>
                <w:tcPr>
                  <w:tcW w:w="1045" w:type="pct"/>
                  <w:tcBorders>
                    <w:top w:val="single" w:color="auto" w:sz="4" w:space="0"/>
                    <w:left w:val="nil"/>
                    <w:bottom w:val="single" w:color="auto" w:sz="4" w:space="0"/>
                    <w:right w:val="single" w:color="auto" w:sz="4" w:space="0"/>
                  </w:tcBorders>
                  <w:vAlign w:val="center"/>
                </w:tcPr>
                <w:p w14:paraId="5EB6E13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引燃温度(℃)</w:t>
                  </w:r>
                </w:p>
              </w:tc>
              <w:tc>
                <w:tcPr>
                  <w:tcW w:w="1873" w:type="pct"/>
                  <w:tcBorders>
                    <w:top w:val="single" w:color="auto" w:sz="4" w:space="0"/>
                    <w:left w:val="nil"/>
                    <w:bottom w:val="single" w:color="auto" w:sz="4" w:space="0"/>
                    <w:right w:val="single" w:color="auto" w:sz="4" w:space="0"/>
                  </w:tcBorders>
                  <w:vAlign w:val="center"/>
                </w:tcPr>
                <w:p w14:paraId="595F3F2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w:t>
                  </w:r>
                </w:p>
              </w:tc>
            </w:tr>
            <w:tr w14:paraId="016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571D346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615DA23C">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禁忌物</w:t>
                  </w:r>
                </w:p>
              </w:tc>
              <w:tc>
                <w:tcPr>
                  <w:tcW w:w="912" w:type="pct"/>
                  <w:tcBorders>
                    <w:top w:val="single" w:color="auto" w:sz="4" w:space="0"/>
                    <w:left w:val="nil"/>
                    <w:bottom w:val="single" w:color="auto" w:sz="4" w:space="0"/>
                    <w:right w:val="single" w:color="auto" w:sz="4" w:space="0"/>
                  </w:tcBorders>
                  <w:vAlign w:val="center"/>
                </w:tcPr>
                <w:p w14:paraId="6E86A91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氧化剂</w:t>
                  </w:r>
                </w:p>
              </w:tc>
              <w:tc>
                <w:tcPr>
                  <w:tcW w:w="1045" w:type="pct"/>
                  <w:tcBorders>
                    <w:top w:val="single" w:color="auto" w:sz="4" w:space="0"/>
                    <w:left w:val="nil"/>
                    <w:bottom w:val="single" w:color="auto" w:sz="4" w:space="0"/>
                    <w:right w:val="single" w:color="auto" w:sz="4" w:space="0"/>
                  </w:tcBorders>
                  <w:vAlign w:val="center"/>
                </w:tcPr>
                <w:p w14:paraId="693B95B3">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稳定性</w:t>
                  </w:r>
                </w:p>
              </w:tc>
              <w:tc>
                <w:tcPr>
                  <w:tcW w:w="1873" w:type="pct"/>
                  <w:tcBorders>
                    <w:top w:val="single" w:color="auto" w:sz="4" w:space="0"/>
                    <w:left w:val="nil"/>
                    <w:bottom w:val="single" w:color="auto" w:sz="4" w:space="0"/>
                    <w:right w:val="single" w:color="auto" w:sz="4" w:space="0"/>
                  </w:tcBorders>
                  <w:vAlign w:val="center"/>
                </w:tcPr>
                <w:p w14:paraId="78E93BF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稳定</w:t>
                  </w:r>
                </w:p>
              </w:tc>
            </w:tr>
            <w:tr w14:paraId="680A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4A9871B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7BB631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燃烧产物</w:t>
                  </w:r>
                </w:p>
              </w:tc>
              <w:tc>
                <w:tcPr>
                  <w:tcW w:w="912" w:type="pct"/>
                  <w:tcBorders>
                    <w:top w:val="single" w:color="auto" w:sz="4" w:space="0"/>
                    <w:left w:val="nil"/>
                    <w:bottom w:val="single" w:color="auto" w:sz="4" w:space="0"/>
                    <w:right w:val="single" w:color="auto" w:sz="4" w:space="0"/>
                  </w:tcBorders>
                  <w:vAlign w:val="center"/>
                </w:tcPr>
                <w:p w14:paraId="01700FF6">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CO、CO</w:t>
                  </w:r>
                  <w:r>
                    <w:rPr>
                      <w:rFonts w:hint="default"/>
                      <w:color w:val="auto"/>
                      <w:sz w:val="21"/>
                      <w:szCs w:val="21"/>
                      <w:vertAlign w:val="subscript"/>
                    </w:rPr>
                    <w:t>2</w:t>
                  </w:r>
                </w:p>
              </w:tc>
              <w:tc>
                <w:tcPr>
                  <w:tcW w:w="1045" w:type="pct"/>
                  <w:tcBorders>
                    <w:top w:val="single" w:color="auto" w:sz="4" w:space="0"/>
                    <w:left w:val="nil"/>
                    <w:bottom w:val="single" w:color="auto" w:sz="4" w:space="0"/>
                    <w:right w:val="single" w:color="auto" w:sz="4" w:space="0"/>
                  </w:tcBorders>
                  <w:vAlign w:val="center"/>
                </w:tcPr>
                <w:p w14:paraId="34CCCC4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聚合危害</w:t>
                  </w:r>
                </w:p>
              </w:tc>
              <w:tc>
                <w:tcPr>
                  <w:tcW w:w="1873" w:type="pct"/>
                  <w:tcBorders>
                    <w:top w:val="single" w:color="auto" w:sz="4" w:space="0"/>
                    <w:left w:val="nil"/>
                    <w:bottom w:val="single" w:color="auto" w:sz="4" w:space="0"/>
                    <w:right w:val="single" w:color="auto" w:sz="4" w:space="0"/>
                  </w:tcBorders>
                  <w:vAlign w:val="center"/>
                </w:tcPr>
                <w:p w14:paraId="16976FB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不聚合</w:t>
                  </w:r>
                </w:p>
              </w:tc>
            </w:tr>
            <w:tr w14:paraId="1895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1639C06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DD3883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危险特性</w:t>
                  </w:r>
                </w:p>
              </w:tc>
              <w:tc>
                <w:tcPr>
                  <w:tcW w:w="3830" w:type="pct"/>
                  <w:gridSpan w:val="3"/>
                  <w:tcBorders>
                    <w:top w:val="single" w:color="auto" w:sz="4" w:space="0"/>
                    <w:left w:val="nil"/>
                    <w:bottom w:val="single" w:color="auto" w:sz="4" w:space="0"/>
                    <w:right w:val="single" w:color="auto" w:sz="4" w:space="0"/>
                  </w:tcBorders>
                  <w:vAlign w:val="center"/>
                </w:tcPr>
                <w:p w14:paraId="716FAC18">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遇明火、高热可燃。</w:t>
                  </w:r>
                </w:p>
              </w:tc>
            </w:tr>
            <w:tr w14:paraId="1E2E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B038D2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56FFCF2">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灭火方法</w:t>
                  </w:r>
                </w:p>
              </w:tc>
              <w:tc>
                <w:tcPr>
                  <w:tcW w:w="3830" w:type="pct"/>
                  <w:gridSpan w:val="3"/>
                  <w:tcBorders>
                    <w:top w:val="single" w:color="auto" w:sz="4" w:space="0"/>
                    <w:left w:val="nil"/>
                    <w:bottom w:val="single" w:color="auto" w:sz="4" w:space="0"/>
                    <w:right w:val="single" w:color="auto" w:sz="4" w:space="0"/>
                  </w:tcBorders>
                  <w:vAlign w:val="center"/>
                </w:tcPr>
                <w:p w14:paraId="4E17CFC4">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default"/>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717E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0149C8E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毒性及健康危害</w:t>
                  </w:r>
                </w:p>
              </w:tc>
              <w:tc>
                <w:tcPr>
                  <w:tcW w:w="722" w:type="pct"/>
                  <w:tcBorders>
                    <w:top w:val="single" w:color="auto" w:sz="4" w:space="0"/>
                    <w:left w:val="nil"/>
                    <w:bottom w:val="single" w:color="auto" w:sz="4" w:space="0"/>
                    <w:right w:val="single" w:color="auto" w:sz="4" w:space="0"/>
                  </w:tcBorders>
                  <w:vAlign w:val="center"/>
                </w:tcPr>
                <w:p w14:paraId="0C0A4412">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sz w:val="21"/>
                      <w:szCs w:val="21"/>
                    </w:rPr>
                    <w:t>急性毒性</w:t>
                  </w:r>
                </w:p>
              </w:tc>
              <w:tc>
                <w:tcPr>
                  <w:tcW w:w="3830" w:type="pct"/>
                  <w:gridSpan w:val="3"/>
                  <w:tcBorders>
                    <w:top w:val="single" w:color="auto" w:sz="4" w:space="0"/>
                    <w:left w:val="nil"/>
                    <w:bottom w:val="single" w:color="auto" w:sz="4" w:space="0"/>
                    <w:right w:val="single" w:color="auto" w:sz="4" w:space="0"/>
                  </w:tcBorders>
                  <w:vAlign w:val="center"/>
                </w:tcPr>
                <w:p w14:paraId="32C753B0">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无资料</w:t>
                  </w:r>
                </w:p>
              </w:tc>
            </w:tr>
            <w:tr w14:paraId="1820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4C76398">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7553A5B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健康危害</w:t>
                  </w:r>
                </w:p>
              </w:tc>
              <w:tc>
                <w:tcPr>
                  <w:tcW w:w="3830" w:type="pct"/>
                  <w:gridSpan w:val="3"/>
                  <w:tcBorders>
                    <w:top w:val="single" w:color="auto" w:sz="4" w:space="0"/>
                    <w:left w:val="nil"/>
                    <w:bottom w:val="single" w:color="auto" w:sz="4" w:space="0"/>
                    <w:right w:val="single" w:color="auto" w:sz="4" w:space="0"/>
                  </w:tcBorders>
                  <w:vAlign w:val="center"/>
                </w:tcPr>
                <w:p w14:paraId="56FEB4A2">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default"/>
                      <w:color w:val="auto"/>
                      <w:sz w:val="21"/>
                      <w:szCs w:val="21"/>
                    </w:rPr>
                    <w:t>侵入途径：吸如、食入；</w:t>
                  </w:r>
                </w:p>
                <w:p w14:paraId="3F272557">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eastAsia"/>
                      <w:color w:val="auto"/>
                      <w:sz w:val="21"/>
                      <w:szCs w:val="21"/>
                      <w:lang w:val="en-US" w:eastAsia="zh-CN"/>
                    </w:rPr>
                    <w:t>皮肤接触可为主要吸收途径，可致急性肾脏损害。柴油可引起接触性皮炎，油性痤疮。吸入其雾滴或液体呛入可引起吸入性肺炎。柴油废气可引起眼、鼻刺激症状，头晕及头痛。</w:t>
                  </w:r>
                </w:p>
              </w:tc>
            </w:tr>
            <w:bookmarkEnd w:id="10"/>
            <w:bookmarkEnd w:id="11"/>
          </w:tbl>
          <w:p w14:paraId="5FB2F734">
            <w:pPr>
              <w:keepNext w:val="0"/>
              <w:keepLines w:val="0"/>
              <w:suppressLineNumbers w:val="0"/>
              <w:spacing w:before="0" w:beforeAutospacing="0" w:after="0" w:afterAutospacing="0"/>
              <w:ind w:left="0" w:right="0" w:firstLine="482" w:firstLineChars="200"/>
              <w:contextualSpacing/>
              <w:rPr>
                <w:rFonts w:hint="default"/>
                <w:b/>
                <w:bCs/>
                <w:color w:val="auto"/>
                <w:kern w:val="0"/>
              </w:rPr>
            </w:pPr>
            <w:r>
              <w:rPr>
                <w:rFonts w:hint="eastAsia"/>
                <w:b/>
                <w:bCs/>
                <w:color w:val="auto"/>
                <w:kern w:val="0"/>
              </w:rPr>
              <w:t>2</w:t>
            </w:r>
            <w:r>
              <w:rPr>
                <w:rFonts w:hint="eastAsia" w:ascii="宋体" w:hAnsi="宋体"/>
                <w:b/>
                <w:bCs/>
                <w:color w:val="auto"/>
                <w:kern w:val="0"/>
              </w:rPr>
              <w:t>、风险物质数量与临界量比值计算</w:t>
            </w:r>
          </w:p>
          <w:p w14:paraId="472C47FC">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olor w:val="auto"/>
                <w:kern w:val="0"/>
              </w:rPr>
              <w:t>根据风险识别，项目涉及的风险物质为</w:t>
            </w:r>
            <w:r>
              <w:rPr>
                <w:rFonts w:hint="eastAsia" w:ascii="宋体" w:hAnsi="宋体"/>
                <w:color w:val="auto"/>
                <w:kern w:val="0"/>
                <w:lang w:val="en-US" w:eastAsia="zh-CN"/>
              </w:rPr>
              <w:t>柴油，</w:t>
            </w:r>
            <w:r>
              <w:rPr>
                <w:rFonts w:hint="eastAsia" w:ascii="宋体" w:hAnsi="宋体"/>
                <w:color w:val="auto"/>
                <w:kern w:val="0"/>
              </w:rPr>
              <w:t>风险物质与临界量比值计算结果见下表。</w:t>
            </w:r>
          </w:p>
          <w:p w14:paraId="619B1138">
            <w:pPr>
              <w:keepNext w:val="0"/>
              <w:keepLines w:val="0"/>
              <w:suppressLineNumbers w:val="0"/>
              <w:spacing w:before="156" w:beforeLines="50" w:beforeAutospacing="0" w:after="0" w:afterAutospacing="0"/>
              <w:ind w:left="0" w:right="0"/>
              <w:contextualSpacing/>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7</w:t>
            </w:r>
            <w:r>
              <w:rPr>
                <w:rFonts w:hint="eastAsia" w:ascii="宋体" w:hAnsi="宋体"/>
                <w:b/>
                <w:bCs/>
                <w:color w:val="auto"/>
                <w:kern w:val="0"/>
                <w:sz w:val="21"/>
                <w:szCs w:val="21"/>
              </w:rPr>
              <w:t>项目危险物质数量与临界量比值（</w:t>
            </w:r>
            <w:r>
              <w:rPr>
                <w:rFonts w:hint="default"/>
                <w:b/>
                <w:bCs/>
                <w:color w:val="auto"/>
                <w:kern w:val="0"/>
                <w:sz w:val="21"/>
                <w:szCs w:val="21"/>
              </w:rPr>
              <w:t>Q</w:t>
            </w:r>
            <w:r>
              <w:rPr>
                <w:rFonts w:hint="eastAsia" w:ascii="宋体" w:hAnsi="宋体"/>
                <w:b/>
                <w:bCs/>
                <w:color w:val="auto"/>
                <w:kern w:val="0"/>
                <w:sz w:val="21"/>
                <w:szCs w:val="21"/>
              </w:rPr>
              <w:t>）计算一览表</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421"/>
              <w:gridCol w:w="1275"/>
              <w:gridCol w:w="1416"/>
              <w:gridCol w:w="1972"/>
              <w:gridCol w:w="1079"/>
            </w:tblGrid>
            <w:tr w14:paraId="3ACFE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tcBorders>
                    <w:top w:val="single" w:color="000000" w:sz="4" w:space="0"/>
                    <w:left w:val="single" w:color="000000" w:sz="4" w:space="0"/>
                    <w:bottom w:val="single" w:color="000000" w:sz="4" w:space="0"/>
                    <w:right w:val="single" w:color="000000" w:sz="4" w:space="0"/>
                  </w:tcBorders>
                  <w:vAlign w:val="center"/>
                </w:tcPr>
                <w:p w14:paraId="0BDEAA50">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序号</w:t>
                  </w:r>
                </w:p>
              </w:tc>
              <w:tc>
                <w:tcPr>
                  <w:tcW w:w="1421" w:type="dxa"/>
                  <w:tcBorders>
                    <w:top w:val="single" w:color="000000" w:sz="4" w:space="0"/>
                    <w:left w:val="nil"/>
                    <w:bottom w:val="single" w:color="000000" w:sz="4" w:space="0"/>
                    <w:right w:val="single" w:color="000000" w:sz="4" w:space="0"/>
                  </w:tcBorders>
                  <w:vAlign w:val="center"/>
                </w:tcPr>
                <w:p w14:paraId="24003F27">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危险化学品名称</w:t>
                  </w:r>
                </w:p>
              </w:tc>
              <w:tc>
                <w:tcPr>
                  <w:tcW w:w="1275" w:type="dxa"/>
                  <w:tcBorders>
                    <w:top w:val="single" w:color="000000" w:sz="4" w:space="0"/>
                    <w:left w:val="nil"/>
                    <w:bottom w:val="single" w:color="000000" w:sz="4" w:space="0"/>
                    <w:right w:val="single" w:color="000000" w:sz="4" w:space="0"/>
                  </w:tcBorders>
                  <w:vAlign w:val="center"/>
                </w:tcPr>
                <w:p w14:paraId="6596DF41">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临界量（</w:t>
                  </w:r>
                  <w:r>
                    <w:rPr>
                      <w:rFonts w:hint="default"/>
                      <w:b/>
                      <w:color w:val="auto"/>
                      <w:kern w:val="0"/>
                      <w:sz w:val="21"/>
                      <w:szCs w:val="21"/>
                    </w:rPr>
                    <w:t>t</w:t>
                  </w:r>
                  <w:r>
                    <w:rPr>
                      <w:rFonts w:hint="eastAsia" w:ascii="宋体" w:hAnsi="宋体"/>
                      <w:b/>
                      <w:color w:val="auto"/>
                      <w:kern w:val="0"/>
                      <w:sz w:val="21"/>
                      <w:szCs w:val="21"/>
                    </w:rPr>
                    <w:t>）</w:t>
                  </w:r>
                </w:p>
              </w:tc>
              <w:tc>
                <w:tcPr>
                  <w:tcW w:w="1416" w:type="dxa"/>
                  <w:tcBorders>
                    <w:top w:val="single" w:color="000000" w:sz="4" w:space="0"/>
                    <w:left w:val="nil"/>
                    <w:bottom w:val="single" w:color="000000" w:sz="4" w:space="0"/>
                    <w:right w:val="single" w:color="000000" w:sz="4" w:space="0"/>
                  </w:tcBorders>
                  <w:vAlign w:val="center"/>
                </w:tcPr>
                <w:p w14:paraId="1FD6A7C0">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实际最大储量（</w:t>
                  </w:r>
                  <w:r>
                    <w:rPr>
                      <w:rFonts w:hint="default"/>
                      <w:b/>
                      <w:color w:val="auto"/>
                      <w:kern w:val="0"/>
                      <w:sz w:val="21"/>
                      <w:szCs w:val="21"/>
                    </w:rPr>
                    <w:t>t</w:t>
                  </w:r>
                  <w:r>
                    <w:rPr>
                      <w:rFonts w:hint="eastAsia" w:ascii="宋体" w:hAnsi="宋体"/>
                      <w:b/>
                      <w:color w:val="auto"/>
                      <w:kern w:val="0"/>
                      <w:sz w:val="21"/>
                      <w:szCs w:val="21"/>
                    </w:rPr>
                    <w:t>）</w:t>
                  </w:r>
                </w:p>
              </w:tc>
              <w:tc>
                <w:tcPr>
                  <w:tcW w:w="1972" w:type="dxa"/>
                  <w:tcBorders>
                    <w:top w:val="single" w:color="000000" w:sz="4" w:space="0"/>
                    <w:left w:val="nil"/>
                    <w:bottom w:val="single" w:color="000000" w:sz="4" w:space="0"/>
                    <w:right w:val="single" w:color="000000" w:sz="4" w:space="0"/>
                  </w:tcBorders>
                  <w:vAlign w:val="center"/>
                </w:tcPr>
                <w:p w14:paraId="2EB1F7B3">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仓储形式</w:t>
                  </w:r>
                </w:p>
              </w:tc>
              <w:tc>
                <w:tcPr>
                  <w:tcW w:w="1079" w:type="dxa"/>
                  <w:tcBorders>
                    <w:top w:val="single" w:color="000000" w:sz="4" w:space="0"/>
                    <w:left w:val="nil"/>
                    <w:bottom w:val="single" w:color="000000" w:sz="4" w:space="0"/>
                    <w:right w:val="single" w:color="000000" w:sz="4" w:space="0"/>
                  </w:tcBorders>
                  <w:vAlign w:val="center"/>
                </w:tcPr>
                <w:p w14:paraId="193DC466">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q</w:t>
                  </w:r>
                  <w:r>
                    <w:rPr>
                      <w:rFonts w:hint="default"/>
                      <w:b/>
                      <w:color w:val="auto"/>
                      <w:kern w:val="0"/>
                      <w:sz w:val="21"/>
                      <w:szCs w:val="21"/>
                      <w:vertAlign w:val="subscript"/>
                    </w:rPr>
                    <w:t>n</w:t>
                  </w:r>
                  <w:r>
                    <w:rPr>
                      <w:rFonts w:hint="default"/>
                      <w:b/>
                      <w:color w:val="auto"/>
                      <w:kern w:val="0"/>
                      <w:sz w:val="21"/>
                      <w:szCs w:val="21"/>
                    </w:rPr>
                    <w:t>/Qn</w:t>
                  </w:r>
                </w:p>
              </w:tc>
            </w:tr>
            <w:tr w14:paraId="79CF4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679" w:type="dxa"/>
                  <w:tcBorders>
                    <w:top w:val="single" w:color="000000" w:sz="4" w:space="0"/>
                    <w:left w:val="single" w:color="000000" w:sz="4" w:space="0"/>
                    <w:bottom w:val="single" w:color="000000" w:sz="4" w:space="0"/>
                    <w:right w:val="single" w:color="000000" w:sz="4" w:space="0"/>
                  </w:tcBorders>
                  <w:vAlign w:val="center"/>
                </w:tcPr>
                <w:p w14:paraId="2B39311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1</w:t>
                  </w:r>
                </w:p>
              </w:tc>
              <w:tc>
                <w:tcPr>
                  <w:tcW w:w="1421" w:type="dxa"/>
                  <w:tcBorders>
                    <w:top w:val="single" w:color="000000" w:sz="4" w:space="0"/>
                    <w:left w:val="nil"/>
                    <w:bottom w:val="single" w:color="000000" w:sz="4" w:space="0"/>
                    <w:right w:val="single" w:color="000000" w:sz="4" w:space="0"/>
                  </w:tcBorders>
                  <w:vAlign w:val="center"/>
                </w:tcPr>
                <w:p w14:paraId="1C18EAD4">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油类物质</w:t>
                  </w:r>
                </w:p>
              </w:tc>
              <w:tc>
                <w:tcPr>
                  <w:tcW w:w="1275" w:type="dxa"/>
                  <w:tcBorders>
                    <w:top w:val="single" w:color="000000" w:sz="4" w:space="0"/>
                    <w:left w:val="nil"/>
                    <w:bottom w:val="single" w:color="000000" w:sz="4" w:space="0"/>
                    <w:right w:val="single" w:color="000000" w:sz="4" w:space="0"/>
                  </w:tcBorders>
                  <w:vAlign w:val="center"/>
                </w:tcPr>
                <w:p w14:paraId="54ECE2B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2500</w:t>
                  </w:r>
                </w:p>
              </w:tc>
              <w:tc>
                <w:tcPr>
                  <w:tcW w:w="1416" w:type="dxa"/>
                  <w:tcBorders>
                    <w:top w:val="single" w:color="000000" w:sz="4" w:space="0"/>
                    <w:left w:val="nil"/>
                    <w:bottom w:val="single" w:color="000000" w:sz="4" w:space="0"/>
                    <w:right w:val="single" w:color="000000" w:sz="4" w:space="0"/>
                  </w:tcBorders>
                  <w:vAlign w:val="center"/>
                </w:tcPr>
                <w:p w14:paraId="2EAE39D6">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2.268</w:t>
                  </w:r>
                </w:p>
              </w:tc>
              <w:tc>
                <w:tcPr>
                  <w:tcW w:w="1972" w:type="dxa"/>
                  <w:tcBorders>
                    <w:top w:val="single" w:color="000000" w:sz="4" w:space="0"/>
                    <w:left w:val="nil"/>
                    <w:right w:val="single" w:color="000000" w:sz="4" w:space="0"/>
                  </w:tcBorders>
                  <w:vAlign w:val="center"/>
                </w:tcPr>
                <w:p w14:paraId="70DD06F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ascii="宋体" w:hAnsi="宋体"/>
                      <w:color w:val="auto"/>
                      <w:kern w:val="0"/>
                      <w:sz w:val="21"/>
                      <w:szCs w:val="21"/>
                    </w:rPr>
                    <w:t>危废暂存间</w:t>
                  </w:r>
                </w:p>
              </w:tc>
              <w:tc>
                <w:tcPr>
                  <w:tcW w:w="1079" w:type="dxa"/>
                  <w:tcBorders>
                    <w:top w:val="single" w:color="000000" w:sz="4" w:space="0"/>
                    <w:left w:val="nil"/>
                    <w:bottom w:val="single" w:color="000000" w:sz="4" w:space="0"/>
                    <w:right w:val="single" w:color="000000" w:sz="4" w:space="0"/>
                  </w:tcBorders>
                  <w:vAlign w:val="center"/>
                </w:tcPr>
                <w:p w14:paraId="3FAE7E22">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rPr>
                    <w:t>0.000</w:t>
                  </w:r>
                  <w:r>
                    <w:rPr>
                      <w:rFonts w:hint="eastAsia"/>
                      <w:color w:val="auto"/>
                      <w:kern w:val="0"/>
                      <w:sz w:val="21"/>
                      <w:szCs w:val="21"/>
                      <w:lang w:val="en-US" w:eastAsia="zh-CN"/>
                    </w:rPr>
                    <w:t>9</w:t>
                  </w:r>
                </w:p>
              </w:tc>
            </w:tr>
            <w:tr w14:paraId="39C8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63" w:type="dxa"/>
                  <w:gridSpan w:val="5"/>
                  <w:tcBorders>
                    <w:top w:val="single" w:color="000000" w:sz="4" w:space="0"/>
                    <w:left w:val="single" w:color="000000" w:sz="4" w:space="0"/>
                    <w:bottom w:val="single" w:color="000000" w:sz="4" w:space="0"/>
                    <w:right w:val="single" w:color="000000" w:sz="4" w:space="0"/>
                  </w:tcBorders>
                  <w:vAlign w:val="center"/>
                </w:tcPr>
                <w:p w14:paraId="73FC6CBC">
                  <w:pPr>
                    <w:keepNext w:val="0"/>
                    <w:keepLines w:val="0"/>
                    <w:widowControl/>
                    <w:suppressLineNumbers w:val="0"/>
                    <w:spacing w:before="0" w:beforeAutospacing="0" w:after="0" w:afterAutospacing="0" w:line="240" w:lineRule="auto"/>
                    <w:ind w:left="0" w:right="0"/>
                    <w:contextualSpacing/>
                    <w:jc w:val="center"/>
                    <w:rPr>
                      <w:rFonts w:hint="default" w:ascii="宋体" w:hAnsi="宋体"/>
                      <w:color w:val="auto"/>
                      <w:kern w:val="0"/>
                      <w:sz w:val="21"/>
                      <w:szCs w:val="21"/>
                    </w:rPr>
                  </w:pPr>
                  <w:r>
                    <w:rPr>
                      <w:rFonts w:hint="eastAsia"/>
                      <w:color w:val="auto"/>
                      <w:kern w:val="0"/>
                      <w:sz w:val="21"/>
                      <w:szCs w:val="21"/>
                    </w:rPr>
                    <w:t>合计</w:t>
                  </w:r>
                </w:p>
              </w:tc>
              <w:tc>
                <w:tcPr>
                  <w:tcW w:w="1079" w:type="dxa"/>
                  <w:tcBorders>
                    <w:top w:val="single" w:color="000000" w:sz="4" w:space="0"/>
                    <w:left w:val="nil"/>
                    <w:bottom w:val="single" w:color="000000" w:sz="4" w:space="0"/>
                    <w:right w:val="single" w:color="000000" w:sz="4" w:space="0"/>
                  </w:tcBorders>
                  <w:vAlign w:val="center"/>
                </w:tcPr>
                <w:p w14:paraId="45BD285F">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0.0009</w:t>
                  </w:r>
                </w:p>
              </w:tc>
            </w:tr>
          </w:tbl>
          <w:p w14:paraId="28B85779">
            <w:pPr>
              <w:keepNext w:val="0"/>
              <w:keepLines w:val="0"/>
              <w:suppressLineNumbers w:val="0"/>
              <w:spacing w:before="156" w:beforeLines="50" w:beforeAutospacing="0" w:after="0" w:afterAutospacing="0"/>
              <w:ind w:left="0" w:right="0" w:firstLine="480" w:firstLineChars="200"/>
              <w:contextualSpacing/>
              <w:rPr>
                <w:rFonts w:hint="default"/>
                <w:color w:val="auto"/>
                <w:kern w:val="0"/>
              </w:rPr>
            </w:pPr>
            <w:r>
              <w:rPr>
                <w:rFonts w:hint="eastAsia" w:ascii="宋体" w:hAnsi="宋体"/>
                <w:color w:val="auto"/>
                <w:kern w:val="0"/>
              </w:rPr>
              <w:t>项目危险物质数量与临界量比值（</w:t>
            </w:r>
            <w:r>
              <w:rPr>
                <w:rFonts w:hint="default"/>
                <w:color w:val="auto"/>
                <w:kern w:val="0"/>
              </w:rPr>
              <w:t>Q</w:t>
            </w:r>
            <w:r>
              <w:rPr>
                <w:rFonts w:hint="eastAsia" w:ascii="宋体" w:hAnsi="宋体"/>
                <w:color w:val="auto"/>
                <w:kern w:val="0"/>
              </w:rPr>
              <w:t>）为</w:t>
            </w:r>
            <w:r>
              <w:rPr>
                <w:rFonts w:hint="default"/>
                <w:color w:val="auto"/>
                <w:kern w:val="0"/>
              </w:rPr>
              <w:t>0.0</w:t>
            </w:r>
            <w:r>
              <w:rPr>
                <w:rFonts w:hint="eastAsia"/>
                <w:color w:val="auto"/>
                <w:kern w:val="0"/>
                <w:lang w:val="en-US" w:eastAsia="zh-CN"/>
              </w:rPr>
              <w:t>009</w:t>
            </w:r>
            <w:r>
              <w:rPr>
                <w:rFonts w:hint="eastAsia" w:ascii="宋体" w:hAnsi="宋体"/>
                <w:color w:val="auto"/>
                <w:kern w:val="0"/>
              </w:rPr>
              <w:t>＜</w:t>
            </w:r>
            <w:r>
              <w:rPr>
                <w:rFonts w:hint="default"/>
                <w:color w:val="auto"/>
                <w:kern w:val="0"/>
              </w:rPr>
              <w:t>1</w:t>
            </w:r>
            <w:r>
              <w:rPr>
                <w:rFonts w:hint="eastAsia" w:ascii="宋体" w:hAnsi="宋体"/>
                <w:color w:val="auto"/>
                <w:kern w:val="0"/>
              </w:rPr>
              <w:t>，不设专项。</w:t>
            </w:r>
          </w:p>
          <w:p w14:paraId="2B1E7500">
            <w:pPr>
              <w:keepNext w:val="0"/>
              <w:keepLines w:val="0"/>
              <w:suppressLineNumbers w:val="0"/>
              <w:spacing w:before="0" w:beforeAutospacing="0" w:after="0" w:afterAutospacing="0"/>
              <w:ind w:left="0" w:right="0" w:firstLine="482" w:firstLineChars="200"/>
              <w:contextualSpacing/>
              <w:rPr>
                <w:rFonts w:hint="default"/>
                <w:b/>
                <w:bCs/>
                <w:color w:val="auto"/>
                <w:kern w:val="0"/>
              </w:rPr>
            </w:pPr>
            <w:r>
              <w:rPr>
                <w:rFonts w:hint="eastAsia"/>
                <w:b/>
                <w:bCs/>
                <w:color w:val="auto"/>
                <w:kern w:val="0"/>
              </w:rPr>
              <w:t>3</w:t>
            </w:r>
            <w:r>
              <w:rPr>
                <w:rFonts w:hint="eastAsia" w:ascii="宋体" w:hAnsi="宋体"/>
                <w:b/>
                <w:bCs/>
                <w:color w:val="auto"/>
                <w:kern w:val="0"/>
              </w:rPr>
              <w:t>、风险源分布情况及影响途径</w:t>
            </w:r>
          </w:p>
          <w:p w14:paraId="3E451FC2">
            <w:pPr>
              <w:keepNext w:val="0"/>
              <w:keepLines w:val="0"/>
              <w:suppressLineNumbers w:val="0"/>
              <w:spacing w:before="0" w:beforeAutospacing="0" w:after="0" w:afterAutospacing="0"/>
              <w:ind w:left="0" w:right="0" w:firstLine="480" w:firstLineChars="200"/>
              <w:contextualSpacing/>
              <w:rPr>
                <w:rFonts w:hint="default" w:ascii="宋体" w:hAnsi="宋体"/>
                <w:color w:val="auto"/>
                <w:kern w:val="0"/>
              </w:rPr>
            </w:pPr>
            <w:r>
              <w:rPr>
                <w:rFonts w:hint="eastAsia" w:ascii="宋体" w:hAnsi="宋体"/>
                <w:color w:val="auto"/>
                <w:kern w:val="0"/>
              </w:rPr>
              <w:t>根据项目风险物质调查情况，结合项目风险物质的使用、暂存情况，项目环境风险源主要为危废暂存间。影响途径主要是危废暂存间中</w:t>
            </w:r>
            <w:r>
              <w:rPr>
                <w:rFonts w:hint="eastAsia" w:ascii="宋体" w:hAnsi="宋体"/>
                <w:color w:val="auto"/>
                <w:kern w:val="0"/>
                <w:lang w:val="en-US" w:eastAsia="zh-CN"/>
              </w:rPr>
              <w:t>柴油及其他含油物质</w:t>
            </w:r>
            <w:r>
              <w:rPr>
                <w:rFonts w:hint="eastAsia" w:ascii="宋体" w:hAnsi="宋体"/>
                <w:color w:val="auto"/>
                <w:kern w:val="0"/>
              </w:rPr>
              <w:t>出现泄漏、渗漏事故，溢流或者渗漏进入周边土壤和地下水，造成污染。其次，</w:t>
            </w:r>
            <w:r>
              <w:rPr>
                <w:rFonts w:hint="eastAsia" w:ascii="宋体" w:hAnsi="宋体"/>
                <w:color w:val="auto"/>
                <w:kern w:val="0"/>
                <w:lang w:val="en-US" w:eastAsia="zh-CN"/>
              </w:rPr>
              <w:t>柴油</w:t>
            </w:r>
            <w:r>
              <w:rPr>
                <w:rFonts w:hint="eastAsia" w:ascii="宋体" w:hAnsi="宋体"/>
                <w:color w:val="auto"/>
                <w:kern w:val="0"/>
              </w:rPr>
              <w:t>为可燃物质，发生泄漏后，遇明火可能引发火灾，产生次生空气污染物，进入大气环境造成大气污染。</w:t>
            </w:r>
          </w:p>
          <w:p w14:paraId="12BAB6A5">
            <w:pPr>
              <w:keepNext w:val="0"/>
              <w:keepLines w:val="0"/>
              <w:suppressLineNumbers w:val="0"/>
              <w:spacing w:before="0" w:beforeAutospacing="0" w:after="0" w:afterAutospacing="0"/>
              <w:ind w:left="0" w:right="0" w:firstLine="482" w:firstLineChars="200"/>
              <w:contextualSpacing/>
              <w:rPr>
                <w:rFonts w:hint="default" w:ascii="宋体" w:hAnsi="宋体"/>
                <w:b/>
                <w:bCs/>
                <w:color w:val="auto"/>
                <w:kern w:val="0"/>
              </w:rPr>
            </w:pPr>
            <w:r>
              <w:rPr>
                <w:rFonts w:hint="eastAsia"/>
                <w:b/>
                <w:bCs/>
                <w:color w:val="auto"/>
                <w:kern w:val="0"/>
              </w:rPr>
              <w:t>4</w:t>
            </w:r>
            <w:r>
              <w:rPr>
                <w:rFonts w:hint="eastAsia" w:ascii="宋体" w:hAnsi="宋体"/>
                <w:b/>
                <w:bCs/>
                <w:color w:val="auto"/>
                <w:kern w:val="0"/>
              </w:rPr>
              <w:t>、环境风险防范措施及应急要求</w:t>
            </w:r>
          </w:p>
          <w:p w14:paraId="66281759">
            <w:pPr>
              <w:keepNext w:val="0"/>
              <w:keepLines w:val="0"/>
              <w:suppressLineNumbers w:val="0"/>
              <w:spacing w:before="0" w:beforeAutospacing="0" w:after="0" w:afterAutospacing="0"/>
              <w:ind w:left="0" w:right="0" w:firstLine="482" w:firstLineChars="200"/>
              <w:contextualSpacing/>
              <w:rPr>
                <w:rFonts w:hint="default"/>
                <w:color w:val="auto"/>
                <w:kern w:val="0"/>
              </w:rPr>
            </w:pPr>
            <w:r>
              <w:rPr>
                <w:rFonts w:hint="eastAsia" w:ascii="宋体" w:hAnsi="宋体"/>
                <w:b/>
                <w:bCs/>
                <w:color w:val="auto"/>
                <w:kern w:val="0"/>
              </w:rPr>
              <w:t>（1）环境风险防范措施</w:t>
            </w:r>
          </w:p>
          <w:p w14:paraId="71B97138">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①</w:t>
            </w:r>
            <w:r>
              <w:rPr>
                <w:rFonts w:hint="default"/>
                <w:color w:val="auto"/>
                <w:kern w:val="0"/>
              </w:rPr>
              <w:t>项目区按照《建筑灭火器配置设计规范》（GB50140-2010）的要求设置消防设施及灭火器材，灭火器材应放在明显、易取的地方，应定期对消防设施及灭火器材进行检查、维护。</w:t>
            </w:r>
          </w:p>
          <w:p w14:paraId="1E3EA3C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②</w:t>
            </w:r>
            <w:r>
              <w:rPr>
                <w:rFonts w:hint="default"/>
                <w:color w:val="auto"/>
                <w:kern w:val="0"/>
              </w:rPr>
              <w:t>严禁动用明火、各种电热器和能引起电火花的电气设备，室外门上应挂“严禁烟火”的警告牌，定期检查完好性。</w:t>
            </w:r>
          </w:p>
          <w:p w14:paraId="09EA617F">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③</w:t>
            </w:r>
            <w:r>
              <w:rPr>
                <w:rFonts w:hint="default"/>
                <w:color w:val="auto"/>
                <w:kern w:val="0"/>
              </w:rPr>
              <w:t>加强设备电线及接头的检修及维护，防止因线路老化、接触不良等原因造成火灾事故。</w:t>
            </w:r>
          </w:p>
          <w:p w14:paraId="157250CD">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④</w:t>
            </w:r>
            <w:r>
              <w:rPr>
                <w:rFonts w:hint="default"/>
                <w:color w:val="auto"/>
                <w:kern w:val="0"/>
              </w:rPr>
              <w:t>搬运</w:t>
            </w:r>
            <w:r>
              <w:rPr>
                <w:rFonts w:hint="eastAsia"/>
                <w:color w:val="auto"/>
                <w:kern w:val="0"/>
                <w:lang w:val="en-US" w:eastAsia="zh-CN"/>
              </w:rPr>
              <w:t>柴油</w:t>
            </w:r>
            <w:r>
              <w:rPr>
                <w:rFonts w:hint="default"/>
                <w:color w:val="auto"/>
                <w:kern w:val="0"/>
              </w:rPr>
              <w:t>时要轻装轻卸，包装桶应确保无破损，若发现破损应立即更换，避免</w:t>
            </w:r>
            <w:r>
              <w:rPr>
                <w:rFonts w:hint="eastAsia"/>
                <w:color w:val="auto"/>
                <w:kern w:val="0"/>
                <w:lang w:val="en-US" w:eastAsia="zh-CN"/>
              </w:rPr>
              <w:t>发生</w:t>
            </w:r>
            <w:r>
              <w:rPr>
                <w:rFonts w:hint="default"/>
                <w:color w:val="auto"/>
                <w:kern w:val="0"/>
              </w:rPr>
              <w:t>泄漏，存放于阴凉通风的地方，远离火源。</w:t>
            </w:r>
          </w:p>
          <w:p w14:paraId="2E8C15EB">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⑤</w:t>
            </w:r>
            <w:r>
              <w:rPr>
                <w:rFonts w:hint="default"/>
                <w:color w:val="auto"/>
                <w:kern w:val="0"/>
              </w:rPr>
              <w:t>危险废物暂存间严格按《危险废物贮存污染控制标准》（GB18597-2023）中的相关要求进行建设。</w:t>
            </w:r>
          </w:p>
          <w:p w14:paraId="7C7B8F7F">
            <w:pPr>
              <w:keepNext w:val="0"/>
              <w:keepLines w:val="0"/>
              <w:suppressLineNumbers w:val="0"/>
              <w:spacing w:before="0" w:beforeAutospacing="0" w:after="0" w:afterAutospacing="0"/>
              <w:ind w:left="0" w:right="0" w:firstLine="480" w:firstLineChars="200"/>
              <w:contextualSpacing/>
              <w:rPr>
                <w:rFonts w:hint="default" w:ascii="宋体" w:hAnsi="宋体" w:eastAsia="宋体"/>
                <w:color w:val="auto"/>
                <w:kern w:val="0"/>
                <w:lang w:val="en-US" w:eastAsia="zh-CN"/>
              </w:rPr>
            </w:pPr>
            <w:r>
              <w:rPr>
                <w:rFonts w:hint="eastAsia" w:ascii="宋体" w:hAnsi="宋体" w:cs="宋体"/>
                <w:color w:val="auto"/>
                <w:kern w:val="0"/>
              </w:rPr>
              <w:t>⑥</w:t>
            </w:r>
            <w:r>
              <w:rPr>
                <w:rFonts w:hint="default"/>
                <w:color w:val="auto"/>
                <w:kern w:val="0"/>
              </w:rPr>
              <w:t>危险废物暂存间内设置</w:t>
            </w:r>
            <w:r>
              <w:rPr>
                <w:rFonts w:hint="eastAsia"/>
                <w:color w:val="auto"/>
                <w:kern w:val="0"/>
                <w:lang w:val="en-US" w:eastAsia="zh-CN"/>
              </w:rPr>
              <w:t>4</w:t>
            </w:r>
            <w:r>
              <w:rPr>
                <w:rFonts w:hint="default"/>
                <w:color w:val="auto"/>
                <w:kern w:val="0"/>
              </w:rPr>
              <w:t>t的储存罐，用于储存废油</w:t>
            </w:r>
            <w:r>
              <w:rPr>
                <w:rFonts w:hint="eastAsia"/>
                <w:color w:val="auto"/>
                <w:kern w:val="0"/>
                <w:lang w:eastAsia="zh-CN"/>
              </w:rPr>
              <w:t>，</w:t>
            </w:r>
            <w:r>
              <w:rPr>
                <w:rFonts w:hint="eastAsia"/>
                <w:color w:val="auto"/>
                <w:kern w:val="0"/>
                <w:lang w:val="en-US" w:eastAsia="zh-CN"/>
              </w:rPr>
              <w:t>隔油</w:t>
            </w:r>
            <w:r>
              <w:rPr>
                <w:rFonts w:hint="default"/>
                <w:color w:val="auto"/>
                <w:kern w:val="0"/>
              </w:rPr>
              <w:t>沉淀池浮油、污泥收集后存于危废暂存间，交有资质单位处置。</w:t>
            </w:r>
            <w:r>
              <w:rPr>
                <w:rFonts w:hint="eastAsia"/>
                <w:color w:val="auto"/>
                <w:kern w:val="0"/>
                <w:lang w:val="en-US" w:eastAsia="zh-CN"/>
              </w:rPr>
              <w:t>危废暂存间设置0.2m高的围堰，围堰内容积约2m</w:t>
            </w:r>
            <w:r>
              <w:rPr>
                <w:rFonts w:hint="eastAsia"/>
                <w:color w:val="auto"/>
                <w:kern w:val="0"/>
                <w:vertAlign w:val="superscript"/>
                <w:lang w:val="en-US" w:eastAsia="zh-CN"/>
              </w:rPr>
              <w:t>3</w:t>
            </w:r>
            <w:r>
              <w:rPr>
                <w:rFonts w:hint="eastAsia"/>
                <w:color w:val="auto"/>
                <w:kern w:val="0"/>
                <w:vertAlign w:val="baseline"/>
                <w:lang w:val="en-US" w:eastAsia="zh-CN"/>
              </w:rPr>
              <w:t>。</w:t>
            </w:r>
          </w:p>
          <w:p w14:paraId="0A7FB1E6">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default"/>
                <w:b/>
                <w:color w:val="auto"/>
                <w:kern w:val="0"/>
              </w:rPr>
              <w:t>（2）应急预案及演练</w:t>
            </w:r>
          </w:p>
          <w:p w14:paraId="39C0045A">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default"/>
                <w:color w:val="auto"/>
                <w:kern w:val="0"/>
              </w:rPr>
              <w:t>本项目应按照《突发环境事件应急预案管理暂行办法(环发[2010]113号)》和《企业事业单位突发环境事件应急预案备案管理办法（试行）》（环发[2015]4号）的相关要求编制应急预案，并报昆明市生态环境局</w:t>
            </w:r>
            <w:r>
              <w:rPr>
                <w:rFonts w:hint="eastAsia"/>
                <w:color w:val="auto"/>
                <w:kern w:val="0"/>
                <w:lang w:val="en-US" w:eastAsia="zh-CN"/>
              </w:rPr>
              <w:t>寻甸</w:t>
            </w:r>
            <w:r>
              <w:rPr>
                <w:rFonts w:hint="default"/>
                <w:color w:val="auto"/>
                <w:kern w:val="0"/>
              </w:rPr>
              <w:t>分局备案，并定期开展应急演练。</w:t>
            </w:r>
          </w:p>
          <w:p w14:paraId="3AEC2DC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5、环境风险评价结论及建议</w:t>
            </w:r>
          </w:p>
          <w:p w14:paraId="7B3B0EBF">
            <w:pPr>
              <w:keepNext w:val="0"/>
              <w:keepLines w:val="0"/>
              <w:suppressLineNumbers w:val="0"/>
              <w:spacing w:before="0" w:beforeAutospacing="0" w:after="0" w:afterAutospacing="0"/>
              <w:ind w:left="0" w:right="0" w:firstLine="480"/>
              <w:rPr>
                <w:rFonts w:hint="default"/>
                <w:color w:val="auto"/>
              </w:rPr>
            </w:pPr>
            <w:r>
              <w:rPr>
                <w:rFonts w:hint="eastAsia" w:ascii="宋体" w:hAnsi="宋体"/>
                <w:color w:val="auto"/>
              </w:rPr>
              <w:t>通过分析，项目建成后对环境产生的风险主要表现在相关污染治理设备和必要防护设施的故障，通过采取本环评中的相关产生后，可在较大程度上避免风险的产生，同时项目建设方针对本评价提出的环境风险，建设单位应编制本项目突发环境事件应急预案，并上报环保部门备案，可在较短时间内控制风险对环境的影响范围和程度，因此项目方在项目建设阶段就应充分考虑风险的发生及处理措施、方案，将可能的风险产生及影响降低到最低。</w:t>
            </w:r>
          </w:p>
          <w:p w14:paraId="09CB463B">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w:t>
            </w:r>
            <w:r>
              <w:rPr>
                <w:rFonts w:hint="eastAsia"/>
                <w:b/>
                <w:bCs/>
                <w:color w:val="auto"/>
                <w:sz w:val="21"/>
                <w:szCs w:val="21"/>
                <w:lang w:val="en-US" w:eastAsia="zh-CN"/>
              </w:rPr>
              <w:t>18</w:t>
            </w:r>
            <w:r>
              <w:rPr>
                <w:rFonts w:hint="eastAsia"/>
                <w:b/>
                <w:bCs/>
                <w:color w:val="auto"/>
                <w:sz w:val="21"/>
                <w:szCs w:val="21"/>
              </w:rPr>
              <w:t xml:space="preserve"> </w:t>
            </w:r>
            <w:r>
              <w:rPr>
                <w:rFonts w:hint="eastAsia" w:ascii="宋体" w:hAnsi="宋体"/>
                <w:b/>
                <w:bCs/>
                <w:color w:val="auto"/>
                <w:sz w:val="21"/>
                <w:szCs w:val="21"/>
              </w:rPr>
              <w:t>环境风险简单分析表</w:t>
            </w:r>
          </w:p>
          <w:tbl>
            <w:tblPr>
              <w:tblStyle w:val="29"/>
              <w:tblW w:w="7840" w:type="dxa"/>
              <w:jc w:val="center"/>
              <w:tblLayout w:type="autofit"/>
              <w:tblCellMar>
                <w:top w:w="0" w:type="dxa"/>
                <w:left w:w="108" w:type="dxa"/>
                <w:bottom w:w="0" w:type="dxa"/>
                <w:right w:w="108" w:type="dxa"/>
              </w:tblCellMar>
            </w:tblPr>
            <w:tblGrid>
              <w:gridCol w:w="1790"/>
              <w:gridCol w:w="1228"/>
              <w:gridCol w:w="1410"/>
              <w:gridCol w:w="1396"/>
              <w:gridCol w:w="2016"/>
            </w:tblGrid>
            <w:tr w14:paraId="4A2C5180">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3AA3BB7">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建设项目名称</w:t>
                  </w:r>
                </w:p>
              </w:tc>
              <w:tc>
                <w:tcPr>
                  <w:tcW w:w="6050" w:type="dxa"/>
                  <w:gridSpan w:val="4"/>
                  <w:tcBorders>
                    <w:top w:val="single" w:color="auto" w:sz="4" w:space="0"/>
                    <w:left w:val="single" w:color="auto" w:sz="4" w:space="0"/>
                    <w:bottom w:val="single" w:color="auto" w:sz="4" w:space="0"/>
                    <w:right w:val="single" w:color="auto" w:sz="4" w:space="0"/>
                  </w:tcBorders>
                  <w:vAlign w:val="center"/>
                </w:tcPr>
                <w:p w14:paraId="2F210BA3">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Times New Roman" w:hAnsi="Times New Roman"/>
                      <w:color w:val="auto"/>
                      <w:highlight w:val="none"/>
                    </w:rPr>
                    <w:t>危险品车辆清洗</w:t>
                  </w:r>
                </w:p>
              </w:tc>
            </w:tr>
            <w:tr w14:paraId="13184DF4">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206AEF88">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建设地点</w:t>
                  </w:r>
                </w:p>
              </w:tc>
              <w:tc>
                <w:tcPr>
                  <w:tcW w:w="1228" w:type="dxa"/>
                  <w:tcBorders>
                    <w:top w:val="single" w:color="auto" w:sz="4" w:space="0"/>
                    <w:left w:val="single" w:color="auto" w:sz="4" w:space="0"/>
                    <w:bottom w:val="single" w:color="auto" w:sz="4" w:space="0"/>
                    <w:right w:val="single" w:color="auto" w:sz="4" w:space="0"/>
                  </w:tcBorders>
                  <w:vAlign w:val="center"/>
                </w:tcPr>
                <w:p w14:paraId="61ABD20F">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（云南）省</w:t>
                  </w:r>
                </w:p>
              </w:tc>
              <w:tc>
                <w:tcPr>
                  <w:tcW w:w="1410" w:type="dxa"/>
                  <w:tcBorders>
                    <w:top w:val="single" w:color="auto" w:sz="4" w:space="0"/>
                    <w:left w:val="single" w:color="auto" w:sz="4" w:space="0"/>
                    <w:bottom w:val="single" w:color="auto" w:sz="4" w:space="0"/>
                    <w:right w:val="single" w:color="auto" w:sz="4" w:space="0"/>
                  </w:tcBorders>
                  <w:vAlign w:val="center"/>
                </w:tcPr>
                <w:p w14:paraId="7FE0AF3F">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（昆明）市</w:t>
                  </w:r>
                </w:p>
              </w:tc>
              <w:tc>
                <w:tcPr>
                  <w:tcW w:w="1396" w:type="dxa"/>
                  <w:tcBorders>
                    <w:top w:val="single" w:color="auto" w:sz="4" w:space="0"/>
                    <w:left w:val="single" w:color="auto" w:sz="4" w:space="0"/>
                    <w:bottom w:val="single" w:color="auto" w:sz="4" w:space="0"/>
                    <w:right w:val="single" w:color="auto" w:sz="4" w:space="0"/>
                  </w:tcBorders>
                  <w:vAlign w:val="center"/>
                </w:tcPr>
                <w:p w14:paraId="5693B5FA">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w:t>
                  </w:r>
                  <w:r>
                    <w:rPr>
                      <w:rFonts w:hint="eastAsia" w:ascii="宋体" w:hAnsi="宋体"/>
                      <w:color w:val="auto"/>
                      <w:sz w:val="21"/>
                      <w:szCs w:val="21"/>
                      <w:lang w:val="en-US" w:eastAsia="zh-CN"/>
                    </w:rPr>
                    <w:t>寻甸</w:t>
                  </w:r>
                  <w:r>
                    <w:rPr>
                      <w:rFonts w:hint="eastAsia" w:ascii="宋体" w:hAnsi="宋体"/>
                      <w:color w:val="auto"/>
                      <w:sz w:val="21"/>
                      <w:szCs w:val="21"/>
                    </w:rPr>
                    <w:t>）区</w:t>
                  </w:r>
                </w:p>
              </w:tc>
              <w:tc>
                <w:tcPr>
                  <w:tcW w:w="2016" w:type="dxa"/>
                  <w:tcBorders>
                    <w:top w:val="single" w:color="auto" w:sz="4" w:space="0"/>
                    <w:left w:val="single" w:color="auto" w:sz="4" w:space="0"/>
                    <w:bottom w:val="single" w:color="auto" w:sz="4" w:space="0"/>
                    <w:right w:val="single" w:color="auto" w:sz="4" w:space="0"/>
                  </w:tcBorders>
                  <w:vAlign w:val="center"/>
                </w:tcPr>
                <w:p w14:paraId="512DE717">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寻甸县特色产业园区金所片区</w:t>
                  </w:r>
                </w:p>
              </w:tc>
            </w:tr>
            <w:tr w14:paraId="1AC27238">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133F734A">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地理坐标（经纬度）</w:t>
                  </w:r>
                </w:p>
              </w:tc>
              <w:tc>
                <w:tcPr>
                  <w:tcW w:w="6050" w:type="dxa"/>
                  <w:gridSpan w:val="4"/>
                  <w:tcBorders>
                    <w:top w:val="single" w:color="auto" w:sz="4" w:space="0"/>
                    <w:left w:val="single" w:color="auto" w:sz="4" w:space="0"/>
                    <w:bottom w:val="single" w:color="auto" w:sz="4" w:space="0"/>
                    <w:right w:val="single" w:color="auto" w:sz="4" w:space="0"/>
                  </w:tcBorders>
                  <w:vAlign w:val="center"/>
                </w:tcPr>
                <w:p w14:paraId="52716A30">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经度103°</w:t>
                  </w:r>
                  <w:r>
                    <w:rPr>
                      <w:rFonts w:hint="eastAsia"/>
                      <w:color w:val="auto"/>
                      <w:sz w:val="21"/>
                      <w:szCs w:val="21"/>
                      <w:lang w:val="en-US" w:eastAsia="zh-CN"/>
                    </w:rPr>
                    <w:t>1</w:t>
                  </w:r>
                  <w:r>
                    <w:rPr>
                      <w:rFonts w:hint="default"/>
                      <w:color w:val="auto"/>
                      <w:sz w:val="21"/>
                      <w:szCs w:val="21"/>
                    </w:rPr>
                    <w:t>2′</w:t>
                  </w:r>
                  <w:r>
                    <w:rPr>
                      <w:rFonts w:hint="eastAsia"/>
                      <w:color w:val="auto"/>
                      <w:sz w:val="21"/>
                      <w:szCs w:val="21"/>
                      <w:lang w:val="en-US" w:eastAsia="zh-CN"/>
                    </w:rPr>
                    <w:t>20.282</w:t>
                  </w:r>
                  <w:r>
                    <w:rPr>
                      <w:rFonts w:hint="default"/>
                      <w:color w:val="auto"/>
                      <w:sz w:val="21"/>
                      <w:szCs w:val="21"/>
                    </w:rPr>
                    <w:t>″，</w:t>
                  </w:r>
                  <w:r>
                    <w:rPr>
                      <w:rFonts w:hint="eastAsia"/>
                      <w:color w:val="auto"/>
                      <w:sz w:val="21"/>
                      <w:szCs w:val="21"/>
                      <w:lang w:val="en-US" w:eastAsia="zh-CN"/>
                    </w:rPr>
                    <w:t>纬度</w:t>
                  </w:r>
                  <w:r>
                    <w:rPr>
                      <w:rFonts w:hint="default"/>
                      <w:color w:val="auto"/>
                      <w:sz w:val="21"/>
                      <w:szCs w:val="21"/>
                    </w:rPr>
                    <w:t>25°</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19.857</w:t>
                  </w:r>
                  <w:r>
                    <w:rPr>
                      <w:rFonts w:hint="default"/>
                      <w:color w:val="auto"/>
                      <w:sz w:val="21"/>
                      <w:szCs w:val="21"/>
                    </w:rPr>
                    <w:t>″</w:t>
                  </w:r>
                </w:p>
              </w:tc>
            </w:tr>
            <w:tr w14:paraId="72C56C3D">
              <w:tblPrEx>
                <w:tblCellMar>
                  <w:top w:w="0" w:type="dxa"/>
                  <w:left w:w="108" w:type="dxa"/>
                  <w:bottom w:w="0" w:type="dxa"/>
                  <w:right w:w="108" w:type="dxa"/>
                </w:tblCellMar>
              </w:tblPrEx>
              <w:trPr>
                <w:trHeight w:val="72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DB2B465">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主要危险物质及分布</w:t>
                  </w:r>
                </w:p>
              </w:tc>
              <w:tc>
                <w:tcPr>
                  <w:tcW w:w="6050" w:type="dxa"/>
                  <w:gridSpan w:val="4"/>
                  <w:tcBorders>
                    <w:top w:val="single" w:color="auto" w:sz="4" w:space="0"/>
                    <w:left w:val="single" w:color="auto" w:sz="4" w:space="0"/>
                    <w:bottom w:val="single" w:color="auto" w:sz="4" w:space="0"/>
                    <w:right w:val="single" w:color="auto" w:sz="4" w:space="0"/>
                  </w:tcBorders>
                  <w:vAlign w:val="center"/>
                </w:tcPr>
                <w:p w14:paraId="45B45A11">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olor w:val="auto"/>
                      <w:sz w:val="21"/>
                      <w:szCs w:val="21"/>
                    </w:rPr>
                    <w:t>涉及的风险物质主要为</w:t>
                  </w:r>
                  <w:r>
                    <w:rPr>
                      <w:rFonts w:hint="eastAsia" w:ascii="宋体" w:hAnsi="宋体"/>
                      <w:color w:val="auto"/>
                      <w:sz w:val="21"/>
                      <w:szCs w:val="21"/>
                      <w:lang w:val="en-US" w:eastAsia="zh-CN"/>
                    </w:rPr>
                    <w:t>柴油</w:t>
                  </w:r>
                  <w:r>
                    <w:rPr>
                      <w:rFonts w:hint="eastAsia" w:ascii="宋体" w:hAnsi="宋体"/>
                      <w:color w:val="auto"/>
                      <w:sz w:val="21"/>
                      <w:szCs w:val="21"/>
                    </w:rPr>
                    <w:t>，主要在危险废物暂存间储存。</w:t>
                  </w:r>
                </w:p>
              </w:tc>
            </w:tr>
            <w:tr w14:paraId="07D61D90">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CF4C85D">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环境影响途径及危害后果（大气、地表水、地下水等）</w:t>
                  </w:r>
                </w:p>
              </w:tc>
              <w:tc>
                <w:tcPr>
                  <w:tcW w:w="6050" w:type="dxa"/>
                  <w:gridSpan w:val="4"/>
                  <w:tcBorders>
                    <w:top w:val="single" w:color="auto" w:sz="4" w:space="0"/>
                    <w:left w:val="single" w:color="auto" w:sz="4" w:space="0"/>
                    <w:bottom w:val="single" w:color="auto" w:sz="4" w:space="0"/>
                    <w:right w:val="single" w:color="auto" w:sz="4" w:space="0"/>
                  </w:tcBorders>
                  <w:vAlign w:val="center"/>
                </w:tcPr>
                <w:p w14:paraId="046D0D65">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default" w:ascii="宋体" w:hAnsi="宋体"/>
                      <w:color w:val="auto"/>
                      <w:sz w:val="21"/>
                      <w:szCs w:val="21"/>
                    </w:rPr>
                    <w:t>对环境产生的影响主要是风险物质泄露进入地下可能对水体和土壤造成污染；遇明火、高热发生火灾，对大气环境造成污染。本项目风险物质存储量较小，</w:t>
                  </w:r>
                  <w:r>
                    <w:rPr>
                      <w:rFonts w:hint="eastAsia" w:ascii="宋体" w:hAnsi="宋体"/>
                      <w:color w:val="auto"/>
                      <w:sz w:val="21"/>
                      <w:szCs w:val="21"/>
                      <w:lang w:val="en-US" w:eastAsia="zh-CN"/>
                    </w:rPr>
                    <w:t>场地</w:t>
                  </w:r>
                  <w:r>
                    <w:rPr>
                      <w:rFonts w:hint="eastAsia" w:ascii="宋体" w:hAnsi="宋体"/>
                      <w:color w:val="auto"/>
                      <w:sz w:val="21"/>
                      <w:szCs w:val="21"/>
                    </w:rPr>
                    <w:t>地面进行了硬化处置、危废贮存间</w:t>
                  </w:r>
                  <w:r>
                    <w:rPr>
                      <w:rFonts w:hint="default" w:ascii="宋体" w:hAnsi="宋体"/>
                      <w:color w:val="auto"/>
                      <w:sz w:val="21"/>
                      <w:szCs w:val="21"/>
                    </w:rPr>
                    <w:t>均进行了防渗处理，基本不会对地下水、土壤产生影响。在存储过程中远离火种、热源，避免引起火灾及爆炸。所以，本项目对大气环境风险及地下水环境</w:t>
                  </w:r>
                  <w:r>
                    <w:rPr>
                      <w:rFonts w:hint="eastAsia" w:ascii="宋体" w:hAnsi="宋体"/>
                      <w:color w:val="auto"/>
                      <w:sz w:val="21"/>
                      <w:szCs w:val="21"/>
                    </w:rPr>
                    <w:t>风</w:t>
                  </w:r>
                  <w:r>
                    <w:rPr>
                      <w:rFonts w:hint="default" w:ascii="宋体" w:hAnsi="宋体"/>
                      <w:color w:val="auto"/>
                      <w:sz w:val="21"/>
                      <w:szCs w:val="21"/>
                    </w:rPr>
                    <w:t>险产生的影响很小。</w:t>
                  </w:r>
                </w:p>
              </w:tc>
            </w:tr>
            <w:tr w14:paraId="29F996BD">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65E31469">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风险防范措施要求</w:t>
                  </w:r>
                </w:p>
              </w:tc>
              <w:tc>
                <w:tcPr>
                  <w:tcW w:w="6050" w:type="dxa"/>
                  <w:gridSpan w:val="4"/>
                  <w:tcBorders>
                    <w:top w:val="single" w:color="auto" w:sz="4" w:space="0"/>
                    <w:left w:val="single" w:color="auto" w:sz="4" w:space="0"/>
                    <w:bottom w:val="single" w:color="auto" w:sz="4" w:space="0"/>
                    <w:right w:val="single" w:color="auto" w:sz="4" w:space="0"/>
                  </w:tcBorders>
                  <w:vAlign w:val="center"/>
                </w:tcPr>
                <w:p w14:paraId="3690B898">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①</w:t>
                  </w:r>
                  <w:r>
                    <w:rPr>
                      <w:rFonts w:hint="default" w:ascii="宋体" w:hAnsi="宋体"/>
                      <w:color w:val="auto"/>
                      <w:sz w:val="21"/>
                      <w:szCs w:val="21"/>
                    </w:rPr>
                    <w:t>项目区按照《建筑灭火器配置设计规范》（</w:t>
                  </w:r>
                  <w:r>
                    <w:rPr>
                      <w:rFonts w:hint="default"/>
                      <w:color w:val="auto"/>
                      <w:sz w:val="21"/>
                      <w:szCs w:val="21"/>
                    </w:rPr>
                    <w:t>GB50140-2010</w:t>
                  </w:r>
                  <w:r>
                    <w:rPr>
                      <w:rFonts w:hint="default" w:ascii="宋体" w:hAnsi="宋体"/>
                      <w:color w:val="auto"/>
                      <w:sz w:val="21"/>
                      <w:szCs w:val="21"/>
                    </w:rPr>
                    <w:t>）的要求设置消防设施及灭火器材，灭火器材应放在明显、易取的地方，应定期对消防设施及灭火器材进行检查、维护。</w:t>
                  </w:r>
                </w:p>
                <w:p w14:paraId="506ED249">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②</w:t>
                  </w:r>
                  <w:r>
                    <w:rPr>
                      <w:rFonts w:hint="default" w:ascii="宋体" w:hAnsi="宋体"/>
                      <w:color w:val="auto"/>
                      <w:sz w:val="21"/>
                      <w:szCs w:val="21"/>
                    </w:rPr>
                    <w:t>严禁动用明火、各种电热器和能引起电火花的电气设备，室外门上应挂</w:t>
                  </w:r>
                  <w:r>
                    <w:rPr>
                      <w:rFonts w:hint="default"/>
                      <w:color w:val="auto"/>
                      <w:sz w:val="21"/>
                      <w:szCs w:val="21"/>
                    </w:rPr>
                    <w:t>“</w:t>
                  </w:r>
                  <w:r>
                    <w:rPr>
                      <w:rFonts w:hint="default" w:ascii="宋体" w:hAnsi="宋体"/>
                      <w:color w:val="auto"/>
                      <w:sz w:val="21"/>
                      <w:szCs w:val="21"/>
                    </w:rPr>
                    <w:t>严禁烟火</w:t>
                  </w:r>
                  <w:r>
                    <w:rPr>
                      <w:rFonts w:hint="default"/>
                      <w:color w:val="auto"/>
                      <w:sz w:val="21"/>
                      <w:szCs w:val="21"/>
                    </w:rPr>
                    <w:t>”</w:t>
                  </w:r>
                  <w:r>
                    <w:rPr>
                      <w:rFonts w:hint="default" w:ascii="宋体" w:hAnsi="宋体"/>
                      <w:color w:val="auto"/>
                      <w:sz w:val="21"/>
                      <w:szCs w:val="21"/>
                    </w:rPr>
                    <w:t>的警告牌，定期检查完好性。</w:t>
                  </w:r>
                </w:p>
                <w:p w14:paraId="3E1F4215">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③</w:t>
                  </w:r>
                  <w:r>
                    <w:rPr>
                      <w:rFonts w:hint="default" w:ascii="宋体" w:hAnsi="宋体"/>
                      <w:color w:val="auto"/>
                      <w:sz w:val="21"/>
                      <w:szCs w:val="21"/>
                    </w:rPr>
                    <w:t>加强设备电线及接头的检修及维护，防止因线路老化、接触不良等原因造成火灾事故。</w:t>
                  </w:r>
                </w:p>
                <w:p w14:paraId="5B0F1DFC">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④</w:t>
                  </w:r>
                  <w:r>
                    <w:rPr>
                      <w:rFonts w:hint="default" w:ascii="宋体" w:hAnsi="宋体"/>
                      <w:color w:val="auto"/>
                      <w:sz w:val="21"/>
                      <w:szCs w:val="21"/>
                    </w:rPr>
                    <w:t>搬运</w:t>
                  </w:r>
                  <w:r>
                    <w:rPr>
                      <w:rFonts w:hint="eastAsia" w:ascii="宋体" w:hAnsi="宋体"/>
                      <w:color w:val="auto"/>
                      <w:sz w:val="21"/>
                      <w:szCs w:val="21"/>
                      <w:lang w:val="en-US" w:eastAsia="zh-CN"/>
                    </w:rPr>
                    <w:t>油类物质</w:t>
                  </w:r>
                  <w:r>
                    <w:rPr>
                      <w:rFonts w:hint="default" w:ascii="宋体" w:hAnsi="宋体"/>
                      <w:color w:val="auto"/>
                      <w:sz w:val="21"/>
                      <w:szCs w:val="21"/>
                    </w:rPr>
                    <w:t>时要轻装轻卸，包装桶应确保无破损，若发现破损应立即更换，避免废矿物油泄漏，存放于阴凉通风的地方，远离火源。</w:t>
                  </w:r>
                </w:p>
                <w:p w14:paraId="7BEE26AA">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⑤</w:t>
                  </w:r>
                  <w:r>
                    <w:rPr>
                      <w:rFonts w:hint="default" w:ascii="宋体" w:hAnsi="宋体"/>
                      <w:color w:val="auto"/>
                      <w:sz w:val="21"/>
                      <w:szCs w:val="21"/>
                    </w:rPr>
                    <w:t>危险废物暂存间严格按照《危险废物贮存污染控制标准》（</w:t>
                  </w:r>
                  <w:r>
                    <w:rPr>
                      <w:rFonts w:hint="default"/>
                      <w:color w:val="auto"/>
                      <w:sz w:val="21"/>
                      <w:szCs w:val="21"/>
                    </w:rPr>
                    <w:t>GB18597-2023</w:t>
                  </w:r>
                  <w:r>
                    <w:rPr>
                      <w:rFonts w:hint="default" w:ascii="宋体" w:hAnsi="宋体"/>
                      <w:color w:val="auto"/>
                      <w:sz w:val="21"/>
                      <w:szCs w:val="21"/>
                    </w:rPr>
                    <w:t>）中的相关要求进行建设，地面及裙脚进行重点防渗，渗透系数</w:t>
                  </w:r>
                  <w:r>
                    <w:rPr>
                      <w:rFonts w:hint="default"/>
                      <w:color w:val="auto"/>
                      <w:sz w:val="21"/>
                      <w:szCs w:val="21"/>
                    </w:rPr>
                    <w:t>≤1×10</w:t>
                  </w:r>
                  <w:r>
                    <w:rPr>
                      <w:rFonts w:hint="default"/>
                      <w:color w:val="auto"/>
                      <w:sz w:val="21"/>
                      <w:szCs w:val="21"/>
                      <w:vertAlign w:val="superscript"/>
                    </w:rPr>
                    <w:t>-10</w:t>
                  </w:r>
                  <w:r>
                    <w:rPr>
                      <w:rFonts w:hint="default"/>
                      <w:color w:val="auto"/>
                      <w:sz w:val="21"/>
                      <w:szCs w:val="21"/>
                    </w:rPr>
                    <w:t>cm/s</w:t>
                  </w:r>
                  <w:r>
                    <w:rPr>
                      <w:rFonts w:hint="default" w:ascii="宋体" w:hAnsi="宋体"/>
                      <w:color w:val="auto"/>
                      <w:sz w:val="21"/>
                      <w:szCs w:val="21"/>
                    </w:rPr>
                    <w:t>。危废间设置规范标识标牌。</w:t>
                  </w:r>
                </w:p>
                <w:p w14:paraId="056F0F4C">
                  <w:pPr>
                    <w:keepNext w:val="0"/>
                    <w:keepLines w:val="0"/>
                    <w:suppressLineNumbers w:val="0"/>
                    <w:autoSpaceDE w:val="0"/>
                    <w:autoSpaceDN w:val="0"/>
                    <w:spacing w:before="0" w:beforeAutospacing="0" w:after="0" w:afterAutospacing="0" w:line="240" w:lineRule="auto"/>
                    <w:ind w:left="0" w:right="0"/>
                    <w:contextualSpacing/>
                    <w:rPr>
                      <w:rFonts w:hint="default" w:ascii="宋体" w:hAnsi="宋体" w:cs="宋体"/>
                      <w:color w:val="auto"/>
                      <w:sz w:val="21"/>
                      <w:szCs w:val="21"/>
                    </w:rPr>
                  </w:pPr>
                  <w:r>
                    <w:rPr>
                      <w:rFonts w:hint="eastAsia" w:ascii="宋体" w:hAnsi="宋体" w:cs="宋体"/>
                      <w:color w:val="auto"/>
                      <w:sz w:val="21"/>
                      <w:szCs w:val="21"/>
                    </w:rPr>
                    <w:t>⑥</w:t>
                  </w:r>
                  <w:r>
                    <w:rPr>
                      <w:rFonts w:hint="default"/>
                      <w:color w:val="auto"/>
                      <w:kern w:val="0"/>
                      <w:sz w:val="21"/>
                      <w:szCs w:val="21"/>
                    </w:rPr>
                    <w:t>危险废物暂存间内设置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default"/>
                      <w:color w:val="auto"/>
                      <w:kern w:val="0"/>
                      <w:sz w:val="21"/>
                      <w:szCs w:val="21"/>
                    </w:rPr>
                    <w:t>t的储存罐用于储存废油</w:t>
                  </w:r>
                  <w:r>
                    <w:rPr>
                      <w:rFonts w:hint="eastAsia"/>
                      <w:color w:val="auto"/>
                      <w:kern w:val="0"/>
                      <w:sz w:val="21"/>
                      <w:szCs w:val="21"/>
                      <w:lang w:eastAsia="zh-CN"/>
                    </w:rPr>
                    <w:t>，</w:t>
                  </w:r>
                  <w:r>
                    <w:rPr>
                      <w:rFonts w:hint="eastAsia"/>
                      <w:color w:val="auto"/>
                      <w:kern w:val="0"/>
                      <w:sz w:val="21"/>
                      <w:szCs w:val="21"/>
                      <w:lang w:val="en-US" w:eastAsia="zh-CN"/>
                    </w:rPr>
                    <w:t>隔油</w:t>
                  </w:r>
                  <w:r>
                    <w:rPr>
                      <w:rFonts w:hint="default"/>
                      <w:color w:val="auto"/>
                      <w:kern w:val="0"/>
                      <w:sz w:val="21"/>
                      <w:szCs w:val="21"/>
                    </w:rPr>
                    <w:t>沉淀池浮油、污泥收集后存于危废暂存间，交有资质单位处置。</w:t>
                  </w:r>
                  <w:r>
                    <w:rPr>
                      <w:rFonts w:hint="eastAsia"/>
                      <w:color w:val="auto"/>
                      <w:kern w:val="0"/>
                      <w:sz w:val="21"/>
                      <w:szCs w:val="21"/>
                      <w:lang w:val="en-US" w:eastAsia="zh-CN"/>
                    </w:rPr>
                    <w:t>危废暂存间设置0.2m高的围堰，围堰内容积约2m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p w14:paraId="3C52543F">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⑦</w:t>
                  </w:r>
                  <w:r>
                    <w:rPr>
                      <w:rFonts w:hint="default" w:ascii="宋体" w:hAnsi="宋体"/>
                      <w:color w:val="auto"/>
                      <w:sz w:val="21"/>
                      <w:szCs w:val="21"/>
                    </w:rPr>
                    <w:t>编制突发环境事件应急预案，并报昆明市生态环境局</w:t>
                  </w:r>
                  <w:r>
                    <w:rPr>
                      <w:rFonts w:hint="eastAsia" w:ascii="宋体" w:hAnsi="宋体"/>
                      <w:color w:val="auto"/>
                      <w:sz w:val="21"/>
                      <w:szCs w:val="21"/>
                      <w:lang w:val="en-US" w:eastAsia="zh-CN"/>
                    </w:rPr>
                    <w:t>寻甸</w:t>
                  </w:r>
                  <w:r>
                    <w:rPr>
                      <w:rFonts w:hint="default" w:ascii="宋体" w:hAnsi="宋体"/>
                      <w:color w:val="auto"/>
                      <w:sz w:val="21"/>
                      <w:szCs w:val="21"/>
                    </w:rPr>
                    <w:t>分局备案。</w:t>
                  </w:r>
                </w:p>
              </w:tc>
            </w:tr>
            <w:tr w14:paraId="73687772">
              <w:tblPrEx>
                <w:tblCellMar>
                  <w:top w:w="0" w:type="dxa"/>
                  <w:left w:w="108" w:type="dxa"/>
                  <w:bottom w:w="0" w:type="dxa"/>
                  <w:right w:w="108" w:type="dxa"/>
                </w:tblCellMar>
              </w:tblPrEx>
              <w:trPr>
                <w:trHeight w:val="1561" w:hRule="atLeast"/>
                <w:jc w:val="center"/>
              </w:trPr>
              <w:tc>
                <w:tcPr>
                  <w:tcW w:w="7840" w:type="dxa"/>
                  <w:gridSpan w:val="5"/>
                  <w:tcBorders>
                    <w:top w:val="single" w:color="auto" w:sz="4" w:space="0"/>
                    <w:left w:val="single" w:color="auto" w:sz="4" w:space="0"/>
                    <w:bottom w:val="single" w:color="auto" w:sz="4" w:space="0"/>
                    <w:right w:val="single" w:color="auto" w:sz="4" w:space="0"/>
                  </w:tcBorders>
                  <w:vAlign w:val="center"/>
                </w:tcPr>
                <w:p w14:paraId="5CB040F2">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default" w:ascii="宋体" w:hAnsi="宋体"/>
                      <w:color w:val="auto"/>
                      <w:sz w:val="21"/>
                      <w:szCs w:val="21"/>
                    </w:rPr>
                    <w:t>填表说明（列出项目相关信息及评价说明）：</w:t>
                  </w:r>
                </w:p>
                <w:p w14:paraId="7C49074D">
                  <w:pPr>
                    <w:keepNext w:val="0"/>
                    <w:keepLines w:val="0"/>
                    <w:suppressLineNumbers w:val="0"/>
                    <w:autoSpaceDE w:val="0"/>
                    <w:autoSpaceDN w:val="0"/>
                    <w:spacing w:before="0" w:beforeAutospacing="0" w:after="0" w:afterAutospacing="0" w:line="240" w:lineRule="auto"/>
                    <w:ind w:left="0" w:right="0"/>
                    <w:contextualSpacing/>
                    <w:rPr>
                      <w:rFonts w:hint="default" w:ascii="宋体" w:hAnsi="宋体"/>
                      <w:color w:val="auto"/>
                      <w:sz w:val="21"/>
                      <w:szCs w:val="21"/>
                    </w:rPr>
                  </w:pPr>
                  <w:r>
                    <w:rPr>
                      <w:rFonts w:hint="default" w:ascii="宋体" w:hAnsi="宋体"/>
                      <w:color w:val="auto"/>
                      <w:sz w:val="21"/>
                      <w:szCs w:val="21"/>
                    </w:rPr>
                    <w:t>根据《建设项目环境风险评价技术导则》（</w:t>
                  </w:r>
                  <w:r>
                    <w:rPr>
                      <w:rFonts w:hint="default"/>
                      <w:color w:val="auto"/>
                      <w:sz w:val="21"/>
                      <w:szCs w:val="21"/>
                    </w:rPr>
                    <w:t>HJ/T169-2018</w:t>
                  </w:r>
                  <w:r>
                    <w:rPr>
                      <w:rFonts w:hint="default" w:ascii="宋体" w:hAnsi="宋体"/>
                      <w:color w:val="auto"/>
                      <w:sz w:val="21"/>
                      <w:szCs w:val="21"/>
                    </w:rPr>
                    <w:t>）附录</w:t>
                  </w:r>
                  <w:r>
                    <w:rPr>
                      <w:rFonts w:hint="default"/>
                      <w:color w:val="auto"/>
                      <w:sz w:val="21"/>
                      <w:szCs w:val="21"/>
                    </w:rPr>
                    <w:t>B</w:t>
                  </w:r>
                  <w:r>
                    <w:rPr>
                      <w:rFonts w:hint="default" w:ascii="宋体" w:hAnsi="宋体"/>
                      <w:color w:val="auto"/>
                      <w:sz w:val="21"/>
                      <w:szCs w:val="21"/>
                    </w:rPr>
                    <w:t>，本项目所涉及的危险物质为</w:t>
                  </w:r>
                  <w:r>
                    <w:rPr>
                      <w:rFonts w:hint="eastAsia" w:ascii="宋体" w:hAnsi="宋体"/>
                      <w:color w:val="auto"/>
                      <w:sz w:val="21"/>
                      <w:szCs w:val="21"/>
                      <w:lang w:val="en-US" w:eastAsia="zh-CN"/>
                    </w:rPr>
                    <w:t>柴油</w:t>
                  </w:r>
                  <w:r>
                    <w:rPr>
                      <w:rFonts w:hint="default" w:ascii="宋体" w:hAnsi="宋体"/>
                      <w:color w:val="auto"/>
                      <w:sz w:val="21"/>
                      <w:szCs w:val="21"/>
                    </w:rPr>
                    <w:t>，经计算本项目危险物质数量与临界值比值（</w:t>
                  </w:r>
                  <w:r>
                    <w:rPr>
                      <w:rFonts w:hint="default"/>
                      <w:color w:val="auto"/>
                      <w:sz w:val="21"/>
                      <w:szCs w:val="21"/>
                    </w:rPr>
                    <w:t>Q</w:t>
                  </w:r>
                  <w:r>
                    <w:rPr>
                      <w:rFonts w:hint="default" w:ascii="宋体" w:hAnsi="宋体"/>
                      <w:color w:val="auto"/>
                      <w:sz w:val="21"/>
                      <w:szCs w:val="21"/>
                    </w:rPr>
                    <w:t>）小于</w:t>
                  </w:r>
                  <w:r>
                    <w:rPr>
                      <w:rFonts w:hint="default"/>
                      <w:color w:val="auto"/>
                      <w:sz w:val="21"/>
                      <w:szCs w:val="21"/>
                    </w:rPr>
                    <w:t>1</w:t>
                  </w:r>
                  <w:r>
                    <w:rPr>
                      <w:rFonts w:hint="default" w:ascii="宋体" w:hAnsi="宋体"/>
                      <w:color w:val="auto"/>
                      <w:sz w:val="21"/>
                      <w:szCs w:val="21"/>
                    </w:rPr>
                    <w:t>，则本项目环境风险潜势为</w:t>
                  </w:r>
                  <w:r>
                    <w:rPr>
                      <w:rFonts w:hint="default"/>
                      <w:color w:val="auto"/>
                      <w:sz w:val="21"/>
                      <w:szCs w:val="21"/>
                    </w:rPr>
                    <w:t>Ⅰ</w:t>
                  </w:r>
                  <w:r>
                    <w:rPr>
                      <w:rFonts w:hint="default" w:ascii="宋体" w:hAnsi="宋体"/>
                      <w:color w:val="auto"/>
                      <w:sz w:val="21"/>
                      <w:szCs w:val="21"/>
                    </w:rPr>
                    <w:t>，环境风险评级等级为简单分析。</w:t>
                  </w:r>
                  <w:r>
                    <w:rPr>
                      <w:rFonts w:hint="eastAsia" w:ascii="宋体" w:hAnsi="宋体"/>
                      <w:color w:val="auto"/>
                      <w:sz w:val="21"/>
                      <w:szCs w:val="21"/>
                    </w:rPr>
                    <w:t>因此不对环境风险进行进一步预测分析。</w:t>
                  </w:r>
                </w:p>
                <w:p w14:paraId="0602EFDE">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olor w:val="auto"/>
                      <w:sz w:val="21"/>
                      <w:szCs w:val="21"/>
                    </w:rPr>
                    <w:t>项目在做好应急防范措施的基础上，项目的环境风险是可控的，环境风险事故发生的概率可降低到最低。</w:t>
                  </w:r>
                </w:p>
              </w:tc>
            </w:tr>
          </w:tbl>
          <w:p w14:paraId="2835F9BD">
            <w:pPr>
              <w:bidi w:val="0"/>
              <w:rPr>
                <w:color w:val="auto"/>
              </w:rPr>
            </w:pPr>
          </w:p>
          <w:p w14:paraId="3BD9F7CD">
            <w:pPr>
              <w:bidi w:val="0"/>
              <w:rPr>
                <w:color w:val="auto"/>
              </w:rPr>
            </w:pPr>
          </w:p>
          <w:p w14:paraId="73B44B47">
            <w:pPr>
              <w:bidi w:val="0"/>
              <w:rPr>
                <w:color w:val="auto"/>
              </w:rPr>
            </w:pPr>
          </w:p>
          <w:p w14:paraId="50E69BD9">
            <w:pPr>
              <w:bidi w:val="0"/>
              <w:rPr>
                <w:color w:val="auto"/>
              </w:rPr>
            </w:pPr>
          </w:p>
          <w:p w14:paraId="2721DD2C">
            <w:pPr>
              <w:bidi w:val="0"/>
              <w:rPr>
                <w:color w:val="auto"/>
              </w:rPr>
            </w:pPr>
          </w:p>
          <w:p w14:paraId="64DD2DC9">
            <w:pPr>
              <w:bidi w:val="0"/>
              <w:rPr>
                <w:color w:val="auto"/>
              </w:rPr>
            </w:pPr>
          </w:p>
          <w:p w14:paraId="27B1EE6A">
            <w:pPr>
              <w:bidi w:val="0"/>
              <w:rPr>
                <w:color w:val="auto"/>
              </w:rPr>
            </w:pPr>
          </w:p>
          <w:p w14:paraId="56B66E6C">
            <w:pPr>
              <w:bidi w:val="0"/>
              <w:rPr>
                <w:color w:val="auto"/>
              </w:rPr>
            </w:pPr>
          </w:p>
          <w:p w14:paraId="225DB2D0">
            <w:pPr>
              <w:bidi w:val="0"/>
              <w:rPr>
                <w:color w:val="auto"/>
              </w:rPr>
            </w:pPr>
          </w:p>
          <w:p w14:paraId="6D08A2A1">
            <w:pPr>
              <w:bidi w:val="0"/>
              <w:rPr>
                <w:color w:val="auto"/>
              </w:rPr>
            </w:pPr>
          </w:p>
          <w:p w14:paraId="24C29E1D">
            <w:pPr>
              <w:bidi w:val="0"/>
              <w:rPr>
                <w:color w:val="auto"/>
              </w:rPr>
            </w:pPr>
          </w:p>
          <w:p w14:paraId="7CFA9C72">
            <w:pPr>
              <w:bidi w:val="0"/>
              <w:rPr>
                <w:color w:val="auto"/>
              </w:rPr>
            </w:pPr>
          </w:p>
          <w:p w14:paraId="0B59EB56">
            <w:pPr>
              <w:bidi w:val="0"/>
              <w:rPr>
                <w:color w:val="auto"/>
              </w:rPr>
            </w:pPr>
          </w:p>
          <w:p w14:paraId="26961FAB">
            <w:pPr>
              <w:bidi w:val="0"/>
              <w:rPr>
                <w:color w:val="auto"/>
              </w:rPr>
            </w:pPr>
          </w:p>
          <w:p w14:paraId="16707AC1">
            <w:pPr>
              <w:bidi w:val="0"/>
              <w:rPr>
                <w:color w:val="auto"/>
              </w:rPr>
            </w:pPr>
          </w:p>
          <w:p w14:paraId="73DD45AC">
            <w:pPr>
              <w:bidi w:val="0"/>
              <w:rPr>
                <w:color w:val="auto"/>
              </w:rPr>
            </w:pPr>
          </w:p>
          <w:p w14:paraId="638F7CD0">
            <w:pPr>
              <w:bidi w:val="0"/>
              <w:rPr>
                <w:color w:val="auto"/>
              </w:rPr>
            </w:pPr>
          </w:p>
          <w:p w14:paraId="08129987">
            <w:pPr>
              <w:bidi w:val="0"/>
              <w:rPr>
                <w:color w:val="auto"/>
              </w:rPr>
            </w:pPr>
          </w:p>
          <w:p w14:paraId="7793CCAC">
            <w:pPr>
              <w:bidi w:val="0"/>
              <w:rPr>
                <w:color w:val="auto"/>
              </w:rPr>
            </w:pPr>
          </w:p>
          <w:p w14:paraId="379AF6F4">
            <w:pPr>
              <w:pStyle w:val="2"/>
              <w:rPr>
                <w:color w:val="auto"/>
              </w:rPr>
            </w:pPr>
          </w:p>
        </w:tc>
      </w:tr>
    </w:tbl>
    <w:p w14:paraId="17919FE0">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E410C60">
      <w:pPr>
        <w:jc w:val="center"/>
        <w:outlineLvl w:val="0"/>
        <w:rPr>
          <w:rFonts w:ascii="黑体" w:hAnsi="黑体" w:eastAsia="黑体"/>
          <w:color w:val="auto"/>
          <w:sz w:val="30"/>
          <w:szCs w:val="30"/>
        </w:rPr>
      </w:pPr>
      <w:bookmarkStart w:id="12" w:name="_Toc14701"/>
      <w:bookmarkStart w:id="13" w:name="_Toc17893"/>
      <w:bookmarkStart w:id="14" w:name="_Toc20891"/>
      <w:r>
        <w:rPr>
          <w:rFonts w:hint="eastAsia" w:ascii="黑体" w:hAnsi="黑体" w:eastAsia="黑体"/>
          <w:color w:val="auto"/>
          <w:sz w:val="30"/>
          <w:szCs w:val="30"/>
        </w:rPr>
        <w:t>五、环境保护措施监督检查清单</w:t>
      </w:r>
      <w:bookmarkEnd w:id="12"/>
      <w:bookmarkEnd w:id="13"/>
      <w:bookmarkEnd w:id="14"/>
    </w:p>
    <w:tbl>
      <w:tblPr>
        <w:tblStyle w:val="29"/>
        <w:tblW w:w="92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636"/>
        <w:gridCol w:w="1531"/>
        <w:gridCol w:w="2347"/>
        <w:gridCol w:w="2683"/>
      </w:tblGrid>
      <w:tr w14:paraId="546D4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op w:val="single" w:color="auto" w:sz="8" w:space="0"/>
              <w:left w:val="single" w:color="auto" w:sz="8" w:space="0"/>
              <w:bottom w:val="single" w:color="auto" w:sz="4" w:space="0"/>
              <w:right w:val="single" w:color="auto" w:sz="4" w:space="0"/>
            </w:tcBorders>
          </w:tcPr>
          <w:p w14:paraId="3ABF1C02">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内容</w:t>
            </w:r>
          </w:p>
          <w:p w14:paraId="03A9590A">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要素</w:t>
            </w:r>
          </w:p>
        </w:tc>
        <w:tc>
          <w:tcPr>
            <w:tcW w:w="1636" w:type="dxa"/>
            <w:tcBorders>
              <w:top w:val="single" w:color="auto" w:sz="8" w:space="0"/>
              <w:left w:val="single" w:color="auto" w:sz="4" w:space="0"/>
              <w:bottom w:val="single" w:color="auto" w:sz="4" w:space="0"/>
              <w:right w:val="single" w:color="auto" w:sz="4" w:space="0"/>
            </w:tcBorders>
            <w:vAlign w:val="center"/>
          </w:tcPr>
          <w:p w14:paraId="5E4676A2">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排放口(编号、</w:t>
            </w:r>
          </w:p>
          <w:p w14:paraId="58B54E57">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名称)/污染源</w:t>
            </w:r>
          </w:p>
        </w:tc>
        <w:tc>
          <w:tcPr>
            <w:tcW w:w="1531" w:type="dxa"/>
            <w:tcBorders>
              <w:top w:val="single" w:color="auto" w:sz="8" w:space="0"/>
              <w:left w:val="single" w:color="auto" w:sz="4" w:space="0"/>
              <w:bottom w:val="single" w:color="auto" w:sz="4" w:space="0"/>
              <w:right w:val="single" w:color="auto" w:sz="4" w:space="0"/>
            </w:tcBorders>
            <w:vAlign w:val="center"/>
          </w:tcPr>
          <w:p w14:paraId="4EF06C39">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污染物项目</w:t>
            </w:r>
          </w:p>
        </w:tc>
        <w:tc>
          <w:tcPr>
            <w:tcW w:w="2347" w:type="dxa"/>
            <w:tcBorders>
              <w:top w:val="single" w:color="auto" w:sz="8" w:space="0"/>
              <w:left w:val="single" w:color="auto" w:sz="4" w:space="0"/>
              <w:bottom w:val="single" w:color="auto" w:sz="4" w:space="0"/>
              <w:right w:val="single" w:color="auto" w:sz="4" w:space="0"/>
            </w:tcBorders>
            <w:vAlign w:val="center"/>
          </w:tcPr>
          <w:p w14:paraId="60A636D1">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环境保护措施</w:t>
            </w:r>
          </w:p>
        </w:tc>
        <w:tc>
          <w:tcPr>
            <w:tcW w:w="2683" w:type="dxa"/>
            <w:tcBorders>
              <w:top w:val="single" w:color="auto" w:sz="8" w:space="0"/>
              <w:left w:val="single" w:color="auto" w:sz="4" w:space="0"/>
              <w:bottom w:val="single" w:color="auto" w:sz="4" w:space="0"/>
              <w:right w:val="single" w:color="auto" w:sz="8" w:space="0"/>
            </w:tcBorders>
            <w:vAlign w:val="center"/>
          </w:tcPr>
          <w:p w14:paraId="425DC0E0">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执行标准</w:t>
            </w:r>
          </w:p>
        </w:tc>
      </w:tr>
      <w:tr w14:paraId="2145D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restart"/>
            <w:tcBorders>
              <w:top w:val="single" w:color="auto" w:sz="4" w:space="0"/>
              <w:left w:val="single" w:color="auto" w:sz="8" w:space="0"/>
              <w:right w:val="single" w:color="auto" w:sz="4" w:space="0"/>
            </w:tcBorders>
            <w:vAlign w:val="center"/>
          </w:tcPr>
          <w:p w14:paraId="271B18CC">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大气环境</w:t>
            </w:r>
          </w:p>
        </w:tc>
        <w:tc>
          <w:tcPr>
            <w:tcW w:w="1636" w:type="dxa"/>
            <w:tcBorders>
              <w:top w:val="single" w:color="auto" w:sz="4" w:space="0"/>
              <w:left w:val="single" w:color="auto" w:sz="4" w:space="0"/>
              <w:bottom w:val="single" w:color="auto" w:sz="4" w:space="0"/>
              <w:right w:val="single" w:color="auto" w:sz="4" w:space="0"/>
            </w:tcBorders>
            <w:vAlign w:val="center"/>
          </w:tcPr>
          <w:p w14:paraId="4C556EB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厂界</w:t>
            </w:r>
          </w:p>
        </w:tc>
        <w:tc>
          <w:tcPr>
            <w:tcW w:w="1531" w:type="dxa"/>
            <w:tcBorders>
              <w:top w:val="single" w:color="auto" w:sz="4" w:space="0"/>
              <w:left w:val="single" w:color="auto" w:sz="4" w:space="0"/>
              <w:bottom w:val="single" w:color="auto" w:sz="4" w:space="0"/>
              <w:right w:val="single" w:color="auto" w:sz="4" w:space="0"/>
            </w:tcBorders>
            <w:vAlign w:val="center"/>
          </w:tcPr>
          <w:p w14:paraId="495D873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非甲烷总烃</w:t>
            </w:r>
          </w:p>
        </w:tc>
        <w:tc>
          <w:tcPr>
            <w:tcW w:w="2347" w:type="dxa"/>
            <w:tcBorders>
              <w:top w:val="single" w:color="auto" w:sz="4" w:space="0"/>
              <w:left w:val="single" w:color="auto" w:sz="4" w:space="0"/>
              <w:bottom w:val="single" w:color="auto" w:sz="4" w:space="0"/>
              <w:right w:val="single" w:color="auto" w:sz="4" w:space="0"/>
            </w:tcBorders>
            <w:vAlign w:val="center"/>
          </w:tcPr>
          <w:p w14:paraId="20533AC3">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车间通风扩散，无组织排放</w:t>
            </w:r>
          </w:p>
        </w:tc>
        <w:tc>
          <w:tcPr>
            <w:tcW w:w="2683" w:type="dxa"/>
            <w:tcBorders>
              <w:top w:val="single" w:color="auto" w:sz="4" w:space="0"/>
              <w:left w:val="single" w:color="auto" w:sz="4" w:space="0"/>
              <w:bottom w:val="single" w:color="auto" w:sz="4" w:space="0"/>
              <w:right w:val="single" w:color="auto" w:sz="8" w:space="0"/>
            </w:tcBorders>
            <w:vAlign w:val="center"/>
          </w:tcPr>
          <w:p w14:paraId="5026A68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《大气污染物综合排放标准》（GB16297-1996）表2中无组织排放监控浓度限值；</w:t>
            </w:r>
          </w:p>
        </w:tc>
      </w:tr>
      <w:tr w14:paraId="3C1B9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continue"/>
            <w:tcBorders>
              <w:left w:val="single" w:color="auto" w:sz="8" w:space="0"/>
              <w:right w:val="single" w:color="auto" w:sz="4" w:space="0"/>
            </w:tcBorders>
            <w:vAlign w:val="center"/>
          </w:tcPr>
          <w:p w14:paraId="72B49009">
            <w:pPr>
              <w:keepNext w:val="0"/>
              <w:keepLines w:val="0"/>
              <w:widowControl/>
              <w:suppressLineNumbers w:val="0"/>
              <w:spacing w:before="0" w:beforeAutospacing="0" w:after="0" w:afterAutospacing="0" w:line="240" w:lineRule="auto"/>
              <w:ind w:left="0" w:right="0"/>
              <w:contextualSpacing/>
              <w:jc w:val="center"/>
              <w:rPr>
                <w:rFonts w:hint="eastAsia"/>
                <w:color w:val="auto"/>
                <w:sz w:val="21"/>
                <w:szCs w:val="21"/>
                <w:lang w:val="en-US" w:eastAsia="zh-CN"/>
              </w:rPr>
            </w:pPr>
          </w:p>
        </w:tc>
        <w:tc>
          <w:tcPr>
            <w:tcW w:w="1636" w:type="dxa"/>
            <w:tcBorders>
              <w:top w:val="single" w:color="auto" w:sz="4" w:space="0"/>
              <w:left w:val="single" w:color="auto" w:sz="4" w:space="0"/>
              <w:bottom w:val="single" w:color="auto" w:sz="4" w:space="0"/>
              <w:right w:val="single" w:color="auto" w:sz="4" w:space="0"/>
            </w:tcBorders>
            <w:vAlign w:val="center"/>
          </w:tcPr>
          <w:p w14:paraId="21F2799C">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清洗车间</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05340F9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非甲烷总烃</w:t>
            </w:r>
          </w:p>
        </w:tc>
        <w:tc>
          <w:tcPr>
            <w:tcW w:w="2347" w:type="dxa"/>
            <w:tcBorders>
              <w:top w:val="single" w:color="auto" w:sz="4" w:space="0"/>
              <w:left w:val="single" w:color="auto" w:sz="4" w:space="0"/>
              <w:bottom w:val="single" w:color="auto" w:sz="4" w:space="0"/>
              <w:right w:val="single" w:color="auto" w:sz="4" w:space="0"/>
            </w:tcBorders>
            <w:shd w:val="clear" w:color="auto" w:fill="auto"/>
            <w:vAlign w:val="center"/>
          </w:tcPr>
          <w:p w14:paraId="7C95A19A">
            <w:pPr>
              <w:keepNext w:val="0"/>
              <w:keepLines w:val="0"/>
              <w:suppressLineNumbers w:val="0"/>
              <w:spacing w:before="0" w:beforeAutospacing="0" w:after="0" w:afterAutospacing="0" w:line="240" w:lineRule="auto"/>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车间通风扩散，无组织排放</w:t>
            </w:r>
          </w:p>
        </w:tc>
        <w:tc>
          <w:tcPr>
            <w:tcW w:w="2683" w:type="dxa"/>
            <w:tcBorders>
              <w:top w:val="single" w:color="auto" w:sz="4" w:space="0"/>
              <w:left w:val="single" w:color="auto" w:sz="4" w:space="0"/>
              <w:bottom w:val="single" w:color="auto" w:sz="4" w:space="0"/>
              <w:right w:val="single" w:color="auto" w:sz="8" w:space="0"/>
            </w:tcBorders>
            <w:vAlign w:val="center"/>
          </w:tcPr>
          <w:p w14:paraId="50CE613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Times New Roman" w:hAnsi="Times New Roman"/>
                <w:b w:val="0"/>
                <w:bCs w:val="0"/>
                <w:color w:val="auto"/>
                <w:kern w:val="0"/>
                <w:sz w:val="21"/>
                <w:szCs w:val="21"/>
                <w:lang w:val="en-US" w:eastAsia="zh-CN"/>
              </w:rPr>
              <w:t>《挥发性有机物无组织排放控制标准》（GB37822-2019）厂区内VOCs无组织排放限值</w:t>
            </w:r>
          </w:p>
        </w:tc>
      </w:tr>
      <w:tr w14:paraId="3B91B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continue"/>
            <w:tcBorders>
              <w:left w:val="single" w:color="auto" w:sz="8" w:space="0"/>
              <w:right w:val="single" w:color="auto" w:sz="4" w:space="0"/>
            </w:tcBorders>
            <w:vAlign w:val="center"/>
          </w:tcPr>
          <w:p w14:paraId="6EBF26D5">
            <w:pPr>
              <w:keepNext w:val="0"/>
              <w:keepLines w:val="0"/>
              <w:widowControl/>
              <w:suppressLineNumbers w:val="0"/>
              <w:spacing w:before="0" w:beforeAutospacing="0" w:after="0" w:afterAutospacing="0" w:line="240" w:lineRule="auto"/>
              <w:ind w:left="0" w:right="0"/>
              <w:contextualSpacing/>
              <w:jc w:val="center"/>
              <w:rPr>
                <w:rFonts w:hint="eastAsia"/>
                <w:color w:val="auto"/>
                <w:sz w:val="21"/>
                <w:szCs w:val="21"/>
                <w:lang w:val="en-US" w:eastAsia="zh-CN"/>
              </w:rPr>
            </w:pPr>
          </w:p>
        </w:tc>
        <w:tc>
          <w:tcPr>
            <w:tcW w:w="1636" w:type="dxa"/>
            <w:tcBorders>
              <w:top w:val="single" w:color="auto" w:sz="4" w:space="0"/>
              <w:left w:val="single" w:color="auto" w:sz="4" w:space="0"/>
              <w:bottom w:val="single" w:color="auto" w:sz="4" w:space="0"/>
              <w:right w:val="single" w:color="auto" w:sz="4" w:space="0"/>
            </w:tcBorders>
            <w:vAlign w:val="center"/>
          </w:tcPr>
          <w:p w14:paraId="6CED672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auto"/>
              <w:rPr>
                <w:rFonts w:hint="default"/>
                <w:color w:val="auto"/>
                <w:sz w:val="21"/>
                <w:szCs w:val="21"/>
                <w:lang w:val="en-US" w:eastAsia="zh-CN"/>
              </w:rPr>
            </w:pPr>
            <w:r>
              <w:rPr>
                <w:rFonts w:hint="eastAsia"/>
                <w:color w:val="auto"/>
                <w:sz w:val="21"/>
                <w:szCs w:val="21"/>
                <w:lang w:val="en-US" w:eastAsia="zh-CN"/>
              </w:rPr>
              <w:t>汽车尾气</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4633D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、THC</w:t>
            </w:r>
          </w:p>
        </w:tc>
        <w:tc>
          <w:tcPr>
            <w:tcW w:w="2347" w:type="dxa"/>
            <w:tcBorders>
              <w:top w:val="single" w:color="auto" w:sz="4" w:space="0"/>
              <w:left w:val="single" w:color="auto" w:sz="4" w:space="0"/>
              <w:bottom w:val="single" w:color="auto" w:sz="4" w:space="0"/>
              <w:right w:val="single" w:color="auto" w:sz="4" w:space="0"/>
            </w:tcBorders>
            <w:shd w:val="clear" w:color="auto" w:fill="auto"/>
            <w:vAlign w:val="center"/>
          </w:tcPr>
          <w:p w14:paraId="2F0E5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大气稀释扩散</w:t>
            </w:r>
          </w:p>
        </w:tc>
        <w:tc>
          <w:tcPr>
            <w:tcW w:w="2683" w:type="dxa"/>
            <w:tcBorders>
              <w:top w:val="single" w:color="auto" w:sz="4" w:space="0"/>
              <w:left w:val="single" w:color="auto" w:sz="4" w:space="0"/>
              <w:bottom w:val="single" w:color="auto" w:sz="4" w:space="0"/>
              <w:right w:val="single" w:color="auto" w:sz="8" w:space="0"/>
            </w:tcBorders>
            <w:vAlign w:val="center"/>
          </w:tcPr>
          <w:p w14:paraId="1BA28D9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auto"/>
              <w:rPr>
                <w:rFonts w:hint="default" w:ascii="Times New Roman" w:hAnsi="Times New Roman"/>
                <w:b w:val="0"/>
                <w:bCs w:val="0"/>
                <w:color w:val="auto"/>
                <w:kern w:val="0"/>
                <w:sz w:val="21"/>
                <w:szCs w:val="21"/>
                <w:lang w:val="en-US" w:eastAsia="zh-CN"/>
              </w:rPr>
            </w:pPr>
            <w:r>
              <w:rPr>
                <w:rFonts w:hint="eastAsia"/>
                <w:b w:val="0"/>
                <w:bCs w:val="0"/>
                <w:color w:val="auto"/>
                <w:kern w:val="0"/>
                <w:sz w:val="21"/>
                <w:szCs w:val="21"/>
                <w:lang w:val="en-US" w:eastAsia="zh-CN"/>
              </w:rPr>
              <w:t>/</w:t>
            </w:r>
          </w:p>
        </w:tc>
      </w:tr>
      <w:tr w14:paraId="6D1F3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vMerge w:val="restart"/>
            <w:tcBorders>
              <w:top w:val="single" w:color="auto" w:sz="4" w:space="0"/>
              <w:left w:val="single" w:color="auto" w:sz="8" w:space="0"/>
              <w:right w:val="single" w:color="auto" w:sz="4" w:space="0"/>
            </w:tcBorders>
            <w:vAlign w:val="center"/>
          </w:tcPr>
          <w:p w14:paraId="3C51B2D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地表水环境</w:t>
            </w:r>
          </w:p>
        </w:tc>
        <w:tc>
          <w:tcPr>
            <w:tcW w:w="1636" w:type="dxa"/>
            <w:tcBorders>
              <w:top w:val="single" w:color="auto" w:sz="4" w:space="0"/>
              <w:left w:val="single" w:color="auto" w:sz="4" w:space="0"/>
              <w:bottom w:val="single" w:color="auto" w:sz="4" w:space="0"/>
              <w:right w:val="single" w:color="auto" w:sz="4" w:space="0"/>
            </w:tcBorders>
            <w:vAlign w:val="center"/>
          </w:tcPr>
          <w:p w14:paraId="37E1B51B">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生活污水</w:t>
            </w:r>
          </w:p>
        </w:tc>
        <w:tc>
          <w:tcPr>
            <w:tcW w:w="1531" w:type="dxa"/>
            <w:tcBorders>
              <w:top w:val="single" w:color="auto" w:sz="4" w:space="0"/>
              <w:left w:val="single" w:color="auto" w:sz="4" w:space="0"/>
              <w:bottom w:val="single" w:color="auto" w:sz="4" w:space="0"/>
              <w:right w:val="single" w:color="auto" w:sz="4" w:space="0"/>
            </w:tcBorders>
            <w:vAlign w:val="center"/>
          </w:tcPr>
          <w:p w14:paraId="2EF820A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bCs/>
                <w:color w:val="auto"/>
                <w:spacing w:val="-10"/>
                <w:sz w:val="21"/>
                <w:szCs w:val="21"/>
              </w:rPr>
              <w:t>COD、BOD</w:t>
            </w:r>
            <w:r>
              <w:rPr>
                <w:rFonts w:hint="default"/>
                <w:bCs/>
                <w:color w:val="auto"/>
                <w:spacing w:val="-10"/>
                <w:sz w:val="21"/>
                <w:szCs w:val="21"/>
                <w:vertAlign w:val="subscript"/>
              </w:rPr>
              <w:t>5</w:t>
            </w:r>
            <w:r>
              <w:rPr>
                <w:rFonts w:hint="default"/>
                <w:bCs/>
                <w:color w:val="auto"/>
                <w:spacing w:val="-10"/>
                <w:sz w:val="21"/>
                <w:szCs w:val="21"/>
              </w:rPr>
              <w:t>、SS、氨氮、总磷、动植物油</w:t>
            </w:r>
          </w:p>
        </w:tc>
        <w:tc>
          <w:tcPr>
            <w:tcW w:w="2347" w:type="dxa"/>
            <w:tcBorders>
              <w:top w:val="single" w:color="auto" w:sz="4" w:space="0"/>
              <w:left w:val="single" w:color="auto" w:sz="4" w:space="0"/>
              <w:bottom w:val="single" w:color="auto" w:sz="4" w:space="0"/>
              <w:right w:val="single" w:color="auto" w:sz="4" w:space="0"/>
            </w:tcBorders>
            <w:vAlign w:val="center"/>
          </w:tcPr>
          <w:p w14:paraId="07922B50">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生活污水</w:t>
            </w:r>
            <w:r>
              <w:rPr>
                <w:rFonts w:hint="default"/>
                <w:color w:val="auto"/>
                <w:sz w:val="21"/>
                <w:szCs w:val="21"/>
              </w:rPr>
              <w:t>经化粪池处理后</w:t>
            </w:r>
            <w:r>
              <w:rPr>
                <w:rFonts w:hint="eastAsia"/>
                <w:color w:val="auto"/>
                <w:sz w:val="21"/>
                <w:szCs w:val="21"/>
                <w:lang w:val="en-US" w:eastAsia="zh-CN"/>
              </w:rPr>
              <w:t>定期委托环卫部门清掏。</w:t>
            </w:r>
          </w:p>
        </w:tc>
        <w:tc>
          <w:tcPr>
            <w:tcW w:w="2683" w:type="dxa"/>
            <w:tcBorders>
              <w:top w:val="single" w:color="auto" w:sz="4" w:space="0"/>
              <w:left w:val="single" w:color="auto" w:sz="4" w:space="0"/>
              <w:bottom w:val="single" w:color="auto" w:sz="4" w:space="0"/>
              <w:right w:val="single" w:color="auto" w:sz="8" w:space="0"/>
            </w:tcBorders>
            <w:vAlign w:val="center"/>
          </w:tcPr>
          <w:p w14:paraId="67FB216C">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b w:val="0"/>
                <w:bCs w:val="0"/>
                <w:color w:val="auto"/>
                <w:sz w:val="21"/>
                <w:szCs w:val="21"/>
                <w:vertAlign w:val="baseline"/>
                <w:lang w:val="en-US" w:eastAsia="zh-CN"/>
              </w:rPr>
              <w:t>若今后项目区接通园区管网，项目生活废水经化粪池处理后排入园区市政污水管网，</w:t>
            </w:r>
            <w:r>
              <w:rPr>
                <w:rFonts w:hint="default" w:eastAsia="Times New Roman"/>
                <w:b w:val="0"/>
                <w:bCs w:val="0"/>
                <w:color w:val="auto"/>
                <w:kern w:val="0"/>
                <w:sz w:val="21"/>
                <w:szCs w:val="21"/>
              </w:rPr>
              <w:t>排放标准执行</w:t>
            </w:r>
            <w:r>
              <w:rPr>
                <w:rFonts w:hint="eastAsia" w:eastAsia="Times New Roman"/>
                <w:b w:val="0"/>
                <w:bCs w:val="0"/>
                <w:color w:val="auto"/>
                <w:kern w:val="0"/>
                <w:sz w:val="21"/>
                <w:szCs w:val="21"/>
              </w:rPr>
              <w:t>《污水综合排放标准》（GB8978-1996）</w:t>
            </w:r>
            <w:r>
              <w:rPr>
                <w:rFonts w:hint="eastAsia" w:eastAsia="宋体"/>
                <w:b w:val="0"/>
                <w:bCs w:val="0"/>
                <w:color w:val="auto"/>
                <w:kern w:val="0"/>
                <w:sz w:val="21"/>
                <w:szCs w:val="21"/>
                <w:lang w:val="en-US" w:eastAsia="zh-CN"/>
              </w:rPr>
              <w:t>三</w:t>
            </w:r>
            <w:r>
              <w:rPr>
                <w:rFonts w:hint="default" w:eastAsia="Times New Roman"/>
                <w:b w:val="0"/>
                <w:bCs w:val="0"/>
                <w:color w:val="auto"/>
                <w:kern w:val="0"/>
                <w:sz w:val="21"/>
                <w:szCs w:val="21"/>
              </w:rPr>
              <w:t>级标准。</w:t>
            </w:r>
          </w:p>
        </w:tc>
      </w:tr>
      <w:tr w14:paraId="615BE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vMerge w:val="continue"/>
            <w:tcBorders>
              <w:left w:val="single" w:color="auto" w:sz="8" w:space="0"/>
              <w:bottom w:val="single" w:color="auto" w:sz="4" w:space="0"/>
              <w:right w:val="single" w:color="auto" w:sz="4" w:space="0"/>
            </w:tcBorders>
            <w:vAlign w:val="center"/>
          </w:tcPr>
          <w:p w14:paraId="0FD7337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p>
        </w:tc>
        <w:tc>
          <w:tcPr>
            <w:tcW w:w="1636" w:type="dxa"/>
            <w:tcBorders>
              <w:top w:val="single" w:color="auto" w:sz="4" w:space="0"/>
              <w:left w:val="single" w:color="auto" w:sz="4" w:space="0"/>
              <w:bottom w:val="single" w:color="auto" w:sz="4" w:space="0"/>
              <w:right w:val="single" w:color="auto" w:sz="4" w:space="0"/>
            </w:tcBorders>
            <w:vAlign w:val="center"/>
          </w:tcPr>
          <w:p w14:paraId="24BD664D">
            <w:pPr>
              <w:keepNext w:val="0"/>
              <w:keepLines w:val="0"/>
              <w:suppressLineNumbers w:val="0"/>
              <w:spacing w:before="0" w:beforeAutospacing="0" w:after="0" w:afterAutospacing="0" w:line="240" w:lineRule="auto"/>
              <w:ind w:left="0" w:right="0"/>
              <w:contextualSpacing/>
              <w:jc w:val="center"/>
              <w:rPr>
                <w:rFonts w:hint="default"/>
                <w:color w:val="auto"/>
                <w:sz w:val="21"/>
                <w:szCs w:val="21"/>
                <w:lang w:val="en-US" w:eastAsia="zh-CN"/>
              </w:rPr>
            </w:pPr>
            <w:r>
              <w:rPr>
                <w:rFonts w:hint="eastAsia"/>
                <w:color w:val="auto"/>
                <w:sz w:val="21"/>
                <w:szCs w:val="21"/>
                <w:lang w:val="en-US" w:eastAsia="zh-CN"/>
              </w:rPr>
              <w:t>生产废水</w:t>
            </w:r>
          </w:p>
        </w:tc>
        <w:tc>
          <w:tcPr>
            <w:tcW w:w="1531" w:type="dxa"/>
            <w:tcBorders>
              <w:top w:val="single" w:color="auto" w:sz="4" w:space="0"/>
              <w:left w:val="single" w:color="auto" w:sz="4" w:space="0"/>
              <w:bottom w:val="single" w:color="auto" w:sz="4" w:space="0"/>
              <w:right w:val="single" w:color="auto" w:sz="4" w:space="0"/>
            </w:tcBorders>
            <w:vAlign w:val="center"/>
          </w:tcPr>
          <w:p w14:paraId="62123E9A">
            <w:pPr>
              <w:keepNext w:val="0"/>
              <w:keepLines w:val="0"/>
              <w:suppressLineNumbers w:val="0"/>
              <w:spacing w:before="0" w:beforeAutospacing="0" w:after="0" w:afterAutospacing="0" w:line="240" w:lineRule="auto"/>
              <w:ind w:left="0" w:right="0"/>
              <w:contextualSpacing/>
              <w:jc w:val="center"/>
              <w:rPr>
                <w:rFonts w:hint="default" w:eastAsia="宋体"/>
                <w:bCs/>
                <w:color w:val="auto"/>
                <w:spacing w:val="-10"/>
                <w:sz w:val="21"/>
                <w:szCs w:val="21"/>
                <w:lang w:val="en-US" w:eastAsia="zh-CN"/>
              </w:rPr>
            </w:pPr>
            <w:r>
              <w:rPr>
                <w:rFonts w:hint="default"/>
                <w:bCs/>
                <w:color w:val="auto"/>
                <w:spacing w:val="-10"/>
                <w:sz w:val="21"/>
                <w:szCs w:val="21"/>
              </w:rPr>
              <w:t>SS、</w:t>
            </w:r>
            <w:r>
              <w:rPr>
                <w:rFonts w:hint="eastAsia"/>
                <w:bCs/>
                <w:color w:val="auto"/>
                <w:spacing w:val="-10"/>
                <w:sz w:val="21"/>
                <w:szCs w:val="21"/>
                <w:lang w:val="en-US" w:eastAsia="zh-CN"/>
              </w:rPr>
              <w:t>石油类</w:t>
            </w:r>
          </w:p>
        </w:tc>
        <w:tc>
          <w:tcPr>
            <w:tcW w:w="2347" w:type="dxa"/>
            <w:tcBorders>
              <w:top w:val="single" w:color="auto" w:sz="4" w:space="0"/>
              <w:left w:val="single" w:color="auto" w:sz="4" w:space="0"/>
              <w:bottom w:val="single" w:color="auto" w:sz="4" w:space="0"/>
              <w:right w:val="single" w:color="auto" w:sz="4" w:space="0"/>
            </w:tcBorders>
            <w:vAlign w:val="center"/>
          </w:tcPr>
          <w:p w14:paraId="36D8E919">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收集至隔油沉淀池后进入一体化污水处理设施处理，循环使用不外排。</w:t>
            </w:r>
          </w:p>
        </w:tc>
        <w:tc>
          <w:tcPr>
            <w:tcW w:w="2683" w:type="dxa"/>
            <w:tcBorders>
              <w:top w:val="single" w:color="auto" w:sz="4" w:space="0"/>
              <w:left w:val="single" w:color="auto" w:sz="4" w:space="0"/>
              <w:bottom w:val="single" w:color="auto" w:sz="4" w:space="0"/>
              <w:right w:val="single" w:color="auto" w:sz="8" w:space="0"/>
            </w:tcBorders>
            <w:vAlign w:val="center"/>
          </w:tcPr>
          <w:p w14:paraId="4391AA52">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r>
      <w:tr w14:paraId="15554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555AFEB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声环境</w:t>
            </w:r>
          </w:p>
        </w:tc>
        <w:tc>
          <w:tcPr>
            <w:tcW w:w="1636" w:type="dxa"/>
            <w:tcBorders>
              <w:top w:val="single" w:color="auto" w:sz="4" w:space="0"/>
              <w:left w:val="single" w:color="auto" w:sz="4" w:space="0"/>
              <w:bottom w:val="single" w:color="auto" w:sz="4" w:space="0"/>
              <w:right w:val="single" w:color="auto" w:sz="4" w:space="0"/>
            </w:tcBorders>
            <w:vAlign w:val="center"/>
          </w:tcPr>
          <w:p w14:paraId="0D6F8F1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生产设备噪声</w:t>
            </w:r>
          </w:p>
        </w:tc>
        <w:tc>
          <w:tcPr>
            <w:tcW w:w="1531" w:type="dxa"/>
            <w:tcBorders>
              <w:top w:val="single" w:color="auto" w:sz="4" w:space="0"/>
              <w:left w:val="single" w:color="auto" w:sz="4" w:space="0"/>
              <w:bottom w:val="single" w:color="auto" w:sz="4" w:space="0"/>
              <w:right w:val="single" w:color="auto" w:sz="4" w:space="0"/>
            </w:tcBorders>
            <w:vAlign w:val="center"/>
          </w:tcPr>
          <w:p w14:paraId="69C92E3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Leq（A）</w:t>
            </w:r>
          </w:p>
        </w:tc>
        <w:tc>
          <w:tcPr>
            <w:tcW w:w="2347" w:type="dxa"/>
            <w:tcBorders>
              <w:top w:val="single" w:color="auto" w:sz="4" w:space="0"/>
              <w:left w:val="single" w:color="auto" w:sz="4" w:space="0"/>
              <w:bottom w:val="single" w:color="auto" w:sz="4" w:space="0"/>
              <w:right w:val="single" w:color="auto" w:sz="4" w:space="0"/>
            </w:tcBorders>
            <w:vAlign w:val="center"/>
          </w:tcPr>
          <w:p w14:paraId="6BE93670">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合理布局，基础减震</w:t>
            </w:r>
          </w:p>
        </w:tc>
        <w:tc>
          <w:tcPr>
            <w:tcW w:w="2683" w:type="dxa"/>
            <w:tcBorders>
              <w:top w:val="single" w:color="auto" w:sz="4" w:space="0"/>
              <w:left w:val="single" w:color="auto" w:sz="4" w:space="0"/>
              <w:bottom w:val="single" w:color="auto" w:sz="4" w:space="0"/>
              <w:right w:val="single" w:color="auto" w:sz="8" w:space="0"/>
            </w:tcBorders>
            <w:vAlign w:val="center"/>
          </w:tcPr>
          <w:p w14:paraId="1DA9D3E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《工业企业厂界环境噪声排放标准》（GB12348-2008）中的3类</w:t>
            </w:r>
          </w:p>
        </w:tc>
      </w:tr>
      <w:tr w14:paraId="75A0A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7423B71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电磁辐射</w:t>
            </w:r>
          </w:p>
        </w:tc>
        <w:tc>
          <w:tcPr>
            <w:tcW w:w="1636" w:type="dxa"/>
            <w:tcBorders>
              <w:top w:val="single" w:color="auto" w:sz="4" w:space="0"/>
              <w:left w:val="single" w:color="auto" w:sz="4" w:space="0"/>
              <w:bottom w:val="single" w:color="auto" w:sz="4" w:space="0"/>
              <w:right w:val="single" w:color="auto" w:sz="4" w:space="0"/>
            </w:tcBorders>
            <w:vAlign w:val="center"/>
          </w:tcPr>
          <w:p w14:paraId="3E3CB20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531" w:type="dxa"/>
            <w:tcBorders>
              <w:top w:val="single" w:color="auto" w:sz="4" w:space="0"/>
              <w:left w:val="single" w:color="auto" w:sz="4" w:space="0"/>
              <w:bottom w:val="single" w:color="auto" w:sz="4" w:space="0"/>
              <w:right w:val="single" w:color="auto" w:sz="4" w:space="0"/>
            </w:tcBorders>
            <w:vAlign w:val="center"/>
          </w:tcPr>
          <w:p w14:paraId="6E4C9AF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2347" w:type="dxa"/>
            <w:tcBorders>
              <w:top w:val="single" w:color="auto" w:sz="4" w:space="0"/>
              <w:left w:val="single" w:color="auto" w:sz="4" w:space="0"/>
              <w:bottom w:val="single" w:color="auto" w:sz="4" w:space="0"/>
              <w:right w:val="single" w:color="auto" w:sz="4" w:space="0"/>
            </w:tcBorders>
            <w:vAlign w:val="center"/>
          </w:tcPr>
          <w:p w14:paraId="7BC7630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2683" w:type="dxa"/>
            <w:tcBorders>
              <w:top w:val="single" w:color="auto" w:sz="4" w:space="0"/>
              <w:left w:val="single" w:color="auto" w:sz="4" w:space="0"/>
              <w:bottom w:val="single" w:color="auto" w:sz="4" w:space="0"/>
              <w:right w:val="single" w:color="auto" w:sz="8" w:space="0"/>
            </w:tcBorders>
            <w:vAlign w:val="center"/>
          </w:tcPr>
          <w:p w14:paraId="6ECBF0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1B125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5A56521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固体废物</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1C910594">
            <w:pPr>
              <w:keepNext w:val="0"/>
              <w:keepLines w:val="0"/>
              <w:suppressLineNumbers w:val="0"/>
              <w:spacing w:before="0" w:beforeAutospacing="0" w:after="0" w:afterAutospacing="0"/>
              <w:ind w:left="0" w:right="0"/>
              <w:contextualSpacing/>
              <w:rPr>
                <w:rFonts w:hint="default"/>
                <w:color w:val="auto"/>
              </w:rPr>
            </w:pPr>
            <w:r>
              <w:rPr>
                <w:rFonts w:hint="default"/>
                <w:color w:val="auto"/>
              </w:rPr>
              <w:t>生活垃圾</w:t>
            </w:r>
            <w:r>
              <w:rPr>
                <w:rFonts w:hint="eastAsia"/>
                <w:color w:val="auto"/>
                <w:lang w:val="en-US" w:eastAsia="zh-CN"/>
              </w:rPr>
              <w:t>统一</w:t>
            </w:r>
            <w:r>
              <w:rPr>
                <w:rFonts w:hint="default"/>
                <w:color w:val="auto"/>
              </w:rPr>
              <w:t>收集</w:t>
            </w:r>
            <w:r>
              <w:rPr>
                <w:rFonts w:hint="eastAsia"/>
                <w:color w:val="auto"/>
                <w:lang w:val="en-US" w:eastAsia="zh-CN"/>
              </w:rPr>
              <w:t>后</w:t>
            </w:r>
            <w:r>
              <w:rPr>
                <w:rFonts w:hint="default"/>
                <w:color w:val="auto"/>
              </w:rPr>
              <w:t>，定期</w:t>
            </w:r>
            <w:r>
              <w:rPr>
                <w:rFonts w:hint="eastAsia"/>
                <w:color w:val="auto"/>
                <w:lang w:val="en-US" w:eastAsia="zh-CN"/>
              </w:rPr>
              <w:t>交由</w:t>
            </w:r>
            <w:r>
              <w:rPr>
                <w:rFonts w:hint="default"/>
                <w:color w:val="auto"/>
              </w:rPr>
              <w:t>环卫部门清运处置，</w:t>
            </w:r>
            <w:r>
              <w:rPr>
                <w:rFonts w:hint="eastAsia"/>
                <w:color w:val="auto"/>
                <w:lang w:val="en-US" w:eastAsia="zh-CN"/>
              </w:rPr>
              <w:t>柴油设置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eastAsia"/>
                <w:color w:val="auto"/>
                <w:lang w:val="en-US" w:eastAsia="zh-CN"/>
              </w:rPr>
              <w:t>的储存罐用于储存废油，</w:t>
            </w:r>
            <w:r>
              <w:rPr>
                <w:rFonts w:hint="default"/>
                <w:color w:val="auto"/>
              </w:rPr>
              <w:t>暂存于危险废物暂存间内，定期委托有资质的单位清运处置。</w:t>
            </w:r>
            <w:r>
              <w:rPr>
                <w:rFonts w:hint="eastAsia"/>
                <w:color w:val="auto"/>
                <w:lang w:val="en-US" w:eastAsia="zh-CN"/>
              </w:rPr>
              <w:t>隔油沉淀池浮油、污泥专用容器收集后存于危废暂存间，交有资质单位处置</w:t>
            </w:r>
          </w:p>
        </w:tc>
      </w:tr>
      <w:tr w14:paraId="34C49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60263F1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土壤及地下水污染防治措施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1C729F">
            <w:pPr>
              <w:keepNext w:val="0"/>
              <w:keepLines w:val="0"/>
              <w:suppressLineNumbers w:val="0"/>
              <w:spacing w:before="0" w:beforeAutospacing="0" w:after="0" w:afterAutospacing="0"/>
              <w:ind w:left="0" w:right="0"/>
              <w:contextualSpacing/>
              <w:rPr>
                <w:rFonts w:hint="default"/>
                <w:color w:val="auto"/>
              </w:rPr>
            </w:pPr>
            <w:r>
              <w:rPr>
                <w:rFonts w:hint="default"/>
                <w:color w:val="auto"/>
              </w:rPr>
              <w:t>危废暂存间、</w:t>
            </w:r>
            <w:r>
              <w:rPr>
                <w:rFonts w:hint="eastAsia"/>
                <w:color w:val="auto"/>
                <w:lang w:val="en-US" w:eastAsia="zh-CN"/>
              </w:rPr>
              <w:t>隔油</w:t>
            </w:r>
            <w:r>
              <w:rPr>
                <w:rFonts w:hint="default"/>
                <w:color w:val="auto"/>
              </w:rPr>
              <w:t>沉淀池、一体化污水处理设施进行重点防渗，危废暂存间按照《危险废物贮存污染控制标准》（GB18597-2023）中要求，对地面和裙角进行防渗建设，防渗系数≤10</w:t>
            </w:r>
            <w:r>
              <w:rPr>
                <w:rFonts w:hint="default"/>
                <w:color w:val="auto"/>
                <w:vertAlign w:val="superscript"/>
              </w:rPr>
              <w:t>-10</w:t>
            </w:r>
            <w:r>
              <w:rPr>
                <w:rFonts w:hint="default"/>
                <w:color w:val="auto"/>
              </w:rPr>
              <w:t>cm/s。清洗车间进行一般防渗处理，其余办公生活区、停车场等进行硬化处理。</w:t>
            </w:r>
          </w:p>
        </w:tc>
      </w:tr>
      <w:tr w14:paraId="35A6A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3F38DC9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生态保护措施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C30C17">
            <w:pPr>
              <w:keepNext w:val="0"/>
              <w:keepLines w:val="0"/>
              <w:suppressLineNumbers w:val="0"/>
              <w:spacing w:before="0" w:beforeAutospacing="0" w:after="0" w:afterAutospacing="0"/>
              <w:ind w:left="0" w:right="0"/>
              <w:contextualSpacing/>
              <w:rPr>
                <w:rFonts w:hint="default"/>
                <w:color w:val="auto"/>
              </w:rPr>
            </w:pPr>
            <w:r>
              <w:rPr>
                <w:rFonts w:hint="default"/>
                <w:color w:val="auto"/>
              </w:rPr>
              <w:t>/</w:t>
            </w:r>
          </w:p>
        </w:tc>
      </w:tr>
      <w:tr w14:paraId="6E4EF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406E5F8B">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环境风险</w:t>
            </w:r>
          </w:p>
          <w:p w14:paraId="747909A7">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防范措施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D099CF">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①项目区按照《建筑灭火器配置设计规范</w:t>
            </w:r>
            <w:r>
              <w:rPr>
                <w:rFonts w:hint="default" w:ascii="Times New Roman" w:hAnsi="Times New Roman" w:cs="Times New Roman"/>
                <w:color w:val="auto"/>
              </w:rPr>
              <w:t>》（GB50140-2010）的要求设置消防设施及灭火器材，灭火器材应放在明显、易取的</w:t>
            </w:r>
            <w:r>
              <w:rPr>
                <w:rFonts w:hint="eastAsia" w:ascii="宋体" w:hAnsi="宋体"/>
                <w:color w:val="auto"/>
              </w:rPr>
              <w:t>地方，应定期对消防设施及灭火器材进行检查、维护。</w:t>
            </w:r>
          </w:p>
          <w:p w14:paraId="792072DD">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②严禁动用明火、各种电热器和能引起电火花的电气设备，室外门上应挂“严禁烟火”的警告牌，定期检查完好性。</w:t>
            </w:r>
          </w:p>
          <w:p w14:paraId="61BF55B1">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③加强设备电线及接头的检修及维护，防止因线路老化、接触不良等原因造成火灾事故。</w:t>
            </w:r>
          </w:p>
          <w:p w14:paraId="050C036C">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④搬运</w:t>
            </w:r>
            <w:r>
              <w:rPr>
                <w:rFonts w:hint="eastAsia" w:ascii="宋体" w:hAnsi="宋体"/>
                <w:color w:val="auto"/>
                <w:lang w:val="en-US" w:eastAsia="zh-CN"/>
              </w:rPr>
              <w:t>油类物质</w:t>
            </w:r>
            <w:r>
              <w:rPr>
                <w:rFonts w:hint="eastAsia" w:ascii="宋体" w:hAnsi="宋体"/>
                <w:color w:val="auto"/>
              </w:rPr>
              <w:t>时要轻装轻卸，包装桶应确保无破损，若发现破损应立即更换，避免废矿物油泄漏，存放于阴凉通风的地方，远离火源。</w:t>
            </w:r>
          </w:p>
          <w:p w14:paraId="45E7A62D">
            <w:pPr>
              <w:keepNext w:val="0"/>
              <w:keepLines w:val="0"/>
              <w:suppressLineNumbers w:val="0"/>
              <w:spacing w:before="0" w:beforeAutospacing="0" w:after="0" w:afterAutospacing="0"/>
              <w:ind w:left="0" w:right="0"/>
              <w:contextualSpacing/>
              <w:rPr>
                <w:rFonts w:hint="default" w:ascii="Times New Roman" w:hAnsi="Times New Roman" w:cs="Times New Roman"/>
                <w:color w:val="auto"/>
              </w:rPr>
            </w:pPr>
            <w:r>
              <w:rPr>
                <w:rFonts w:hint="eastAsia" w:ascii="宋体" w:hAnsi="宋体"/>
                <w:color w:val="auto"/>
              </w:rPr>
              <w:t>⑤危险废物暂存间严格按照《危险废物贮存污</w:t>
            </w:r>
            <w:r>
              <w:rPr>
                <w:rFonts w:hint="default" w:ascii="Times New Roman" w:hAnsi="Times New Roman" w:cs="Times New Roman"/>
                <w:color w:val="auto"/>
              </w:rPr>
              <w:t>染控制标准》（GB18597-2023）中的相关要求进行建设，地面及裙脚进行重点防渗，渗透系数≤1×10</w:t>
            </w:r>
            <w:r>
              <w:rPr>
                <w:rFonts w:hint="default" w:ascii="Times New Roman" w:hAnsi="Times New Roman" w:cs="Times New Roman"/>
                <w:color w:val="auto"/>
                <w:vertAlign w:val="superscript"/>
              </w:rPr>
              <w:t>-10</w:t>
            </w:r>
            <w:r>
              <w:rPr>
                <w:rFonts w:hint="default" w:ascii="Times New Roman" w:hAnsi="Times New Roman" w:cs="Times New Roman"/>
                <w:color w:val="auto"/>
              </w:rPr>
              <w:t>cm/s。危废间设置规范标识标牌。</w:t>
            </w:r>
          </w:p>
          <w:p w14:paraId="2832EB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contextualSpacing/>
              <w:textAlignment w:val="auto"/>
              <w:rPr>
                <w:rFonts w:hint="default" w:ascii="宋体" w:hAnsi="宋体" w:cs="宋体"/>
                <w:color w:val="auto"/>
                <w:sz w:val="24"/>
                <w:szCs w:val="24"/>
              </w:rPr>
            </w:pPr>
            <w:r>
              <w:rPr>
                <w:rFonts w:hint="default" w:ascii="Times New Roman" w:hAnsi="Times New Roman" w:cs="Times New Roman"/>
                <w:color w:val="auto"/>
                <w:sz w:val="24"/>
                <w:szCs w:val="24"/>
              </w:rPr>
              <w:t>⑥</w:t>
            </w:r>
            <w:r>
              <w:rPr>
                <w:rFonts w:hint="default"/>
                <w:color w:val="auto"/>
                <w:kern w:val="0"/>
                <w:sz w:val="24"/>
                <w:szCs w:val="24"/>
              </w:rPr>
              <w:t>危险废物暂存间内设置</w:t>
            </w:r>
            <w:r>
              <w:rPr>
                <w:rFonts w:hint="eastAsia"/>
                <w:color w:val="auto"/>
                <w:kern w:val="0"/>
                <w:sz w:val="21"/>
                <w:szCs w:val="21"/>
                <w:highlight w:val="none"/>
                <w:lang w:val="en-US" w:eastAsia="zh-CN"/>
              </w:rPr>
              <w:t>2</w:t>
            </w:r>
            <w:r>
              <w:rPr>
                <w:rFonts w:hint="eastAsia" w:ascii="Times New Roman" w:hAnsi="Times New Roman"/>
                <w:color w:val="auto"/>
                <w:kern w:val="0"/>
                <w:sz w:val="21"/>
                <w:szCs w:val="21"/>
                <w:highlight w:val="none"/>
              </w:rPr>
              <w:t>个1.5t</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1个1t</w:t>
            </w:r>
            <w:r>
              <w:rPr>
                <w:rFonts w:hint="default"/>
                <w:color w:val="auto"/>
                <w:kern w:val="0"/>
                <w:sz w:val="24"/>
                <w:szCs w:val="24"/>
              </w:rPr>
              <w:t>的储存罐用于储存废油，</w:t>
            </w:r>
            <w:r>
              <w:rPr>
                <w:rFonts w:hint="eastAsia"/>
                <w:color w:val="auto"/>
                <w:kern w:val="0"/>
                <w:sz w:val="24"/>
                <w:szCs w:val="24"/>
                <w:lang w:val="en-US" w:eastAsia="zh-CN"/>
              </w:rPr>
              <w:t>隔油</w:t>
            </w:r>
            <w:r>
              <w:rPr>
                <w:rFonts w:hint="default"/>
                <w:color w:val="auto"/>
                <w:kern w:val="0"/>
                <w:sz w:val="24"/>
                <w:szCs w:val="24"/>
              </w:rPr>
              <w:t>沉淀池浮油、污泥收集后存于危废暂存间，交有资质单位处置。</w:t>
            </w:r>
            <w:r>
              <w:rPr>
                <w:rFonts w:hint="eastAsia"/>
                <w:color w:val="auto"/>
                <w:kern w:val="0"/>
                <w:sz w:val="24"/>
                <w:szCs w:val="24"/>
                <w:lang w:val="en-US" w:eastAsia="zh-CN"/>
              </w:rPr>
              <w:t>危废暂存间设置围堰。</w:t>
            </w:r>
          </w:p>
          <w:p w14:paraId="0E062938">
            <w:pPr>
              <w:keepNext w:val="0"/>
              <w:keepLines w:val="0"/>
              <w:suppressLineNumbers w:val="0"/>
              <w:autoSpaceDE w:val="0"/>
              <w:spacing w:before="0" w:beforeAutospacing="0" w:after="0" w:afterAutospacing="0"/>
              <w:ind w:left="0" w:right="0"/>
              <w:contextualSpacing/>
              <w:rPr>
                <w:rFonts w:hint="default"/>
                <w:color w:val="auto"/>
              </w:rPr>
            </w:pPr>
            <w:r>
              <w:rPr>
                <w:rFonts w:hint="eastAsia" w:ascii="宋体" w:hAnsi="宋体"/>
                <w:color w:val="auto"/>
              </w:rPr>
              <w:t>⑦编制突发环境事件应急预案，并报昆明市生态环境局</w:t>
            </w:r>
            <w:r>
              <w:rPr>
                <w:rFonts w:hint="eastAsia" w:ascii="宋体" w:hAnsi="宋体"/>
                <w:color w:val="auto"/>
                <w:lang w:val="en-US" w:eastAsia="zh-CN"/>
              </w:rPr>
              <w:t>寻甸</w:t>
            </w:r>
            <w:r>
              <w:rPr>
                <w:rFonts w:hint="eastAsia" w:ascii="宋体" w:hAnsi="宋体"/>
                <w:color w:val="auto"/>
              </w:rPr>
              <w:t>分局备案。</w:t>
            </w:r>
          </w:p>
        </w:tc>
      </w:tr>
      <w:tr w14:paraId="64C30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27" w:type="dxa"/>
            <w:tcBorders>
              <w:top w:val="single" w:color="auto" w:sz="4" w:space="0"/>
              <w:left w:val="single" w:color="auto" w:sz="8" w:space="0"/>
              <w:bottom w:val="single" w:color="auto" w:sz="8" w:space="0"/>
              <w:right w:val="single" w:color="auto" w:sz="4" w:space="0"/>
            </w:tcBorders>
            <w:vAlign w:val="center"/>
          </w:tcPr>
          <w:p w14:paraId="3DD806A1">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其他环境</w:t>
            </w:r>
          </w:p>
          <w:p w14:paraId="162E2F41">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管理要求</w:t>
            </w:r>
          </w:p>
        </w:tc>
        <w:tc>
          <w:tcPr>
            <w:tcW w:w="8197" w:type="dxa"/>
            <w:gridSpan w:val="4"/>
            <w:tcBorders>
              <w:top w:val="single" w:color="auto" w:sz="4" w:space="0"/>
              <w:left w:val="single" w:color="auto" w:sz="4" w:space="0"/>
              <w:bottom w:val="single" w:color="auto" w:sz="8" w:space="0"/>
              <w:right w:val="single" w:color="auto" w:sz="8" w:space="0"/>
            </w:tcBorders>
            <w:vAlign w:val="center"/>
          </w:tcPr>
          <w:p w14:paraId="466E6450">
            <w:pPr>
              <w:keepNext w:val="0"/>
              <w:keepLines w:val="0"/>
              <w:suppressLineNumbers w:val="0"/>
              <w:autoSpaceDE w:val="0"/>
              <w:spacing w:before="0" w:beforeAutospacing="0" w:after="0" w:afterAutospacing="0"/>
              <w:ind w:left="0" w:right="0" w:firstLine="482" w:firstLineChars="200"/>
              <w:contextualSpacing/>
              <w:rPr>
                <w:rFonts w:hint="default"/>
                <w:b/>
                <w:bCs/>
                <w:color w:val="auto"/>
              </w:rPr>
            </w:pPr>
            <w:r>
              <w:rPr>
                <w:rFonts w:hint="default"/>
                <w:b/>
                <w:bCs/>
                <w:color w:val="auto"/>
              </w:rPr>
              <w:t>1、环境管理计划</w:t>
            </w:r>
          </w:p>
          <w:p w14:paraId="6326208F">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1）根据国家环保政策、标准及环境监测要求，制定该项目运行期环境管理规章制度、各种污染物排放指标。</w:t>
            </w:r>
          </w:p>
          <w:p w14:paraId="1963B639">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2）项目建成投产前建设单位应自行组织项目竣工环境保护验收工作，检查环保设施是否达到“三同时”要求。</w:t>
            </w:r>
          </w:p>
          <w:p w14:paraId="4F7AFA06">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3）加强环保设施的管理，定期检查厂内环保设施运行情况。及时排除故障，保证环保设施正常运转。</w:t>
            </w:r>
          </w:p>
          <w:p w14:paraId="6737C6AB">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4）危险废物的收集管理应由专人负责，分类收集。</w:t>
            </w:r>
          </w:p>
          <w:p w14:paraId="11C6A3C5">
            <w:pPr>
              <w:keepNext w:val="0"/>
              <w:keepLines w:val="0"/>
              <w:suppressLineNumbers w:val="0"/>
              <w:autoSpaceDE w:val="0"/>
              <w:spacing w:before="0" w:beforeAutospacing="0" w:after="0" w:afterAutospacing="0"/>
              <w:ind w:left="0" w:right="0" w:firstLine="482" w:firstLineChars="200"/>
              <w:contextualSpacing/>
              <w:rPr>
                <w:rFonts w:hint="default"/>
                <w:b/>
                <w:bCs/>
                <w:color w:val="auto"/>
              </w:rPr>
            </w:pPr>
            <w:r>
              <w:rPr>
                <w:rFonts w:hint="default"/>
                <w:b/>
                <w:bCs/>
                <w:color w:val="auto"/>
              </w:rPr>
              <w:t>2、排污许可管理</w:t>
            </w:r>
          </w:p>
          <w:p w14:paraId="551FD0D7">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eastAsia"/>
                <w:color w:val="auto"/>
              </w:rPr>
              <w:t>生态环境部办公厅于2017年11月15日发布《关于做好环境影响评价制度与排污许可制衔接相关工作的通知》（环办环评[2017]84号）。根据《固定污染源排污许可分类管理目录（2019版）》中“108 除107外的其他行业”，涉及通用工序重点管理的，存在本名录第七条规定情形之一的为重点管理；涉及通用工序简化管理的，为简化管理；涉及通用工序登记管理的，为登记管理。本项目为社会事业与服务业中洗车场项目，</w:t>
            </w:r>
            <w:r>
              <w:rPr>
                <w:rFonts w:hint="eastAsia"/>
                <w:color w:val="auto"/>
                <w:lang w:val="en-US" w:eastAsia="zh-CN"/>
              </w:rPr>
              <w:t>不涉及</w:t>
            </w:r>
            <w:r>
              <w:rPr>
                <w:rFonts w:hint="eastAsia"/>
                <w:color w:val="auto"/>
              </w:rPr>
              <w:t>工业炉窑、表面处理</w:t>
            </w:r>
            <w:r>
              <w:rPr>
                <w:rFonts w:hint="eastAsia"/>
                <w:color w:val="auto"/>
                <w:lang w:val="en-US" w:eastAsia="zh-CN"/>
              </w:rPr>
              <w:t>等工序，仅涉及电锅炉、</w:t>
            </w:r>
            <w:r>
              <w:rPr>
                <w:rFonts w:hint="eastAsia"/>
                <w:color w:val="auto"/>
              </w:rPr>
              <w:t>水处理工序</w:t>
            </w:r>
            <w:r>
              <w:rPr>
                <w:rFonts w:hint="eastAsia"/>
                <w:color w:val="auto"/>
                <w:lang w:eastAsia="zh-CN"/>
              </w:rPr>
              <w:t>。</w:t>
            </w:r>
            <w:r>
              <w:rPr>
                <w:rFonts w:hint="eastAsia"/>
                <w:color w:val="auto"/>
                <w:lang w:val="en-US" w:eastAsia="zh-CN"/>
              </w:rPr>
              <w:t>本项目一体化污水处理设施日处理能力为1m</w:t>
            </w:r>
            <w:r>
              <w:rPr>
                <w:rFonts w:hint="eastAsia"/>
                <w:color w:val="auto"/>
                <w:vertAlign w:val="superscript"/>
                <w:lang w:val="en-US" w:eastAsia="zh-CN"/>
              </w:rPr>
              <w:t>3</w:t>
            </w:r>
            <w:r>
              <w:rPr>
                <w:rFonts w:hint="eastAsia"/>
                <w:color w:val="auto"/>
                <w:lang w:val="en-US" w:eastAsia="zh-CN"/>
              </w:rPr>
              <w:t>/h，未达到登记管理范围，</w:t>
            </w:r>
            <w:r>
              <w:rPr>
                <w:rFonts w:hint="eastAsia"/>
                <w:color w:val="auto"/>
              </w:rPr>
              <w:t>因此，本项目不纳入排污许可管理范围。</w:t>
            </w:r>
          </w:p>
          <w:p w14:paraId="1476AB4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2"/>
              <w:rPr>
                <w:rFonts w:hint="default"/>
                <w:b/>
                <w:bCs/>
                <w:color w:val="auto"/>
              </w:rPr>
            </w:pPr>
            <w:r>
              <w:rPr>
                <w:rFonts w:hint="eastAsia"/>
                <w:b/>
                <w:bCs/>
                <w:color w:val="auto"/>
              </w:rPr>
              <w:t>3</w:t>
            </w:r>
            <w:r>
              <w:rPr>
                <w:rFonts w:hint="eastAsia" w:ascii="宋体" w:hAnsi="宋体"/>
                <w:b/>
                <w:bCs/>
                <w:color w:val="auto"/>
              </w:rPr>
              <w:t>、排污口设置要求</w:t>
            </w:r>
          </w:p>
          <w:p w14:paraId="607C2CCD">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排污口是项目运营期污染物进入环境、污染环境的通道，强化总排口管理是实施污染物总量控制的基础工作之一，也是环境管理逐步实现污染物科学化、定量化的主要手段。项目排放口设置满足以下要求：</w:t>
            </w:r>
          </w:p>
          <w:p w14:paraId="617D6A2F">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①</w:t>
            </w:r>
            <w:r>
              <w:rPr>
                <w:rFonts w:hint="eastAsia" w:ascii="宋体" w:hAnsi="宋体"/>
                <w:color w:val="auto"/>
              </w:rPr>
              <w:t>基本原则</w:t>
            </w:r>
          </w:p>
          <w:p w14:paraId="1D0A7AB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排污口设置必须规范化，便于采样与计量监测，便于日常现场监督检查。</w:t>
            </w:r>
          </w:p>
          <w:p w14:paraId="52CBB4F6">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②</w:t>
            </w:r>
            <w:r>
              <w:rPr>
                <w:rFonts w:hint="eastAsia" w:ascii="宋体" w:hAnsi="宋体"/>
                <w:color w:val="auto"/>
              </w:rPr>
              <w:t>排污口技术要求</w:t>
            </w:r>
          </w:p>
          <w:p w14:paraId="316D3788">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排污口的位置必须合理确定，按环监（</w:t>
            </w:r>
            <w:r>
              <w:rPr>
                <w:rFonts w:hint="eastAsia"/>
                <w:color w:val="auto"/>
              </w:rPr>
              <w:t>1996</w:t>
            </w:r>
            <w:r>
              <w:rPr>
                <w:rFonts w:hint="eastAsia" w:ascii="宋体" w:hAnsi="宋体"/>
                <w:color w:val="auto"/>
              </w:rPr>
              <w:t>）</w:t>
            </w:r>
            <w:r>
              <w:rPr>
                <w:rFonts w:hint="eastAsia"/>
                <w:color w:val="auto"/>
              </w:rPr>
              <w:t>470</w:t>
            </w:r>
            <w:r>
              <w:rPr>
                <w:rFonts w:hint="eastAsia" w:ascii="宋体" w:hAnsi="宋体"/>
                <w:color w:val="auto"/>
              </w:rPr>
              <w:t>号文件要求进行规范化管理；采样点设置应按《污染源监测技术规范》要求，设置在项目总排口处。</w:t>
            </w:r>
          </w:p>
          <w:p w14:paraId="37B3286F">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③</w:t>
            </w:r>
            <w:r>
              <w:rPr>
                <w:rFonts w:hint="eastAsia" w:ascii="宋体" w:hAnsi="宋体"/>
                <w:color w:val="auto"/>
              </w:rPr>
              <w:t>排污口立标管理</w:t>
            </w:r>
          </w:p>
          <w:p w14:paraId="721A3650">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eastAsia" w:ascii="宋体" w:hAnsi="宋体"/>
                <w:color w:val="auto"/>
              </w:rPr>
            </w:pPr>
            <w:r>
              <w:rPr>
                <w:rFonts w:hint="eastAsia" w:ascii="宋体" w:hAnsi="宋体"/>
                <w:color w:val="auto"/>
              </w:rPr>
              <w:t>排污口应按国家《环境保护图形标志</w:t>
            </w:r>
            <w:r>
              <w:rPr>
                <w:rFonts w:hint="eastAsia"/>
                <w:color w:val="auto"/>
              </w:rPr>
              <w:t xml:space="preserve"> </w:t>
            </w:r>
            <w:r>
              <w:rPr>
                <w:rFonts w:hint="eastAsia" w:ascii="宋体" w:hAnsi="宋体"/>
                <w:color w:val="auto"/>
              </w:rPr>
              <w:t>排放口》（</w:t>
            </w:r>
            <w:r>
              <w:rPr>
                <w:rFonts w:hint="eastAsia"/>
                <w:color w:val="auto"/>
              </w:rPr>
              <w:t>15562.1-1995</w:t>
            </w:r>
            <w:r>
              <w:rPr>
                <w:rFonts w:hint="eastAsia" w:ascii="宋体" w:hAnsi="宋体"/>
                <w:color w:val="auto"/>
              </w:rPr>
              <w:t>）设置图形标志牌，并且应设置在采样点醒目位置，标志牌设置高度为其上缘距地面</w:t>
            </w:r>
            <w:r>
              <w:rPr>
                <w:rFonts w:hint="eastAsia"/>
                <w:color w:val="auto"/>
              </w:rPr>
              <w:t>2m</w:t>
            </w:r>
            <w:r>
              <w:rPr>
                <w:rFonts w:hint="eastAsia" w:ascii="宋体" w:hAnsi="宋体"/>
                <w:color w:val="auto"/>
              </w:rPr>
              <w:t>。危废暂存间按《危险废物识别标志设置技术规范》（</w:t>
            </w:r>
            <w:r>
              <w:rPr>
                <w:rFonts w:hint="eastAsia"/>
                <w:color w:val="auto"/>
              </w:rPr>
              <w:t>HJ1276-2022</w:t>
            </w:r>
            <w:r>
              <w:rPr>
                <w:rFonts w:hint="eastAsia" w:ascii="宋体" w:hAnsi="宋体"/>
                <w:color w:val="auto"/>
              </w:rPr>
              <w:t>）设置危险识别标志牌。</w:t>
            </w:r>
          </w:p>
          <w:p w14:paraId="29A63A9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2"/>
              <w:rPr>
                <w:rFonts w:hint="default"/>
                <w:b/>
                <w:bCs/>
                <w:color w:val="auto"/>
              </w:rPr>
            </w:pPr>
            <w:r>
              <w:rPr>
                <w:rFonts w:hint="eastAsia"/>
                <w:b/>
                <w:bCs/>
                <w:color w:val="auto"/>
              </w:rPr>
              <w:t>4</w:t>
            </w:r>
            <w:r>
              <w:rPr>
                <w:rFonts w:hint="eastAsia" w:ascii="宋体" w:hAnsi="宋体"/>
                <w:b/>
                <w:bCs/>
                <w:color w:val="auto"/>
              </w:rPr>
              <w:t>、竣工环境保护验收</w:t>
            </w:r>
          </w:p>
          <w:p w14:paraId="61E274F8">
            <w:pPr>
              <w:keepNext w:val="0"/>
              <w:keepLines w:val="0"/>
              <w:suppressLineNumbers w:val="0"/>
              <w:spacing w:before="0" w:beforeAutospacing="0" w:after="0" w:afterAutospacing="0"/>
              <w:ind w:left="0" w:right="0" w:firstLine="480" w:firstLineChars="200"/>
              <w:contextualSpacing/>
              <w:rPr>
                <w:rFonts w:hint="default"/>
                <w:bCs/>
                <w:color w:val="auto"/>
              </w:rPr>
            </w:pPr>
            <w:r>
              <w:rPr>
                <w:rFonts w:hint="default" w:ascii="宋体" w:hAnsi="宋体"/>
                <w:color w:val="auto"/>
                <w:kern w:val="0"/>
              </w:rPr>
              <w:t>根据国环评规【</w:t>
            </w:r>
            <w:r>
              <w:rPr>
                <w:rFonts w:hint="default"/>
                <w:color w:val="auto"/>
                <w:kern w:val="0"/>
              </w:rPr>
              <w:t>2017</w:t>
            </w:r>
            <w:r>
              <w:rPr>
                <w:rFonts w:hint="default" w:ascii="宋体" w:hAnsi="宋体"/>
                <w:color w:val="auto"/>
                <w:kern w:val="0"/>
              </w:rPr>
              <w:t>】</w:t>
            </w:r>
            <w:r>
              <w:rPr>
                <w:rFonts w:hint="default"/>
                <w:color w:val="auto"/>
                <w:kern w:val="0"/>
              </w:rPr>
              <w:t>4</w:t>
            </w:r>
            <w:r>
              <w:rPr>
                <w:rFonts w:hint="default" w:ascii="宋体" w:hAnsi="宋体"/>
                <w:color w:val="auto"/>
                <w:kern w:val="0"/>
              </w:rPr>
              <w:t>号《建设项目竣工环境保护验收暂行办法》，建设单位是项目竣工环境保护验收的责任主体，建设单位应当如实查验、监测、记载建设项目环境保护设施的建设和调试情况，组织对配套建设的环境保护设施进行验收，编制验收监测表，公开相关信息，接收社会监督，邀请专家进行环保验收，并向当地生态环境局报备，确保建设项目需要配套建设的环境保护设施与主体工程同时投产或者同时使用，并对验收内容、结论和所公开信息的真实性、准确性和完整性负责，不得在验收过程中弄虚作假。</w:t>
            </w:r>
          </w:p>
          <w:p w14:paraId="17DA7EE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contextualSpacing/>
              <w:textAlignment w:val="auto"/>
              <w:outlineLvl w:val="9"/>
              <w:rPr>
                <w:rFonts w:hint="default" w:ascii="宋体" w:hAnsi="宋体" w:eastAsia="宋体"/>
                <w:b w:val="0"/>
                <w:bCs w:val="0"/>
                <w:color w:val="auto"/>
                <w:kern w:val="0"/>
                <w:sz w:val="24"/>
                <w:szCs w:val="24"/>
              </w:rPr>
            </w:pPr>
            <w:bookmarkStart w:id="15" w:name="_Toc4705"/>
            <w:r>
              <w:rPr>
                <w:rFonts w:hint="default" w:ascii="宋体" w:hAnsi="宋体" w:eastAsia="宋体"/>
                <w:b w:val="0"/>
                <w:bCs w:val="0"/>
                <w:color w:val="auto"/>
                <w:kern w:val="0"/>
                <w:sz w:val="24"/>
                <w:szCs w:val="24"/>
              </w:rPr>
              <w:t>验收时限：除需要取得排污许可证的水和大气污染防治设施外，其他环境保护设施的验收期限一般不超过</w:t>
            </w:r>
            <w:r>
              <w:rPr>
                <w:rFonts w:hint="default" w:eastAsia="宋体"/>
                <w:b w:val="0"/>
                <w:bCs w:val="0"/>
                <w:color w:val="auto"/>
                <w:kern w:val="0"/>
                <w:sz w:val="24"/>
                <w:szCs w:val="24"/>
              </w:rPr>
              <w:t>3</w:t>
            </w:r>
            <w:r>
              <w:rPr>
                <w:rFonts w:hint="default" w:ascii="宋体" w:hAnsi="宋体" w:eastAsia="宋体"/>
                <w:b w:val="0"/>
                <w:bCs w:val="0"/>
                <w:color w:val="auto"/>
                <w:kern w:val="0"/>
                <w:sz w:val="24"/>
                <w:szCs w:val="24"/>
              </w:rPr>
              <w:t>个月；需要对该类环境保护设施进行调试或者整改的，验收期限可以适当延期，但最长不超过</w:t>
            </w:r>
            <w:r>
              <w:rPr>
                <w:rFonts w:hint="default" w:eastAsia="宋体"/>
                <w:b w:val="0"/>
                <w:bCs w:val="0"/>
                <w:color w:val="auto"/>
                <w:kern w:val="0"/>
                <w:sz w:val="24"/>
                <w:szCs w:val="24"/>
              </w:rPr>
              <w:t>12</w:t>
            </w:r>
            <w:r>
              <w:rPr>
                <w:rFonts w:hint="default" w:ascii="宋体" w:hAnsi="宋体" w:eastAsia="宋体"/>
                <w:b w:val="0"/>
                <w:bCs w:val="0"/>
                <w:color w:val="auto"/>
                <w:kern w:val="0"/>
                <w:sz w:val="24"/>
                <w:szCs w:val="24"/>
              </w:rPr>
              <w:t>个月。</w:t>
            </w:r>
            <w:bookmarkEnd w:id="15"/>
          </w:p>
          <w:p w14:paraId="5C8F39B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contextualSpacing/>
              <w:textAlignment w:val="auto"/>
              <w:outlineLvl w:val="9"/>
              <w:rPr>
                <w:rFonts w:hint="default" w:ascii="宋体" w:hAnsi="宋体" w:eastAsia="宋体"/>
                <w:b w:val="0"/>
                <w:bCs w:val="0"/>
                <w:color w:val="auto"/>
                <w:kern w:val="0"/>
                <w:sz w:val="24"/>
                <w:szCs w:val="24"/>
              </w:rPr>
            </w:pPr>
          </w:p>
        </w:tc>
      </w:tr>
    </w:tbl>
    <w:p w14:paraId="4937062F">
      <w:pPr>
        <w:rPr>
          <w:rFonts w:hint="eastAsia" w:eastAsia="宋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0E7A4A">
      <w:pPr>
        <w:jc w:val="center"/>
        <w:outlineLvl w:val="0"/>
        <w:rPr>
          <w:rFonts w:ascii="黑体" w:hAnsi="黑体" w:eastAsia="黑体"/>
          <w:color w:val="auto"/>
          <w:sz w:val="30"/>
          <w:szCs w:val="30"/>
        </w:rPr>
      </w:pPr>
      <w:bookmarkStart w:id="16" w:name="_Toc7149"/>
      <w:bookmarkStart w:id="17" w:name="_Toc25342"/>
      <w:bookmarkStart w:id="18" w:name="_Toc11542"/>
      <w:r>
        <w:rPr>
          <w:rFonts w:hint="eastAsia" w:ascii="黑体" w:hAnsi="黑体" w:eastAsia="黑体"/>
          <w:color w:val="auto"/>
          <w:sz w:val="30"/>
          <w:szCs w:val="30"/>
        </w:rPr>
        <w:t>六、结论</w:t>
      </w:r>
      <w:bookmarkEnd w:id="16"/>
      <w:bookmarkEnd w:id="17"/>
      <w:bookmarkEnd w:id="18"/>
    </w:p>
    <w:tbl>
      <w:tblPr>
        <w:tblStyle w:val="29"/>
        <w:tblW w:w="0" w:type="auto"/>
        <w:tblInd w:w="0" w:type="dxa"/>
        <w:tblLayout w:type="autofit"/>
        <w:tblCellMar>
          <w:top w:w="0" w:type="dxa"/>
          <w:left w:w="108" w:type="dxa"/>
          <w:bottom w:w="0" w:type="dxa"/>
          <w:right w:w="108" w:type="dxa"/>
        </w:tblCellMar>
      </w:tblPr>
      <w:tblGrid>
        <w:gridCol w:w="8522"/>
      </w:tblGrid>
      <w:tr w14:paraId="4C3BE1C0">
        <w:tblPrEx>
          <w:tblCellMar>
            <w:top w:w="0" w:type="dxa"/>
            <w:left w:w="108" w:type="dxa"/>
            <w:bottom w:w="0" w:type="dxa"/>
            <w:right w:w="108" w:type="dxa"/>
          </w:tblCellMar>
        </w:tblPrEx>
        <w:trPr>
          <w:trHeight w:val="12686" w:hRule="atLeast"/>
        </w:trPr>
        <w:tc>
          <w:tcPr>
            <w:tcW w:w="8522" w:type="dxa"/>
            <w:tcBorders>
              <w:top w:val="single" w:color="auto" w:sz="4" w:space="0"/>
              <w:left w:val="single" w:color="auto" w:sz="4" w:space="0"/>
              <w:bottom w:val="single" w:color="auto" w:sz="4" w:space="0"/>
              <w:right w:val="single" w:color="auto" w:sz="4" w:space="0"/>
            </w:tcBorders>
          </w:tcPr>
          <w:p w14:paraId="46EE47E9">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本项目位于云南省昆明市寻甸县特色产业园区金所片区，项目的建设符合国家、地方产业政策，以及相关规划，所在区域环境质量现状符合相应环境质量标准，不涉及自然保护区、风景名胜区、水源保护区等环境敏感区，选址合理。在采取环评提出的措施后，项目产生的废水、废气、噪声可达标排放，固废处置率100%，对当地环境质量及主要关心点环境影响很小，符合达标排放和不降低当地环境功能的原则要求，符合国家法律法规要求。</w:t>
            </w:r>
          </w:p>
          <w:p w14:paraId="792FC0EF">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本项目在严格执行环境保护“三同时”规定，严格进行环境管理，保证项目内的废气处理设施及其他环保设施的正常运行，污染物达标排放的条件下，从环境保护角度论证，本项目的建设是可行的。</w:t>
            </w:r>
          </w:p>
        </w:tc>
      </w:tr>
    </w:tbl>
    <w:p w14:paraId="3E3F6E54">
      <w:pPr>
        <w:rPr>
          <w:rFonts w:hint="eastAsia" w:eastAsia="宋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298410">
      <w:pPr>
        <w:jc w:val="center"/>
        <w:outlineLvl w:val="0"/>
        <w:rPr>
          <w:b/>
          <w:color w:val="auto"/>
          <w:sz w:val="28"/>
          <w:szCs w:val="28"/>
        </w:rPr>
      </w:pPr>
      <w:bookmarkStart w:id="19" w:name="_Toc29012"/>
      <w:bookmarkStart w:id="20" w:name="_Toc11432"/>
      <w:bookmarkStart w:id="21" w:name="_Toc9731"/>
      <w:r>
        <w:rPr>
          <w:rFonts w:hint="eastAsia" w:ascii="宋体" w:hAnsi="宋体"/>
          <w:b/>
          <w:color w:val="auto"/>
          <w:sz w:val="28"/>
          <w:szCs w:val="28"/>
        </w:rPr>
        <w:t>建设项目污染物排放量汇总表</w:t>
      </w:r>
      <w:bookmarkEnd w:id="19"/>
      <w:bookmarkEnd w:id="20"/>
      <w:bookmarkEnd w:id="21"/>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119"/>
        <w:gridCol w:w="1702"/>
        <w:gridCol w:w="1290"/>
        <w:gridCol w:w="1132"/>
        <w:gridCol w:w="1377"/>
        <w:gridCol w:w="1446"/>
        <w:gridCol w:w="1418"/>
        <w:gridCol w:w="1842"/>
        <w:gridCol w:w="1464"/>
      </w:tblGrid>
      <w:tr w14:paraId="31E5B6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794" w:hRule="atLeast"/>
          <w:jc w:val="center"/>
        </w:trPr>
        <w:tc>
          <w:tcPr>
            <w:tcW w:w="1119"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638BD43">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项目</w:t>
            </w:r>
          </w:p>
          <w:p w14:paraId="2A2E847E">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分类</w:t>
            </w:r>
          </w:p>
        </w:tc>
        <w:tc>
          <w:tcPr>
            <w:tcW w:w="170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7DB614A4">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污染物名称</w:t>
            </w:r>
          </w:p>
        </w:tc>
        <w:tc>
          <w:tcPr>
            <w:tcW w:w="1290"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41C94E4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现有工程排放量（固体废物产生量）</w:t>
            </w:r>
            <w:r>
              <w:rPr>
                <w:rFonts w:hint="eastAsia" w:ascii="宋体" w:hAnsi="宋体" w:eastAsia="宋体" w:cs="Times New Roman"/>
                <w:color w:val="auto"/>
                <w:spacing w:val="-6"/>
                <w:kern w:val="21"/>
                <w:sz w:val="21"/>
                <w:szCs w:val="21"/>
                <w:lang w:val="en-US" w:eastAsia="zh-CN" w:bidi="ar"/>
              </w:rPr>
              <w:t>①</w:t>
            </w:r>
          </w:p>
        </w:tc>
        <w:tc>
          <w:tcPr>
            <w:tcW w:w="113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69AB1C7">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现有工程许可排放量</w:t>
            </w:r>
            <w:r>
              <w:rPr>
                <w:rFonts w:hint="eastAsia" w:ascii="宋体" w:hAnsi="宋体" w:eastAsia="宋体" w:cs="Times New Roman"/>
                <w:color w:val="auto"/>
                <w:spacing w:val="-6"/>
                <w:kern w:val="21"/>
                <w:sz w:val="21"/>
                <w:szCs w:val="21"/>
                <w:lang w:val="en-US" w:eastAsia="zh-CN" w:bidi="ar"/>
              </w:rPr>
              <w:t>②</w:t>
            </w:r>
          </w:p>
        </w:tc>
        <w:tc>
          <w:tcPr>
            <w:tcW w:w="1377"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034E373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在建工程排放量（固体废物产生量）</w:t>
            </w:r>
            <w:r>
              <w:rPr>
                <w:rFonts w:hint="eastAsia" w:ascii="宋体" w:hAnsi="宋体" w:eastAsia="宋体" w:cs="Times New Roman"/>
                <w:color w:val="auto"/>
                <w:spacing w:val="-6"/>
                <w:kern w:val="21"/>
                <w:sz w:val="21"/>
                <w:szCs w:val="21"/>
                <w:lang w:val="en-US" w:eastAsia="zh-CN" w:bidi="ar"/>
              </w:rPr>
              <w:t>③</w:t>
            </w:r>
          </w:p>
        </w:tc>
        <w:tc>
          <w:tcPr>
            <w:tcW w:w="1446"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5CB7E622">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本项目排放量（固体废物产生量）</w:t>
            </w:r>
            <w:r>
              <w:rPr>
                <w:rFonts w:hint="eastAsia" w:ascii="宋体" w:hAnsi="宋体" w:eastAsia="宋体" w:cs="Times New Roman"/>
                <w:color w:val="auto"/>
                <w:spacing w:val="-6"/>
                <w:kern w:val="21"/>
                <w:sz w:val="21"/>
                <w:szCs w:val="21"/>
                <w:lang w:val="en-US" w:eastAsia="zh-CN" w:bidi="ar"/>
              </w:rPr>
              <w:t>④</w:t>
            </w:r>
          </w:p>
        </w:tc>
        <w:tc>
          <w:tcPr>
            <w:tcW w:w="1418"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0260ED1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16"/>
                <w:kern w:val="21"/>
                <w:sz w:val="21"/>
                <w:szCs w:val="21"/>
                <w:lang w:val="en-US"/>
              </w:rPr>
            </w:pPr>
            <w:r>
              <w:rPr>
                <w:rFonts w:hint="eastAsia" w:ascii="黑体" w:hAnsi="宋体" w:eastAsia="黑体" w:cs="黑体"/>
                <w:color w:val="auto"/>
                <w:spacing w:val="-16"/>
                <w:kern w:val="21"/>
                <w:sz w:val="21"/>
                <w:szCs w:val="21"/>
                <w:lang w:val="en-US" w:eastAsia="zh-CN" w:bidi="ar"/>
              </w:rPr>
              <w:t>以新带老削减量（新建项目不填）</w:t>
            </w:r>
            <w:r>
              <w:rPr>
                <w:rFonts w:hint="eastAsia" w:ascii="宋体" w:hAnsi="宋体" w:eastAsia="宋体" w:cs="Times New Roman"/>
                <w:color w:val="auto"/>
                <w:spacing w:val="-16"/>
                <w:kern w:val="21"/>
                <w:sz w:val="21"/>
                <w:szCs w:val="21"/>
                <w:lang w:val="en-US" w:eastAsia="zh-CN" w:bidi="ar"/>
              </w:rPr>
              <w:t>⑤</w:t>
            </w:r>
          </w:p>
        </w:tc>
        <w:tc>
          <w:tcPr>
            <w:tcW w:w="184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462D0F8B">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16"/>
                <w:kern w:val="21"/>
                <w:sz w:val="21"/>
                <w:szCs w:val="21"/>
                <w:lang w:val="en-US"/>
              </w:rPr>
            </w:pPr>
            <w:r>
              <w:rPr>
                <w:rFonts w:hint="eastAsia" w:ascii="黑体" w:hAnsi="宋体" w:eastAsia="黑体" w:cs="黑体"/>
                <w:color w:val="auto"/>
                <w:spacing w:val="-16"/>
                <w:kern w:val="21"/>
                <w:sz w:val="21"/>
                <w:szCs w:val="21"/>
                <w:lang w:val="en-US" w:eastAsia="zh-CN" w:bidi="ar"/>
              </w:rPr>
              <w:t>本项目建成后全厂排放量（固体废物产生量）</w:t>
            </w:r>
            <w:r>
              <w:rPr>
                <w:rFonts w:hint="eastAsia" w:ascii="宋体" w:hAnsi="宋体" w:eastAsia="宋体" w:cs="Times New Roman"/>
                <w:color w:val="auto"/>
                <w:spacing w:val="-16"/>
                <w:kern w:val="21"/>
                <w:sz w:val="21"/>
                <w:szCs w:val="21"/>
                <w:lang w:val="en-US" w:eastAsia="zh-CN" w:bidi="ar"/>
              </w:rPr>
              <w:t>⑥</w:t>
            </w:r>
          </w:p>
        </w:tc>
        <w:tc>
          <w:tcPr>
            <w:tcW w:w="1464"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E24BC2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变化量</w:t>
            </w:r>
            <w:r>
              <w:rPr>
                <w:rFonts w:hint="eastAsia" w:ascii="宋体" w:hAnsi="宋体" w:eastAsia="宋体" w:cs="Times New Roman"/>
                <w:color w:val="auto"/>
                <w:spacing w:val="-6"/>
                <w:kern w:val="21"/>
                <w:sz w:val="21"/>
                <w:szCs w:val="21"/>
                <w:lang w:val="en-US" w:eastAsia="zh-CN" w:bidi="ar"/>
              </w:rPr>
              <w:t>⑦</w:t>
            </w:r>
          </w:p>
        </w:tc>
      </w:tr>
      <w:tr w14:paraId="1E514F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8F6346">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废水</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27EBEFD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生活污水</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7D88331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34F25205">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BD45224">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4671114">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48</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67F8FF17">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0436265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51CEB01F">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+48</w:t>
            </w:r>
          </w:p>
        </w:tc>
      </w:tr>
      <w:tr w14:paraId="6F980A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7461083">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54BBF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COD</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3A7528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701E6D5">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635FECF5">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9827F76">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0.0133</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0B4226C4">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25FA627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17222EB4">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+0.0133</w:t>
            </w:r>
          </w:p>
        </w:tc>
      </w:tr>
      <w:tr w14:paraId="5D3EFA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83156D5">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5C29AD8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2D84F74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0DAA6E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13218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780404A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0.0017</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48EA4A8D">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398EBC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42C55BC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+0.0017</w:t>
            </w:r>
          </w:p>
        </w:tc>
      </w:tr>
      <w:tr w14:paraId="3C7520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C90420">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D81EFA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TP</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0B5AA9E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0CAC471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F35BA5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866A91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0.0002</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7D204A2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565CA60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969633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+0.0002</w:t>
            </w:r>
          </w:p>
        </w:tc>
      </w:tr>
      <w:tr w14:paraId="349C48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6F0F221">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废气</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25731ED">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废气量</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05CE19F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06E6838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1345437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0FF4E40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650C69D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167465B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CA4C95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r>
      <w:tr w14:paraId="75DC61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689C68">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A0B2DB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颗粒物</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4784E95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6FA3922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6AE837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D113EA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3A07057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716246F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A04409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5ACEF6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0E153A">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4AA1E9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二氧化硫</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34AA55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1A79CE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7FF152D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5772FE0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05D4AEF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001C35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634A263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512195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B76DEF">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F16EA3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非甲烷总烃</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A3F075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7BB7313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5E5937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5C3F6F2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0.324</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5A52037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299CE0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0.324</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4C60606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+0.324</w:t>
            </w:r>
          </w:p>
        </w:tc>
      </w:tr>
      <w:tr w14:paraId="233D49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restart"/>
            <w:tcBorders>
              <w:top w:val="single" w:color="auto" w:sz="8" w:space="0"/>
              <w:left w:val="single" w:color="auto" w:sz="8" w:space="0"/>
              <w:right w:val="single" w:color="auto" w:sz="8" w:space="0"/>
            </w:tcBorders>
            <w:shd w:val="clear" w:color="auto" w:fill="auto"/>
            <w:vAlign w:val="center"/>
          </w:tcPr>
          <w:p w14:paraId="3E026B39">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固体废物</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B85336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cs="宋体"/>
                <w:color w:val="auto"/>
                <w:kern w:val="2"/>
                <w:sz w:val="21"/>
                <w:szCs w:val="21"/>
                <w:lang w:val="en-US" w:eastAsia="zh-CN" w:bidi="ar"/>
              </w:rPr>
              <w:t>废柴油</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1968529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5558F3E3">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76BDCE49">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7BE9B00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cs="Times New Roman"/>
                <w:color w:val="auto"/>
                <w:kern w:val="2"/>
                <w:sz w:val="21"/>
                <w:szCs w:val="21"/>
                <w:lang w:val="en-US" w:eastAsia="zh-CN" w:bidi="ar"/>
              </w:rPr>
              <w:t>45.36</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2BEF5A35">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4C6D6FC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45.36</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2B2350E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+45.36</w:t>
            </w:r>
          </w:p>
        </w:tc>
      </w:tr>
      <w:tr w14:paraId="31F017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left w:val="single" w:color="auto" w:sz="8" w:space="0"/>
              <w:bottom w:val="single" w:color="auto" w:sz="8" w:space="0"/>
              <w:right w:val="single" w:color="auto" w:sz="8" w:space="0"/>
            </w:tcBorders>
            <w:shd w:val="clear" w:color="auto" w:fill="auto"/>
            <w:vAlign w:val="center"/>
          </w:tcPr>
          <w:p w14:paraId="1B8DDDAE">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40A54C7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隔油沉淀池浮油、一体化污水设施污泥</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18F8C09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F480018">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50306B28">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3291F5D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0.327</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364894A2">
            <w:pPr>
              <w:pStyle w:val="2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5B55962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0.327</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72B3276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+0.327</w:t>
            </w:r>
          </w:p>
        </w:tc>
      </w:tr>
    </w:tbl>
    <w:p w14:paraId="44B5ADC8">
      <w:pPr>
        <w:rPr>
          <w:color w:val="auto"/>
        </w:rPr>
      </w:pPr>
      <w:r>
        <w:rPr>
          <w:rFonts w:hint="eastAsia" w:ascii="宋体" w:hAnsi="宋体"/>
          <w:color w:val="auto"/>
        </w:rPr>
        <w:t>注：⑥</w:t>
      </w:r>
      <w:r>
        <w:rPr>
          <w:rFonts w:hint="eastAsia"/>
          <w:color w:val="auto"/>
        </w:rPr>
        <w:t>=</w:t>
      </w:r>
      <w:r>
        <w:rPr>
          <w:rFonts w:hint="eastAsia" w:ascii="宋体" w:hAnsi="宋体"/>
          <w:color w:val="auto"/>
        </w:rPr>
        <w:t>①</w:t>
      </w:r>
      <w:r>
        <w:rPr>
          <w:rFonts w:hint="eastAsia"/>
          <w:color w:val="auto"/>
        </w:rPr>
        <w:t>+</w:t>
      </w:r>
      <w:r>
        <w:rPr>
          <w:rFonts w:hint="eastAsia" w:ascii="宋体" w:hAnsi="宋体"/>
          <w:color w:val="auto"/>
        </w:rPr>
        <w:t>③</w:t>
      </w:r>
      <w:r>
        <w:rPr>
          <w:rFonts w:hint="eastAsia"/>
          <w:color w:val="auto"/>
        </w:rPr>
        <w:t>+</w:t>
      </w:r>
      <w:r>
        <w:rPr>
          <w:rFonts w:hint="eastAsia" w:ascii="宋体" w:hAnsi="宋体"/>
          <w:color w:val="auto"/>
        </w:rPr>
        <w:t>④</w:t>
      </w:r>
      <w:r>
        <w:rPr>
          <w:rFonts w:hint="eastAsia"/>
          <w:color w:val="auto"/>
        </w:rPr>
        <w:t>-</w:t>
      </w:r>
      <w:r>
        <w:rPr>
          <w:rFonts w:hint="eastAsia" w:ascii="宋体" w:hAnsi="宋体"/>
          <w:color w:val="auto"/>
        </w:rPr>
        <w:t>⑤；⑦</w:t>
      </w:r>
      <w:r>
        <w:rPr>
          <w:rFonts w:hint="eastAsia"/>
          <w:color w:val="auto"/>
        </w:rPr>
        <w:t>=</w:t>
      </w:r>
      <w:r>
        <w:rPr>
          <w:rFonts w:hint="eastAsia" w:ascii="宋体" w:hAnsi="宋体"/>
          <w:color w:val="auto"/>
        </w:rPr>
        <w:t>⑥</w:t>
      </w:r>
      <w:r>
        <w:rPr>
          <w:rFonts w:hint="eastAsia"/>
          <w:color w:val="auto"/>
        </w:rPr>
        <w:t>-</w:t>
      </w:r>
      <w:r>
        <w:rPr>
          <w:rFonts w:hint="eastAsia" w:ascii="宋体" w:hAnsi="宋体"/>
          <w:color w:val="auto"/>
        </w:rPr>
        <w:t>①</w:t>
      </w:r>
    </w:p>
    <w:p w14:paraId="1D154CE8">
      <w:pPr>
        <w:rPr>
          <w:color w:val="auto"/>
        </w:rPr>
      </w:pPr>
    </w:p>
    <w:p w14:paraId="4A78F6B4">
      <w:pPr>
        <w:rPr>
          <w:color w:val="auto"/>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4422">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E72D">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C9E1A">
    <w:pPr>
      <w:pStyle w:val="2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2579"/>
                          </w:sdtPr>
                          <w:sdtContent>
                            <w:p w14:paraId="19AF431A">
                              <w:pPr>
                                <w:pStyle w:val="25"/>
                                <w:jc w:val="center"/>
                              </w:pPr>
                              <w:r>
                                <w:fldChar w:fldCharType="begin"/>
                              </w:r>
                              <w:r>
                                <w:instrText xml:space="preserve">PAGE   \* MERGEFORMAT</w:instrText>
                              </w:r>
                              <w:r>
                                <w:fldChar w:fldCharType="separate"/>
                              </w:r>
                              <w:r>
                                <w:rPr>
                                  <w:lang w:val="zh-CN"/>
                                </w:rPr>
                                <w:t>120</w:t>
                              </w:r>
                              <w:r>
                                <w:fldChar w:fldCharType="end"/>
                              </w:r>
                            </w:p>
                          </w:sdtContent>
                        </w:sdt>
                        <w:p w14:paraId="4CF591A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2579"/>
                    </w:sdtPr>
                    <w:sdtContent>
                      <w:p w14:paraId="19AF431A">
                        <w:pPr>
                          <w:pStyle w:val="25"/>
                          <w:jc w:val="center"/>
                        </w:pPr>
                        <w:r>
                          <w:fldChar w:fldCharType="begin"/>
                        </w:r>
                        <w:r>
                          <w:instrText xml:space="preserve">PAGE   \* MERGEFORMAT</w:instrText>
                        </w:r>
                        <w:r>
                          <w:fldChar w:fldCharType="separate"/>
                        </w:r>
                        <w:r>
                          <w:rPr>
                            <w:lang w:val="zh-CN"/>
                          </w:rPr>
                          <w:t>120</w:t>
                        </w:r>
                        <w:r>
                          <w:fldChar w:fldCharType="end"/>
                        </w:r>
                      </w:p>
                    </w:sdtContent>
                  </w:sdt>
                  <w:p w14:paraId="4CF591A1"/>
                </w:txbxContent>
              </v:textbox>
            </v:shape>
          </w:pict>
        </mc:Fallback>
      </mc:AlternateContent>
    </w:r>
  </w:p>
  <w:p w14:paraId="4A61A144">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CC36B">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57DA">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74B2">
    <w:pPr>
      <w:pStyle w:val="1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48B6">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75A35"/>
    <w:multiLevelType w:val="singleLevel"/>
    <w:tmpl w:val="9DB75A35"/>
    <w:lvl w:ilvl="0" w:tentative="0">
      <w:start w:val="2"/>
      <w:numFmt w:val="decimal"/>
      <w:suff w:val="nothing"/>
      <w:lvlText w:val="（%1）"/>
      <w:lvlJc w:val="left"/>
    </w:lvl>
  </w:abstractNum>
  <w:abstractNum w:abstractNumId="1">
    <w:nsid w:val="C8F49FC2"/>
    <w:multiLevelType w:val="singleLevel"/>
    <w:tmpl w:val="C8F49FC2"/>
    <w:lvl w:ilvl="0" w:tentative="0">
      <w:start w:val="1"/>
      <w:numFmt w:val="bullet"/>
      <w:pStyle w:val="7"/>
      <w:lvlText w:val=""/>
      <w:lvlJc w:val="left"/>
      <w:pPr>
        <w:tabs>
          <w:tab w:val="left" w:pos="780"/>
        </w:tabs>
        <w:ind w:left="780" w:hanging="360"/>
      </w:pPr>
      <w:rPr>
        <w:rFonts w:hint="default" w:ascii="Wingdings" w:hAnsi="Wingdings"/>
      </w:rPr>
    </w:lvl>
  </w:abstractNum>
  <w:abstractNum w:abstractNumId="2">
    <w:nsid w:val="00000015"/>
    <w:multiLevelType w:val="singleLevel"/>
    <w:tmpl w:val="00000015"/>
    <w:lvl w:ilvl="0" w:tentative="0">
      <w:start w:val="1"/>
      <w:numFmt w:val="decimal"/>
      <w:suff w:val="nothing"/>
      <w:lvlText w:val="%1、"/>
      <w:lvlJc w:val="left"/>
    </w:lvl>
  </w:abstractNum>
  <w:abstractNum w:abstractNumId="3">
    <w:nsid w:val="16253587"/>
    <w:multiLevelType w:val="multilevel"/>
    <w:tmpl w:val="1625358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3"/>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969DE"/>
    <w:rsid w:val="00A3470B"/>
    <w:rsid w:val="00FE4037"/>
    <w:rsid w:val="021F4265"/>
    <w:rsid w:val="02217FDE"/>
    <w:rsid w:val="02A36C44"/>
    <w:rsid w:val="035937A7"/>
    <w:rsid w:val="03A405F3"/>
    <w:rsid w:val="03A762C0"/>
    <w:rsid w:val="03AA3F74"/>
    <w:rsid w:val="03C77D92"/>
    <w:rsid w:val="03D80B70"/>
    <w:rsid w:val="03EF7C67"/>
    <w:rsid w:val="04385C07"/>
    <w:rsid w:val="04854128"/>
    <w:rsid w:val="04BD38C2"/>
    <w:rsid w:val="053B310D"/>
    <w:rsid w:val="054D10EA"/>
    <w:rsid w:val="05536706"/>
    <w:rsid w:val="056106F1"/>
    <w:rsid w:val="0612348B"/>
    <w:rsid w:val="06141C07"/>
    <w:rsid w:val="06771F57"/>
    <w:rsid w:val="072518AE"/>
    <w:rsid w:val="07852DBD"/>
    <w:rsid w:val="07992EFD"/>
    <w:rsid w:val="07BB67DE"/>
    <w:rsid w:val="07DA53E2"/>
    <w:rsid w:val="08591B53"/>
    <w:rsid w:val="08F5187C"/>
    <w:rsid w:val="08FA3336"/>
    <w:rsid w:val="090E293E"/>
    <w:rsid w:val="09ED2E9B"/>
    <w:rsid w:val="0A421CE8"/>
    <w:rsid w:val="0A690774"/>
    <w:rsid w:val="0A8B2982"/>
    <w:rsid w:val="0D077C0E"/>
    <w:rsid w:val="0D215336"/>
    <w:rsid w:val="0F543075"/>
    <w:rsid w:val="0FB57FB7"/>
    <w:rsid w:val="10463305"/>
    <w:rsid w:val="10D61A47"/>
    <w:rsid w:val="119500A0"/>
    <w:rsid w:val="11A64417"/>
    <w:rsid w:val="1203481A"/>
    <w:rsid w:val="121216F1"/>
    <w:rsid w:val="12AF619C"/>
    <w:rsid w:val="12C64289"/>
    <w:rsid w:val="13117BFA"/>
    <w:rsid w:val="137D2B9A"/>
    <w:rsid w:val="13A26AA4"/>
    <w:rsid w:val="140E413A"/>
    <w:rsid w:val="145A2EDB"/>
    <w:rsid w:val="15735DD9"/>
    <w:rsid w:val="158226E9"/>
    <w:rsid w:val="164200CB"/>
    <w:rsid w:val="1686445B"/>
    <w:rsid w:val="16B34B25"/>
    <w:rsid w:val="16F413C5"/>
    <w:rsid w:val="17544DF1"/>
    <w:rsid w:val="17942BA8"/>
    <w:rsid w:val="189E3CDE"/>
    <w:rsid w:val="19706CFD"/>
    <w:rsid w:val="1A5D54D3"/>
    <w:rsid w:val="1A6D1019"/>
    <w:rsid w:val="1AC8028B"/>
    <w:rsid w:val="1BE27BF8"/>
    <w:rsid w:val="1C3556E1"/>
    <w:rsid w:val="1C427076"/>
    <w:rsid w:val="1D047E88"/>
    <w:rsid w:val="1E262080"/>
    <w:rsid w:val="1F1A7E37"/>
    <w:rsid w:val="1F615A66"/>
    <w:rsid w:val="1F9D6372"/>
    <w:rsid w:val="1FFA6F76"/>
    <w:rsid w:val="201D3F72"/>
    <w:rsid w:val="20692753"/>
    <w:rsid w:val="2093370A"/>
    <w:rsid w:val="210A7A37"/>
    <w:rsid w:val="211A411E"/>
    <w:rsid w:val="21425423"/>
    <w:rsid w:val="21583C6E"/>
    <w:rsid w:val="215C4736"/>
    <w:rsid w:val="21D06ED2"/>
    <w:rsid w:val="224550A2"/>
    <w:rsid w:val="226A4634"/>
    <w:rsid w:val="22932B7C"/>
    <w:rsid w:val="230C2BE0"/>
    <w:rsid w:val="231B417D"/>
    <w:rsid w:val="23353491"/>
    <w:rsid w:val="236E69A3"/>
    <w:rsid w:val="23CE11F0"/>
    <w:rsid w:val="24213A15"/>
    <w:rsid w:val="243472A5"/>
    <w:rsid w:val="24521E21"/>
    <w:rsid w:val="24661428"/>
    <w:rsid w:val="246758CC"/>
    <w:rsid w:val="24D64800"/>
    <w:rsid w:val="250F1B30"/>
    <w:rsid w:val="260B3316"/>
    <w:rsid w:val="26154EB4"/>
    <w:rsid w:val="26415830"/>
    <w:rsid w:val="265F0479"/>
    <w:rsid w:val="26864004"/>
    <w:rsid w:val="26865DB2"/>
    <w:rsid w:val="26AF70B6"/>
    <w:rsid w:val="26DD1E76"/>
    <w:rsid w:val="275E288B"/>
    <w:rsid w:val="27D854D6"/>
    <w:rsid w:val="28A276F6"/>
    <w:rsid w:val="2927387C"/>
    <w:rsid w:val="292C2C40"/>
    <w:rsid w:val="29AB625B"/>
    <w:rsid w:val="2A0616E3"/>
    <w:rsid w:val="2A97154D"/>
    <w:rsid w:val="2ACD2201"/>
    <w:rsid w:val="2BB94533"/>
    <w:rsid w:val="2C2E0A7D"/>
    <w:rsid w:val="2C715EFC"/>
    <w:rsid w:val="2CA62D0A"/>
    <w:rsid w:val="2D7B0A4D"/>
    <w:rsid w:val="2DB33930"/>
    <w:rsid w:val="2E3305CD"/>
    <w:rsid w:val="2F340AA1"/>
    <w:rsid w:val="2F927575"/>
    <w:rsid w:val="2FEA115F"/>
    <w:rsid w:val="309D61D2"/>
    <w:rsid w:val="3236068C"/>
    <w:rsid w:val="32AD727A"/>
    <w:rsid w:val="32BB6DE3"/>
    <w:rsid w:val="33DA1D94"/>
    <w:rsid w:val="34B32468"/>
    <w:rsid w:val="34D67F04"/>
    <w:rsid w:val="355157DD"/>
    <w:rsid w:val="355754E9"/>
    <w:rsid w:val="355D0DF6"/>
    <w:rsid w:val="356B157C"/>
    <w:rsid w:val="36EF2929"/>
    <w:rsid w:val="37506ECC"/>
    <w:rsid w:val="37B17B41"/>
    <w:rsid w:val="37D90437"/>
    <w:rsid w:val="37EB016A"/>
    <w:rsid w:val="38563836"/>
    <w:rsid w:val="38671464"/>
    <w:rsid w:val="38A8605B"/>
    <w:rsid w:val="38C95885"/>
    <w:rsid w:val="39CB2002"/>
    <w:rsid w:val="3ACF78CF"/>
    <w:rsid w:val="3B2C087E"/>
    <w:rsid w:val="3BA64AD4"/>
    <w:rsid w:val="3C143659"/>
    <w:rsid w:val="3C5502A8"/>
    <w:rsid w:val="3C81109D"/>
    <w:rsid w:val="3CCE41F4"/>
    <w:rsid w:val="3D255522"/>
    <w:rsid w:val="3ECA604A"/>
    <w:rsid w:val="3F017D45"/>
    <w:rsid w:val="3F850EA5"/>
    <w:rsid w:val="404B17A6"/>
    <w:rsid w:val="41233179"/>
    <w:rsid w:val="423C15B9"/>
    <w:rsid w:val="42F87D39"/>
    <w:rsid w:val="432B46F7"/>
    <w:rsid w:val="43364990"/>
    <w:rsid w:val="44B52F47"/>
    <w:rsid w:val="44B57B36"/>
    <w:rsid w:val="44F468B0"/>
    <w:rsid w:val="44F70F7B"/>
    <w:rsid w:val="469965DF"/>
    <w:rsid w:val="46BD7176"/>
    <w:rsid w:val="474A0503"/>
    <w:rsid w:val="47901A1C"/>
    <w:rsid w:val="47D734D9"/>
    <w:rsid w:val="47D76015"/>
    <w:rsid w:val="4840005F"/>
    <w:rsid w:val="48733F90"/>
    <w:rsid w:val="48912668"/>
    <w:rsid w:val="48A04659"/>
    <w:rsid w:val="48B14714"/>
    <w:rsid w:val="4916491B"/>
    <w:rsid w:val="49F7299F"/>
    <w:rsid w:val="4A311516"/>
    <w:rsid w:val="4A3E237C"/>
    <w:rsid w:val="4BD875F1"/>
    <w:rsid w:val="4E5B174E"/>
    <w:rsid w:val="4EE447E9"/>
    <w:rsid w:val="4EFC5790"/>
    <w:rsid w:val="4FEE214E"/>
    <w:rsid w:val="50B53513"/>
    <w:rsid w:val="511F6336"/>
    <w:rsid w:val="51A67184"/>
    <w:rsid w:val="51AB6549"/>
    <w:rsid w:val="537B38A5"/>
    <w:rsid w:val="539A4AC7"/>
    <w:rsid w:val="53EE2BBA"/>
    <w:rsid w:val="5463135D"/>
    <w:rsid w:val="557578F0"/>
    <w:rsid w:val="55C23E61"/>
    <w:rsid w:val="55EE10FA"/>
    <w:rsid w:val="56020701"/>
    <w:rsid w:val="56B52BD2"/>
    <w:rsid w:val="56D50132"/>
    <w:rsid w:val="56F97D56"/>
    <w:rsid w:val="57904B13"/>
    <w:rsid w:val="57B343A9"/>
    <w:rsid w:val="581969DE"/>
    <w:rsid w:val="59232E69"/>
    <w:rsid w:val="595079D6"/>
    <w:rsid w:val="599E4D33"/>
    <w:rsid w:val="59BD32BD"/>
    <w:rsid w:val="59CA59DA"/>
    <w:rsid w:val="5AD563E4"/>
    <w:rsid w:val="5B1F3B03"/>
    <w:rsid w:val="5BC85F49"/>
    <w:rsid w:val="5C4C0928"/>
    <w:rsid w:val="5C792320"/>
    <w:rsid w:val="5C837B2E"/>
    <w:rsid w:val="5C895FA4"/>
    <w:rsid w:val="5D116CD6"/>
    <w:rsid w:val="5D331AE8"/>
    <w:rsid w:val="5D535CE6"/>
    <w:rsid w:val="5D977CB3"/>
    <w:rsid w:val="5E710B1A"/>
    <w:rsid w:val="5EB84053"/>
    <w:rsid w:val="5EF37781"/>
    <w:rsid w:val="5F367055"/>
    <w:rsid w:val="60746D32"/>
    <w:rsid w:val="60DB671F"/>
    <w:rsid w:val="60FA6BA5"/>
    <w:rsid w:val="61A46B11"/>
    <w:rsid w:val="62D6719E"/>
    <w:rsid w:val="63086F41"/>
    <w:rsid w:val="641B3D12"/>
    <w:rsid w:val="643A504C"/>
    <w:rsid w:val="645A795A"/>
    <w:rsid w:val="64656A2B"/>
    <w:rsid w:val="64AB13D7"/>
    <w:rsid w:val="65083052"/>
    <w:rsid w:val="66011168"/>
    <w:rsid w:val="66A82BFF"/>
    <w:rsid w:val="675E528D"/>
    <w:rsid w:val="67784CC7"/>
    <w:rsid w:val="67917B37"/>
    <w:rsid w:val="6858570E"/>
    <w:rsid w:val="68993147"/>
    <w:rsid w:val="68AB2E7A"/>
    <w:rsid w:val="697274F4"/>
    <w:rsid w:val="6A5C442C"/>
    <w:rsid w:val="6B256F14"/>
    <w:rsid w:val="6B811C71"/>
    <w:rsid w:val="6B8A6D77"/>
    <w:rsid w:val="6C921598"/>
    <w:rsid w:val="6CCE38E0"/>
    <w:rsid w:val="6D325918"/>
    <w:rsid w:val="6DD64DC0"/>
    <w:rsid w:val="6E313007"/>
    <w:rsid w:val="6E49116B"/>
    <w:rsid w:val="6E712470"/>
    <w:rsid w:val="6EAB3BD4"/>
    <w:rsid w:val="6EF8049C"/>
    <w:rsid w:val="702C526E"/>
    <w:rsid w:val="70D867D7"/>
    <w:rsid w:val="70E64CC7"/>
    <w:rsid w:val="71704C61"/>
    <w:rsid w:val="71C32200"/>
    <w:rsid w:val="71C823A7"/>
    <w:rsid w:val="723D4CFB"/>
    <w:rsid w:val="726133C3"/>
    <w:rsid w:val="72753F36"/>
    <w:rsid w:val="727918F3"/>
    <w:rsid w:val="729C3F60"/>
    <w:rsid w:val="72BA15AC"/>
    <w:rsid w:val="72BB3CBA"/>
    <w:rsid w:val="736153DB"/>
    <w:rsid w:val="73A86934"/>
    <w:rsid w:val="73BE7F06"/>
    <w:rsid w:val="749F1AE5"/>
    <w:rsid w:val="74E03DD3"/>
    <w:rsid w:val="75660B34"/>
    <w:rsid w:val="75C910E8"/>
    <w:rsid w:val="75CA3AE8"/>
    <w:rsid w:val="762304F4"/>
    <w:rsid w:val="76AE4262"/>
    <w:rsid w:val="76BB072D"/>
    <w:rsid w:val="77642B72"/>
    <w:rsid w:val="778D031B"/>
    <w:rsid w:val="77AE203F"/>
    <w:rsid w:val="77FE4D75"/>
    <w:rsid w:val="79393B8B"/>
    <w:rsid w:val="794A4C4C"/>
    <w:rsid w:val="79654980"/>
    <w:rsid w:val="79CB6ED9"/>
    <w:rsid w:val="79E24918"/>
    <w:rsid w:val="7AAB11D5"/>
    <w:rsid w:val="7B6E654A"/>
    <w:rsid w:val="7BB73BB8"/>
    <w:rsid w:val="7C2D3E7B"/>
    <w:rsid w:val="7C3945CD"/>
    <w:rsid w:val="7D8F646F"/>
    <w:rsid w:val="7DC31328"/>
    <w:rsid w:val="7DF804B8"/>
    <w:rsid w:val="7ED700CE"/>
    <w:rsid w:val="7F671451"/>
  </w:rsids>
  <m:mathPr>
    <m:mathFont m:val="Times New Roman"/>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2"/>
    <w:basedOn w:val="1"/>
    <w:next w:val="1"/>
    <w:qFormat/>
    <w:uiPriority w:val="0"/>
    <w:pPr>
      <w:keepNext/>
      <w:keepLines/>
      <w:widowControl w:val="0"/>
      <w:suppressLineNumbers w:val="0"/>
      <w:spacing w:before="0" w:beforeLines="0" w:beforeAutospacing="0" w:after="0" w:afterLines="0" w:afterAutospacing="0" w:line="480" w:lineRule="exact"/>
      <w:ind w:firstLine="720" w:firstLineChars="200"/>
      <w:jc w:val="left"/>
      <w:outlineLvl w:val="1"/>
    </w:pPr>
    <w:rPr>
      <w:rFonts w:hint="default" w:ascii="Times New Roman" w:hAnsi="Times New Roman" w:eastAsia="宋体" w:cs="Times New Roman"/>
      <w:b/>
      <w:bCs/>
      <w:kern w:val="2"/>
      <w:sz w:val="24"/>
      <w:szCs w:val="24"/>
      <w:lang w:val="en-US" w:eastAsia="zh-CN" w:bidi="ar"/>
    </w:rPr>
  </w:style>
  <w:style w:type="paragraph" w:styleId="3">
    <w:name w:val="heading 4"/>
    <w:basedOn w:val="1"/>
    <w:next w:val="1"/>
    <w:qFormat/>
    <w:uiPriority w:val="0"/>
    <w:pPr>
      <w:keepNext/>
      <w:keepLines/>
      <w:numPr>
        <w:ilvl w:val="3"/>
        <w:numId w:val="1"/>
      </w:numPr>
      <w:spacing w:before="280" w:after="290" w:line="376" w:lineRule="auto"/>
      <w:outlineLvl w:val="3"/>
    </w:pPr>
    <w:rPr>
      <w:rFonts w:ascii="Arial" w:hAnsi="Arial" w:eastAsia="黑体"/>
      <w:b/>
      <w:kern w:val="0"/>
      <w:sz w:val="28"/>
      <w:szCs w:val="20"/>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4">
    <w:name w:val="E-mail Signature"/>
    <w:basedOn w:val="1"/>
    <w:next w:val="5"/>
    <w:qFormat/>
    <w:uiPriority w:val="99"/>
    <w:pPr>
      <w:spacing w:line="460" w:lineRule="exact"/>
      <w:ind w:firstLine="200"/>
    </w:pPr>
  </w:style>
  <w:style w:type="paragraph" w:customStyle="1" w:styleId="5">
    <w:name w:val="文章"/>
    <w:next w:val="6"/>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6">
    <w:name w:val="List"/>
    <w:basedOn w:val="1"/>
    <w:next w:val="7"/>
    <w:qFormat/>
    <w:uiPriority w:val="0"/>
    <w:pPr>
      <w:widowControl/>
      <w:ind w:left="200" w:hanging="200" w:hangingChars="200"/>
      <w:jc w:val="left"/>
    </w:pPr>
    <w:rPr>
      <w:rFonts w:ascii="宋体" w:hAnsi="宋体" w:cs="宋体"/>
      <w:kern w:val="0"/>
      <w:sz w:val="24"/>
    </w:rPr>
  </w:style>
  <w:style w:type="paragraph" w:styleId="7">
    <w:name w:val="List Bullet 2"/>
    <w:basedOn w:val="1"/>
    <w:next w:val="8"/>
    <w:qFormat/>
    <w:uiPriority w:val="0"/>
    <w:pPr>
      <w:numPr>
        <w:ilvl w:val="0"/>
        <w:numId w:val="2"/>
      </w:numPr>
    </w:pPr>
  </w:style>
  <w:style w:type="paragraph" w:customStyle="1" w:styleId="8">
    <w:name w:val="xl70"/>
    <w:basedOn w:val="1"/>
    <w:next w:val="9"/>
    <w:qFormat/>
    <w:uiPriority w:val="0"/>
    <w:pPr>
      <w:widowControl/>
      <w:spacing w:before="280" w:after="280"/>
    </w:pPr>
    <w:rPr>
      <w:rFonts w:ascii="宋体"/>
    </w:rPr>
  </w:style>
  <w:style w:type="paragraph" w:customStyle="1" w:styleId="9">
    <w:name w:val="正文缩进1"/>
    <w:basedOn w:val="1"/>
    <w:next w:val="10"/>
    <w:qFormat/>
    <w:uiPriority w:val="0"/>
    <w:pPr>
      <w:ind w:firstLine="420"/>
    </w:pPr>
    <w:rPr>
      <w:rFonts w:ascii="宋体"/>
    </w:rPr>
  </w:style>
  <w:style w:type="paragraph" w:customStyle="1" w:styleId="10">
    <w:name w:val="td1"/>
    <w:basedOn w:val="1"/>
    <w:next w:val="1"/>
    <w:qFormat/>
    <w:uiPriority w:val="0"/>
    <w:pPr>
      <w:widowControl/>
      <w:spacing w:before="280" w:after="280" w:line="300" w:lineRule="atLeast"/>
      <w:ind w:firstLine="200"/>
    </w:pPr>
    <w:rPr>
      <w:color w:val="000000"/>
      <w:sz w:val="18"/>
    </w:rPr>
  </w:style>
  <w:style w:type="paragraph" w:styleId="11">
    <w:name w:val="Normal Indent"/>
    <w:basedOn w:val="1"/>
    <w:next w:val="3"/>
    <w:qFormat/>
    <w:uiPriority w:val="0"/>
    <w:pPr>
      <w:adjustRightInd w:val="0"/>
      <w:spacing w:line="312" w:lineRule="auto"/>
      <w:ind w:firstLine="539"/>
      <w:textAlignment w:val="baseline"/>
    </w:pPr>
    <w:rPr>
      <w:rFonts w:eastAsia="仿宋_GB2312"/>
      <w:kern w:val="2"/>
      <w:sz w:val="28"/>
      <w:lang w:val="en-US" w:eastAsia="zh-CN" w:bidi="ar-SA"/>
    </w:rPr>
  </w:style>
  <w:style w:type="paragraph" w:styleId="12">
    <w:name w:val="annotation text"/>
    <w:basedOn w:val="1"/>
    <w:qFormat/>
    <w:uiPriority w:val="0"/>
    <w:pPr>
      <w:jc w:val="left"/>
    </w:pPr>
  </w:style>
  <w:style w:type="paragraph" w:styleId="13">
    <w:name w:val="Body Text"/>
    <w:basedOn w:val="1"/>
    <w:next w:val="14"/>
    <w:qFormat/>
    <w:uiPriority w:val="0"/>
    <w:pPr>
      <w:widowControl/>
      <w:snapToGrid w:val="0"/>
      <w:spacing w:before="60" w:after="160" w:line="259" w:lineRule="auto"/>
      <w:ind w:right="113"/>
    </w:pPr>
    <w:rPr>
      <w:kern w:val="0"/>
      <w:sz w:val="18"/>
      <w:szCs w:val="20"/>
    </w:rPr>
  </w:style>
  <w:style w:type="paragraph" w:customStyle="1" w:styleId="1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5">
    <w:name w:val="Body Text Indent"/>
    <w:basedOn w:val="1"/>
    <w:next w:val="16"/>
    <w:semiHidden/>
    <w:unhideWhenUsed/>
    <w:qFormat/>
    <w:uiPriority w:val="99"/>
    <w:pPr>
      <w:spacing w:after="120"/>
      <w:ind w:left="420" w:leftChars="200"/>
    </w:pPr>
  </w:style>
  <w:style w:type="paragraph" w:styleId="16">
    <w:name w:val="header"/>
    <w:basedOn w:val="1"/>
    <w:next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index heading"/>
    <w:basedOn w:val="1"/>
    <w:next w:val="18"/>
    <w:unhideWhenUsed/>
    <w:qFormat/>
    <w:uiPriority w:val="99"/>
    <w:pPr>
      <w:tabs>
        <w:tab w:val="left" w:pos="540"/>
        <w:tab w:val="left" w:pos="851"/>
        <w:tab w:val="left" w:pos="994"/>
        <w:tab w:val="left" w:pos="1260"/>
        <w:tab w:val="left" w:pos="3108"/>
        <w:tab w:val="left" w:pos="3150"/>
      </w:tabs>
      <w:spacing w:line="240" w:lineRule="auto"/>
    </w:pPr>
    <w:rPr>
      <w:rFonts w:ascii="宋体" w:cs="宋体"/>
      <w:bCs/>
    </w:rPr>
  </w:style>
  <w:style w:type="paragraph" w:styleId="18">
    <w:name w:val="index 1"/>
    <w:basedOn w:val="1"/>
    <w:next w:val="1"/>
    <w:unhideWhenUsed/>
    <w:qFormat/>
    <w:uiPriority w:val="99"/>
    <w:pPr>
      <w:ind w:firstLine="480" w:firstLineChars="200"/>
      <w:contextualSpacing/>
    </w:pPr>
    <w:rPr>
      <w:rFonts w:eastAsiaTheme="minorEastAsia"/>
    </w:rPr>
  </w:style>
  <w:style w:type="paragraph" w:styleId="19">
    <w:name w:val="Plain Text"/>
    <w:basedOn w:val="1"/>
    <w:next w:val="20"/>
    <w:qFormat/>
    <w:uiPriority w:val="0"/>
    <w:rPr>
      <w:rFonts w:ascii="宋体" w:hAnsi="Courier New"/>
      <w:szCs w:val="21"/>
    </w:rPr>
  </w:style>
  <w:style w:type="paragraph" w:customStyle="1" w:styleId="20">
    <w:name w:val="Default"/>
    <w:basedOn w:val="21"/>
    <w:next w:val="22"/>
    <w:qFormat/>
    <w:uiPriority w:val="0"/>
    <w:pPr>
      <w:autoSpaceDE w:val="0"/>
      <w:autoSpaceDN w:val="0"/>
      <w:adjustRightInd w:val="0"/>
    </w:pPr>
    <w:rPr>
      <w:rFonts w:ascii="宋体" w:cs="宋体"/>
      <w:sz w:val="24"/>
    </w:rPr>
  </w:style>
  <w:style w:type="paragraph" w:customStyle="1" w:styleId="21">
    <w:name w:val="纯文本1"/>
    <w:basedOn w:val="1"/>
    <w:autoRedefine/>
    <w:qFormat/>
    <w:uiPriority w:val="0"/>
    <w:pPr>
      <w:adjustRightInd w:val="0"/>
    </w:pPr>
    <w:rPr>
      <w:rFonts w:ascii="宋体" w:hAnsi="Courier New"/>
      <w:szCs w:val="20"/>
    </w:rPr>
  </w:style>
  <w:style w:type="paragraph" w:customStyle="1" w:styleId="22">
    <w:name w:val="样式35"/>
    <w:next w:val="23"/>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23">
    <w:name w:val="font6"/>
    <w:basedOn w:val="1"/>
    <w:next w:val="24"/>
    <w:autoRedefine/>
    <w:qFormat/>
    <w:uiPriority w:val="0"/>
    <w:pPr>
      <w:widowControl/>
      <w:spacing w:before="100" w:beforeAutospacing="1" w:after="100" w:afterAutospacing="1"/>
      <w:jc w:val="left"/>
    </w:pPr>
    <w:rPr>
      <w:rFonts w:ascii="宋体" w:hAnsi="宋体" w:cs="宋体"/>
      <w:kern w:val="0"/>
      <w:szCs w:val="28"/>
    </w:rPr>
  </w:style>
  <w:style w:type="paragraph" w:styleId="24">
    <w:name w:val="toc 2"/>
    <w:basedOn w:val="1"/>
    <w:next w:val="4"/>
    <w:semiHidden/>
    <w:qFormat/>
    <w:uiPriority w:val="0"/>
    <w:pPr>
      <w:spacing w:line="360" w:lineRule="auto"/>
      <w:ind w:left="105" w:leftChars="50" w:right="105" w:rightChars="50" w:firstLine="562" w:firstLineChars="200"/>
    </w:pPr>
    <w:rPr>
      <w:b/>
      <w:sz w:val="28"/>
    </w:rPr>
  </w:style>
  <w:style w:type="paragraph" w:styleId="25">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26">
    <w:name w:val="toc 1"/>
    <w:basedOn w:val="1"/>
    <w:next w:val="1"/>
    <w:qFormat/>
    <w:uiPriority w:val="0"/>
  </w:style>
  <w:style w:type="paragraph" w:styleId="27">
    <w:name w:val="Normal (Web)"/>
    <w:basedOn w:val="1"/>
    <w:qFormat/>
    <w:uiPriority w:val="0"/>
    <w:pPr>
      <w:widowControl/>
      <w:spacing w:before="100" w:beforeAutospacing="1" w:after="100" w:afterAutospacing="1"/>
      <w:jc w:val="left"/>
    </w:pPr>
    <w:rPr>
      <w:rFonts w:ascii="宋体" w:hAnsi="宋体"/>
      <w:kern w:val="0"/>
      <w:szCs w:val="20"/>
    </w:rPr>
  </w:style>
  <w:style w:type="paragraph" w:styleId="28">
    <w:name w:val="Body Text First Indent 2"/>
    <w:basedOn w:val="15"/>
    <w:next w:val="1"/>
    <w:unhideWhenUsed/>
    <w:qFormat/>
    <w:uiPriority w:val="0"/>
    <w:pPr>
      <w:spacing w:line="240" w:lineRule="auto"/>
      <w:ind w:firstLine="420"/>
    </w:pPr>
    <w:rPr>
      <w:kern w:val="0"/>
      <w:sz w:val="21"/>
      <w:szCs w:val="20"/>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annotation reference"/>
    <w:basedOn w:val="31"/>
    <w:qFormat/>
    <w:uiPriority w:val="99"/>
    <w:rPr>
      <w:sz w:val="21"/>
      <w:szCs w:val="21"/>
    </w:rPr>
  </w:style>
  <w:style w:type="paragraph" w:customStyle="1" w:styleId="34">
    <w:name w:val="报告正文"/>
    <w:basedOn w:val="1"/>
    <w:next w:val="1"/>
    <w:qFormat/>
    <w:uiPriority w:val="99"/>
    <w:pPr>
      <w:tabs>
        <w:tab w:val="left" w:pos="540"/>
        <w:tab w:val="left" w:pos="851"/>
        <w:tab w:val="left" w:pos="994"/>
        <w:tab w:val="left" w:pos="1260"/>
        <w:tab w:val="left" w:pos="3108"/>
        <w:tab w:val="left" w:pos="3150"/>
      </w:tabs>
      <w:ind w:firstLine="536"/>
    </w:pPr>
    <w:rPr>
      <w:snapToGrid w:val="0"/>
      <w:spacing w:val="14"/>
      <w:szCs w:val="20"/>
    </w:rPr>
  </w:style>
  <w:style w:type="paragraph" w:customStyle="1" w:styleId="3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6">
    <w:name w:val="表格内文字"/>
    <w:basedOn w:val="1"/>
    <w:qFormat/>
    <w:uiPriority w:val="0"/>
    <w:pPr>
      <w:ind w:firstLine="720" w:firstLineChars="200"/>
      <w:jc w:val="left"/>
    </w:pPr>
    <w:rPr>
      <w:rFonts w:ascii="Times New Roman" w:hAnsi="Times New Roman" w:eastAsia="宋体"/>
      <w:color w:val="000000"/>
      <w:szCs w:val="22"/>
    </w:rPr>
  </w:style>
  <w:style w:type="paragraph" w:customStyle="1" w:styleId="37">
    <w:name w:val="列出段落1"/>
    <w:basedOn w:val="1"/>
    <w:qFormat/>
    <w:uiPriority w:val="0"/>
    <w:pPr>
      <w:ind w:firstLine="420" w:firstLineChars="200"/>
    </w:pPr>
  </w:style>
  <w:style w:type="character" w:customStyle="1" w:styleId="38">
    <w:name w:val="font21"/>
    <w:basedOn w:val="31"/>
    <w:qFormat/>
    <w:uiPriority w:val="0"/>
    <w:rPr>
      <w:rFonts w:hint="default" w:ascii="Times New Roman" w:hAnsi="Times New Roman" w:cs="Times New Roman"/>
      <w:b/>
      <w:bCs/>
      <w:color w:val="000000"/>
      <w:sz w:val="21"/>
      <w:szCs w:val="21"/>
      <w:u w:val="none"/>
    </w:rPr>
  </w:style>
  <w:style w:type="character" w:customStyle="1" w:styleId="39">
    <w:name w:val="font11"/>
    <w:basedOn w:val="31"/>
    <w:qFormat/>
    <w:uiPriority w:val="0"/>
    <w:rPr>
      <w:rFonts w:hint="eastAsia" w:ascii="宋体" w:hAnsi="宋体" w:eastAsia="宋体" w:cs="宋体"/>
      <w:b/>
      <w:bCs/>
      <w:color w:val="000000"/>
      <w:sz w:val="21"/>
      <w:szCs w:val="21"/>
      <w:u w:val="none"/>
    </w:rPr>
  </w:style>
  <w:style w:type="paragraph" w:customStyle="1" w:styleId="40">
    <w:name w:val="表格文字"/>
    <w:basedOn w:val="11"/>
    <w:next w:val="13"/>
    <w:qFormat/>
    <w:uiPriority w:val="0"/>
    <w:pPr>
      <w:autoSpaceDE w:val="0"/>
      <w:autoSpaceDN w:val="0"/>
      <w:adjustRightInd w:val="0"/>
      <w:spacing w:line="240" w:lineRule="auto"/>
      <w:ind w:firstLine="0" w:firstLineChars="0"/>
      <w:jc w:val="center"/>
      <w:textAlignment w:val="bottom"/>
    </w:pPr>
    <w:rPr>
      <w:color w:val="000000"/>
      <w:sz w:val="21"/>
      <w:szCs w:val="21"/>
    </w:rPr>
  </w:style>
  <w:style w:type="paragraph" w:customStyle="1" w:styleId="41">
    <w:name w:val="li_正文"/>
    <w:basedOn w:val="1"/>
    <w:qFormat/>
    <w:uiPriority w:val="0"/>
    <w:pPr>
      <w:ind w:firstLine="1440" w:firstLineChars="200"/>
    </w:pPr>
    <w:rPr>
      <w:sz w:val="28"/>
      <w:szCs w:val="28"/>
    </w:rPr>
  </w:style>
  <w:style w:type="character" w:customStyle="1" w:styleId="42">
    <w:name w:val="15"/>
    <w:basedOn w:val="31"/>
    <w:qFormat/>
    <w:uiPriority w:val="0"/>
    <w:rPr>
      <w:rFonts w:hint="default" w:ascii="Times New Roman" w:hAnsi="Times New Roman" w:cs="Times New Roman"/>
    </w:rPr>
  </w:style>
  <w:style w:type="paragraph" w:customStyle="1" w:styleId="43">
    <w:name w:val="reader-word-layer"/>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44">
    <w:name w:val="Table Paragraph"/>
    <w:basedOn w:val="1"/>
    <w:qFormat/>
    <w:uiPriority w:val="0"/>
    <w:pPr>
      <w:ind w:firstLine="1440" w:firstLineChars="200"/>
    </w:pPr>
  </w:style>
  <w:style w:type="paragraph" w:customStyle="1" w:styleId="45">
    <w:name w:val="p0"/>
    <w:basedOn w:val="1"/>
    <w:qFormat/>
    <w:uiPriority w:val="0"/>
    <w:pPr>
      <w:widowControl/>
      <w:spacing w:before="100" w:beforeAutospacing="1" w:after="100" w:afterAutospacing="1"/>
      <w:jc w:val="left"/>
    </w:pPr>
    <w:rPr>
      <w:rFonts w:ascii="宋体" w:hAnsi="宋体" w:cs="宋体"/>
      <w:kern w:val="0"/>
    </w:rPr>
  </w:style>
  <w:style w:type="paragraph" w:customStyle="1" w:styleId="46">
    <w:name w:val="表格表头"/>
    <w:qFormat/>
    <w:uiPriority w:val="0"/>
    <w:pPr>
      <w:widowControl w:val="0"/>
      <w:tabs>
        <w:tab w:val="left" w:pos="540"/>
        <w:tab w:val="left" w:pos="851"/>
        <w:tab w:val="left" w:pos="994"/>
        <w:tab w:val="left" w:pos="1260"/>
        <w:tab w:val="left" w:pos="3108"/>
        <w:tab w:val="left" w:pos="3150"/>
      </w:tabs>
      <w:adjustRightInd/>
      <w:spacing w:line="360" w:lineRule="auto"/>
      <w:ind w:firstLine="0" w:firstLineChars="0"/>
      <w:jc w:val="center"/>
    </w:pPr>
    <w:rPr>
      <w:rFonts w:ascii="Times New Roman" w:hAnsi="Times New Roman" w:eastAsia="宋体" w:cs="Times New Roman"/>
      <w:b/>
      <w:color w:val="auto"/>
      <w:kern w:val="2"/>
      <w:sz w:val="24"/>
      <w:szCs w:val="20"/>
    </w:rPr>
  </w:style>
  <w:style w:type="paragraph" w:customStyle="1" w:styleId="47">
    <w:name w:val="报告表格"/>
    <w:basedOn w:val="1"/>
    <w:next w:val="1"/>
    <w:qFormat/>
    <w:uiPriority w:val="0"/>
    <w:pPr>
      <w:autoSpaceDE w:val="0"/>
      <w:autoSpaceDN w:val="0"/>
      <w:adjustRightInd w:val="0"/>
      <w:spacing w:line="318" w:lineRule="atLeast"/>
      <w:ind w:firstLine="0" w:firstLineChars="0"/>
      <w:jc w:val="center"/>
    </w:pPr>
    <w:rPr>
      <w:kern w:val="0"/>
      <w:sz w:val="21"/>
      <w:szCs w:val="20"/>
    </w:rPr>
  </w:style>
  <w:style w:type="paragraph" w:customStyle="1" w:styleId="48">
    <w:name w:val="表格文字1"/>
    <w:basedOn w:val="1"/>
    <w:qFormat/>
    <w:uiPriority w:val="0"/>
    <w:pPr>
      <w:adjustRightInd w:val="0"/>
      <w:snapToGrid w:val="0"/>
      <w:spacing w:before="120" w:line="300" w:lineRule="atLeast"/>
      <w:jc w:val="center"/>
    </w:pPr>
    <w:rPr>
      <w:rFonts w:ascii="宋体" w:hAnsi="宋体"/>
      <w:sz w:val="22"/>
      <w:szCs w:val="22"/>
    </w:rPr>
  </w:style>
  <w:style w:type="paragraph" w:customStyle="1" w:styleId="49">
    <w:name w:val="正文格式"/>
    <w:basedOn w:val="1"/>
    <w:autoRedefine/>
    <w:qFormat/>
    <w:uiPriority w:val="0"/>
    <w:pPr>
      <w:spacing w:line="360" w:lineRule="auto"/>
      <w:ind w:firstLine="480" w:firstLineChars="200"/>
    </w:pPr>
    <w:rPr>
      <w:rFonts w:hAnsi="宋体"/>
      <w:sz w:val="24"/>
      <w:szCs w:val="20"/>
    </w:rPr>
  </w:style>
  <w:style w:type="paragraph" w:customStyle="1" w:styleId="50">
    <w:name w:val="文本22"/>
    <w:basedOn w:val="1"/>
    <w:qFormat/>
    <w:uiPriority w:val="0"/>
    <w:pPr>
      <w:autoSpaceDE w:val="0"/>
      <w:autoSpaceDN w:val="0"/>
      <w:adjustRightInd w:val="0"/>
      <w:spacing w:line="360" w:lineRule="auto"/>
      <w:ind w:firstLine="480" w:firstLineChars="200"/>
    </w:pPr>
    <w:rPr>
      <w:sz w:val="24"/>
    </w:rPr>
  </w:style>
  <w:style w:type="paragraph" w:customStyle="1" w:styleId="51">
    <w:name w:val="表格"/>
    <w:basedOn w:val="1"/>
    <w:qFormat/>
    <w:uiPriority w:val="0"/>
    <w:pPr>
      <w:adjustRightInd w:val="0"/>
      <w:snapToGrid w:val="0"/>
      <w:spacing w:beforeLines="10" w:afterLines="10" w:line="259" w:lineRule="auto"/>
      <w:jc w:val="center"/>
    </w:pPr>
    <w:rPr>
      <w:rFonts w:ascii="宋体"/>
      <w:kern w:val="0"/>
      <w:sz w:val="20"/>
      <w:szCs w:val="21"/>
    </w:rPr>
  </w:style>
  <w:style w:type="character" w:customStyle="1" w:styleId="52">
    <w:name w:val="font71"/>
    <w:basedOn w:val="31"/>
    <w:qFormat/>
    <w:uiPriority w:val="0"/>
    <w:rPr>
      <w:rFonts w:hint="default" w:ascii="Times New Roman" w:hAnsi="Times New Roman" w:cs="Times New Roman"/>
      <w:color w:val="000000"/>
      <w:sz w:val="21"/>
      <w:szCs w:val="21"/>
      <w:u w:val="none"/>
      <w:vertAlign w:val="subscript"/>
    </w:rPr>
  </w:style>
  <w:style w:type="character" w:customStyle="1" w:styleId="53">
    <w:name w:val="font31"/>
    <w:basedOn w:val="31"/>
    <w:qFormat/>
    <w:uiPriority w:val="0"/>
    <w:rPr>
      <w:rFonts w:hint="eastAsia" w:ascii="宋体" w:hAnsi="宋体" w:eastAsia="宋体" w:cs="宋体"/>
      <w:color w:val="000000"/>
      <w:sz w:val="21"/>
      <w:szCs w:val="21"/>
      <w:u w:val="none"/>
    </w:rPr>
  </w:style>
  <w:style w:type="character" w:customStyle="1" w:styleId="54">
    <w:name w:val="font51"/>
    <w:basedOn w:val="31"/>
    <w:qFormat/>
    <w:uiPriority w:val="0"/>
    <w:rPr>
      <w:rFonts w:hint="default" w:ascii="Times New Roman" w:hAnsi="Times New Roman" w:cs="Times New Roman"/>
      <w:color w:val="000000"/>
      <w:sz w:val="21"/>
      <w:szCs w:val="21"/>
      <w:u w:val="none"/>
    </w:rPr>
  </w:style>
  <w:style w:type="character" w:customStyle="1" w:styleId="55">
    <w:name w:val="font81"/>
    <w:basedOn w:val="31"/>
    <w:qFormat/>
    <w:uiPriority w:val="0"/>
    <w:rPr>
      <w:rFonts w:hint="default" w:ascii="Times New Roman" w:hAnsi="Times New Roman" w:cs="Times New Roman"/>
      <w:b/>
      <w:bCs/>
      <w:color w:val="000000"/>
      <w:sz w:val="18"/>
      <w:szCs w:val="18"/>
      <w:u w:val="none"/>
      <w:vertAlign w:val="superscript"/>
    </w:rPr>
  </w:style>
  <w:style w:type="character" w:customStyle="1" w:styleId="56">
    <w:name w:val="font41"/>
    <w:basedOn w:val="31"/>
    <w:qFormat/>
    <w:uiPriority w:val="0"/>
    <w:rPr>
      <w:rFonts w:hint="default" w:ascii="Times New Roman" w:hAnsi="Times New Roman" w:cs="Times New Roman"/>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5d13b590-59d6-4158-979a-55b60d4fe41a</errorID>
      <errorWord>并</errorWord>
      <group>L1_Word</group>
      <groupName>字词问题</groupName>
      <ability>L2_Typo</ability>
      <abilityName>字词错误</abilityName>
      <candidateList>
        <item>并提</item>
      </candidateList>
      <explain/>
      <paraID>73DD0CBD</paraID>
      <start>36</start>
      <end>37</end>
      <status>unmodified</status>
      <modifiedWord/>
      <trackRevisions>false</trackRevisions>
    </reviewItem>
    <reviewItem>
      <errorID>ce726829-11fb-4220-ba37-a3b844952996</errorID>
      <errorWord>乡</errorWord>
      <group>L1_Word</group>
      <groupName>字词问题</groupName>
      <ability>L2_Typo</ability>
      <abilityName>字词错误</abilityName>
      <candidateList>
        <item>乡等</item>
      </candidateList>
      <explain/>
      <paraID>76A8BF15</paraID>
      <start>176</start>
      <end>177</end>
      <status>unmodified</status>
      <modifiedWord/>
      <trackRevisions>false</trackRevisions>
    </reviewItem>
    <reviewItem>
      <errorID>188d0829-20ed-4600-b643-43f871c46718</errorID>
      <errorWord>胶粘剂</errorWord>
      <group>L1_Word</group>
      <groupName>字词问题</groupName>
      <ability>L2_Typo</ability>
      <abilityName>字词错误</abilityName>
      <candidateList>
        <item>胶黏剂</item>
      </candidateList>
      <explain/>
      <paraID>24689A44</paraID>
      <start>349</start>
      <end>352</end>
      <status>ignored</status>
      <modifiedWord/>
      <trackRevisions>false</trackRevisions>
    </reviewItem>
    <reviewItem>
      <errorID>7bcd2bc4-c4ab-4bc6-8a0d-d9423af9ae0f</errorID>
      <errorWord>胶粘剂</errorWord>
      <group>L1_Word</group>
      <groupName>字词问题</groupName>
      <ability>L2_Typo</ability>
      <abilityName>字词错误</abilityName>
      <candidateList>
        <item>胶黏剂</item>
      </candidateList>
      <explain/>
      <paraID> 9B498C8</paraID>
      <start>89</start>
      <end>92</end>
      <status>ignored</status>
      <modifiedWord/>
      <trackRevisions>false</trackRevisions>
    </reviewItem>
    <reviewItem>
      <errorID>6fc5c3af-07ac-469c-a2d4-397eff248c61</errorID>
      <errorWord>置</errorWord>
      <group>L1_Word</group>
      <groupName>字词问题</groupName>
      <ability>L2_Typo</ability>
      <abilityName>字词错误</abilityName>
      <candidateList>
        <item>置在</item>
      </candidateList>
      <explain/>
      <paraID>5A3289DC</paraID>
      <start>192</start>
      <end>193</end>
      <status>unmodified</status>
      <modifiedWord/>
      <trackRevisions>false</trackRevisions>
    </reviewItem>
    <reviewItem>
      <errorID>08f1e083-37af-4751-be5f-4ec860003387</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34C56CFC</paraID>
      <start>3</start>
      <end>15</end>
      <status>unmodified</status>
      <modifiedWord/>
      <trackRevisions>false</trackRevisions>
    </reviewItem>
    <reviewItem>
      <errorID>fb5542e8-a9b3-4fc1-afc9-ff69c5966229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2EFD8CCA</paraID>
      <start>134</start>
      <end>135</end>
      <status>ignored</status>
      <modifiedWord/>
      <trackRevisions>false</trackRevisions>
    </reviewItem>
    <reviewItem>
      <errorID>36a7bb73-6c23-4efe-aa17-1b6b23410fb3</errorID>
      <errorWord>利用了</errorWord>
      <group>L1_Word</group>
      <groupName>字词问题</groupName>
      <ability>L2_Typo</ability>
      <abilityName>字词错误</abilityName>
      <candidateList>
        <item>利用</item>
      </candidateList>
      <explain/>
      <paraID>75F75C22</paraID>
      <start>92</start>
      <end>95</end>
      <status>ignored</status>
      <modifiedWord/>
      <trackRevisions>false</trackRevisions>
    </reviewItem>
    <reviewItem>
      <errorID>f8d6ae96-74b7-4065-83ba-0b6d7767abfb</errorID>
      <errorWord>蒸气</errorWord>
      <group>L1_Word</group>
      <groupName>字词问题</groupName>
      <ability>L2_Typo</ability>
      <abilityName>字词错误</abilityName>
      <candidateList>
        <item>蒸汽</item>
      </candidateList>
      <explain/>
      <paraID> AF66476</paraID>
      <start>112</start>
      <end>114</end>
      <status>unmodified</status>
      <modifiedWord/>
      <trackRevisions>false</trackRevisions>
    </reviewItem>
    <reviewItem>
      <errorID>1e2ef1ab-bca0-4d9b-a779-28ccad4c3b15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211C21DA</paraID>
      <start>6</start>
      <end>7</end>
      <status>ignored</status>
      <modifiedWord/>
      <trackRevisions>false</trackRevisions>
    </reviewItem>
    <reviewItem>
      <errorID>6a364acd-f32a-4e5e-a3be-78da571af5dc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5255937B</paraID>
      <start>6</start>
      <end>7</end>
      <status>ignored</status>
      <modifiedWord/>
      <trackRevisions>false</trackRevisions>
    </reviewItem>
    <reviewItem>
      <errorID>9c67736c-93c4-40a8-8534-74d90f4d8bda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7C26B9D8</paraID>
      <start>6</start>
      <end>7</end>
      <status>ignored</status>
      <modifiedWord/>
      <trackRevisions>false</trackRevisions>
    </reviewItem>
    <reviewItem>
      <errorID>e01a4c91-83b9-461d-bbf0-1ffbe0983687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7FF9EE0D</paraID>
      <start>6</start>
      <end>7</end>
      <status>ignored</status>
      <modifiedWord/>
      <trackRevisions>false</trackRevisions>
    </reviewItem>
    <reviewItem>
      <errorID>2779a193-66fe-47ce-939b-f5c360bbd86a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3A7E1031</paraID>
      <start>6</start>
      <end>7</end>
      <status>ignored</status>
      <modifiedWord/>
      <trackRevisions>false</trackRevisions>
    </reviewItem>
    <reviewItem>
      <errorID>37b42c7e-751d-4f14-8894-830c6ed52491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A65C1CF</paraID>
      <start>6</start>
      <end>7</end>
      <status>unmodified</status>
      <modifiedWord/>
      <trackRevisions>false</trackRevisions>
    </reviewItem>
    <reviewItem>
      <errorID>842aca9c-8957-4b22-88fe-715743ad5c0c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72A8BBC1</paraID>
      <start>6</start>
      <end>7</end>
      <status>unmodified</status>
      <modifiedWord/>
      <trackRevisions>false</trackRevisions>
    </reviewItem>
    <reviewItem>
      <errorID>d12d40f8-f3d5-4cd5-82ec-3f733ca0394e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2E257B5E</paraID>
      <start>6</start>
      <end>7</end>
      <status>unmodified</status>
      <modifiedWord/>
      <trackRevisions>false</trackRevisions>
    </reviewItem>
    <reviewItem>
      <errorID>d02b8737-4546-431b-98c5-38ca1a2f90e0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20BE374A</paraID>
      <start>6</start>
      <end>7</end>
      <status>unmodified</status>
      <modifiedWord/>
      <trackRevisions>false</trackRevisions>
    </reviewItem>
    <reviewItem>
      <errorID>035bdbda-745f-44b2-bb08-7c504a28ea50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6D6125F</paraID>
      <start>6</start>
      <end>7</end>
      <status>unmodified</status>
      <modifiedWord/>
      <trackRevisions>false</trackRevisions>
    </reviewItem>
    <reviewItem>
      <errorID>5f5613d1-e7d8-4ffd-af15-70bad08163ee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3C7B595B</paraID>
      <start>6</start>
      <end>7</end>
      <status>unmodified</status>
      <modifiedWord/>
      <trackRevisions>false</trackRevisions>
    </reviewItem>
    <reviewItem>
      <errorID>d52929fc-2e89-4889-98c4-fd4b99a6ea21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7A251ECE</paraID>
      <start>6</start>
      <end>7</end>
      <status>unmodified</status>
      <modifiedWord/>
      <trackRevisions>false</trackRevisions>
    </reviewItem>
    <reviewItem>
      <errorID>e7c8f17c-b07e-4cb1-9c8c-356b94c417dc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70732B01</paraID>
      <start>6</start>
      <end>7</end>
      <status>unmodified</status>
      <modifiedWord/>
      <trackRevisions>false</trackRevisions>
    </reviewItem>
    <reviewItem>
      <errorID>8a158290-9851-4dbf-b50a-9a5c936cf727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3B00773D</paraID>
      <start>6</start>
      <end>7</end>
      <status>unmodified</status>
      <modifiedWord/>
      <trackRevisions>false</trackRevisions>
    </reviewItem>
    <reviewItem>
      <errorID>ef855789-4cf8-4999-928a-7c156d3cc915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74DB5873</paraID>
      <start>6</start>
      <end>7</end>
      <status>unmodified</status>
      <modifiedWord/>
      <trackRevisions>false</trackRevisions>
    </reviewItem>
    <reviewItem>
      <errorID>9ad1c1e9-3ce2-4bfc-af30-485f9942959b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741E7198</paraID>
      <start>6</start>
      <end>7</end>
      <status>unmodified</status>
      <modifiedWord/>
      <trackRevisions>false</trackRevisions>
    </reviewItem>
    <reviewItem>
      <errorID>5ac4f1d7-e415-4994-b9e3-74d8b086071e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608BF631</paraID>
      <start>6</start>
      <end>7</end>
      <status>unmodified</status>
      <modifiedWord/>
      <trackRevisions>false</trackRevisions>
    </reviewItem>
    <reviewItem>
      <errorID>ac44d005-7623-4fe4-b3b2-0c6dd13b83d3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5F0D757F</paraID>
      <start>6</start>
      <end>7</end>
      <status>unmodified</status>
      <modifiedWord/>
      <trackRevisions>false</trackRevisions>
    </reviewItem>
    <reviewItem>
      <errorID>84c70691-8700-4b17-adcc-1c290d19adb8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7E3D6F7</paraID>
      <start>6</start>
      <end>7</end>
      <status>unmodified</status>
      <modifiedWord/>
      <trackRevisions>false</trackRevisions>
    </reviewItem>
    <reviewItem>
      <errorID>18231793-f2e5-4d59-8704-9b81d8c5892b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31EB00</paraID>
      <start>6</start>
      <end>7</end>
      <status>unmodified</status>
      <modifiedWord/>
      <trackRevisions>false</trackRevisions>
    </reviewItem>
    <reviewItem>
      <errorID>9d43df93-bcc4-455d-a113-f2fa72afb3b1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66433A87</paraID>
      <start>6</start>
      <end>7</end>
      <status>unmodified</status>
      <modifiedWord/>
      <trackRevisions>false</trackRevisions>
    </reviewItem>
    <reviewItem>
      <errorID>249465cf-6e9c-4e15-b0be-f9500e899b68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555D437</paraID>
      <start>6</start>
      <end>7</end>
      <status>unmodified</status>
      <modifiedWord/>
      <trackRevisions>false</trackRevisions>
    </reviewItem>
    <reviewItem>
      <errorID>fc1ca24b-c4cd-4a61-bec3-cea5b8300c08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14C4886</paraID>
      <start>6</start>
      <end>7</end>
      <status>unmodified</status>
      <modifiedWord/>
      <trackRevisions>false</trackRevisions>
    </reviewItem>
    <reviewItem>
      <errorID>811ddb74-ec15-48f6-8358-7cca94840872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64588502</paraID>
      <start>6</start>
      <end>7</end>
      <status>unmodified</status>
      <modifiedWord/>
      <trackRevisions>false</trackRevisions>
    </reviewItem>
    <reviewItem>
      <errorID>4ca69116-d6ad-41dd-8ab7-b74140ef3cbe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60AAE90F</paraID>
      <start>6</start>
      <end>7</end>
      <status>unmodified</status>
      <modifiedWord/>
      <trackRevisions>false</trackRevisions>
    </reviewItem>
    <reviewItem>
      <errorID>f10a551a-338c-470f-844a-76d1da366a2a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25CFE36F</paraID>
      <start>6</start>
      <end>7</end>
      <status>unmodified</status>
      <modifiedWord/>
      <trackRevisions>false</trackRevisions>
    </reviewItem>
    <reviewItem>
      <errorID>712d51b1-9116-41fd-965e-9b0040d7218f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69699918</paraID>
      <start>6</start>
      <end>7</end>
      <status>unmodified</status>
      <modifiedWord/>
      <trackRevisions>false</trackRevisions>
    </reviewItem>
    <reviewItem>
      <errorID>d0ca2991-77a9-4d2d-86b8-62ee8a35f61a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2EFDB759</paraID>
      <start>6</start>
      <end>7</end>
      <status>unmodified</status>
      <modifiedWord/>
      <trackRevisions>false</trackRevisions>
    </reviewItem>
    <reviewItem>
      <errorID>fb3ab2a9-844a-463e-919b-f4e7831d1d4c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4091D0E7</paraID>
      <start>6</start>
      <end>7</end>
      <status>unmodified</status>
      <modifiedWord/>
      <trackRevisions>false</trackRevisions>
    </reviewItem>
    <reviewItem>
      <errorID>3f211487-482e-4ceb-9695-02b94793fe94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5A9A5F7F</paraID>
      <start>6</start>
      <end>7</end>
      <status>unmodified</status>
      <modifiedWord/>
      <trackRevisions>false</trackRevisions>
    </reviewItem>
    <reviewItem>
      <errorID>b587ef72-8997-49f4-ba8c-b8f3de84fa4d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341B6B0C</paraID>
      <start>6</start>
      <end>7</end>
      <status>unmodified</status>
      <modifiedWord/>
      <trackRevisions>false</trackRevisions>
    </reviewItem>
    <reviewItem>
      <errorID>4efaa10c-8afb-4cab-952a-f4cded6c7461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4D624769</paraID>
      <start>6</start>
      <end>7</end>
      <status>unmodified</status>
      <modifiedWord/>
      <trackRevisions>false</trackRevisions>
    </reviewItem>
    <reviewItem>
      <errorID>942669e8-f81b-4a2b-bfd0-ed06e77498e0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3AB39DE0</paraID>
      <start>6</start>
      <end>7</end>
      <status>unmodified</status>
      <modifiedWord/>
      <trackRevisions>false</trackRevisions>
    </reviewItem>
    <reviewItem>
      <errorID>876ef6ad-0e05-46e4-b1a0-b16be0e2c3d0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51956756</paraID>
      <start>6</start>
      <end>7</end>
      <status>unmodified</status>
      <modifiedWord/>
      <trackRevisions>false</trackRevisions>
    </reviewItem>
    <reviewItem>
      <errorID>03bfa04c-16e7-4a5d-9c19-aadb678fd4fa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4E0CC662</paraID>
      <start>6</start>
      <end>7</end>
      <status>unmodified</status>
      <modifiedWord/>
      <trackRevisions>false</trackRevisions>
    </reviewItem>
    <reviewItem>
      <errorID>e7d063f3-d941-4d2f-bba4-dbe3611c6b5f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77933E21</paraID>
      <start>6</start>
      <end>7</end>
      <status>unmodified</status>
      <modifiedWord/>
      <trackRevisions>false</trackRevisions>
    </reviewItem>
    <reviewItem>
      <errorID>9e29e337-860e-4e59-8b58-80e2abb994f4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56E566F2</paraID>
      <start>6</start>
      <end>7</end>
      <status>unmodified</status>
      <modifiedWord/>
      <trackRevisions>false</trackRevisions>
    </reviewItem>
    <reviewItem>
      <errorID>03cbcfe6-522d-42e1-857b-48102641ae29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2926C36E</paraID>
      <start>6</start>
      <end>7</end>
      <status>unmodified</status>
      <modifiedWord/>
      <trackRevisions>false</trackRevisions>
    </reviewItem>
    <reviewItem>
      <errorID>b6f33024-5963-4b0f-a5b3-bc6559d18745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516E14A1</paraID>
      <start>6</start>
      <end>7</end>
      <status>unmodified</status>
      <modifiedWord/>
      <trackRevisions>false</trackRevisions>
    </reviewItem>
    <reviewItem>
      <errorID>4fc6ddc9-6b6e-4b4b-8d24-c38616d5b441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5B47DB1B</paraID>
      <start>6</start>
      <end>7</end>
      <status>unmodified</status>
      <modifiedWord/>
      <trackRevisions>false</trackRevisions>
    </reviewItem>
    <reviewItem>
      <errorID>69cf169c-7c5b-4ad4-82a6-9c1989a2e417</errorID>
      <errorWord>汞</errorWord>
      <group>L1_Word</group>
      <groupName>字词问题</groupName>
      <ability>L2_Typo</ability>
      <abilityName>字词错误</abilityName>
      <candidateList>
        <item>共</item>
      </candidateList>
      <explain>存在发音相同字词的误用。</explain>
      <paraID>3D2230C6</paraID>
      <start>147</start>
      <end>148</end>
      <status>unmodified</status>
      <modifiedWord/>
      <trackRevisions>false</trackRevisions>
    </reviewItem>
    <reviewItem>
      <errorID>1f66b3c5-e89f-4d71-a78a-77358d53f877</errorID>
      <errorWord>施</errorWord>
      <group>L1_Word</group>
      <groupName>字词问题</groupName>
      <ability>L2_Typo</ability>
      <abilityName>字词错误</abilityName>
      <candidateList>
        <item>施规</item>
      </candidateList>
      <explain/>
      <paraID>3CB2E36B</paraID>
      <start>257</start>
      <end>258</end>
      <status>unmodified</status>
      <modifiedWord/>
      <trackRevisions>false</trackRevisions>
    </reviewItem>
    <reviewItem>
      <errorID>9c0f2472-e05b-4cf3-a8ce-a5a0186f65bb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5D81F5C5</paraID>
      <start>85</start>
      <end>86</end>
      <status>unmodified</status>
      <modifiedWord/>
      <trackRevisions>false</trackRevisions>
    </reviewItem>
    <reviewItem>
      <errorID>0b10d5f0-167f-467c-96f0-f96c27d67a7f</errorID>
      <errorWord>深入</errorWord>
      <group>L1_Word</group>
      <groupName>字词问题</groupName>
      <ability>L2_Typo</ability>
      <abilityName>字词错误</abilityName>
      <candidateList>
        <item>渗入</item>
      </candidateList>
      <explain>〈动〉❶液体慢慢地渗到里面去：融化了的雪水～大地。❷比喻某种势力无孔不入地钻进来（多含贬义）。</explain>
      <paraID>5AE729F6</paraID>
      <start>129</start>
      <end>131</end>
      <status>unmodified</status>
      <modifiedWord/>
      <trackRevisions>false</trackRevisions>
    </reviewItem>
    <reviewItem>
      <errorID>ff9a5ec1-a619-40b7-b05d-b7c5c238c69c</errorID>
      <errorWord>深入</errorWord>
      <group>L1_Word</group>
      <groupName>字词问题</groupName>
      <ability>L2_Typo</ability>
      <abilityName>字词错误</abilityName>
      <candidateList>
        <item>渗入</item>
      </candidateList>
      <explain>〈动〉❶液体慢慢地渗到里面去：融化了的雪水～大地。❷比喻某种势力无孔不入地钻进来（多含贬义）。</explain>
      <paraID>6F4FA164</paraID>
      <start>16</start>
      <end>18</end>
      <status>unmodified</status>
      <modifiedWord/>
      <trackRevisions>false</trackRevisions>
    </reviewItem>
    <reviewItem>
      <errorID>126502b1-67ea-41ae-b6a8-a279f7f2c03b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526D85AF</paraID>
      <start>144</start>
      <end>145</end>
      <status>unmodified</status>
      <modifiedWord/>
      <trackRevisions>false</trackRevisions>
    </reviewItem>
    <reviewItem>
      <errorID>2d73a5ac-a4d4-4049-87f1-1ada32dfe1c7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523BDB4E</paraID>
      <start>219</start>
      <end>220</end>
      <status>unmodified</status>
      <modifiedWord/>
      <trackRevisions>false</trackRevisions>
    </reviewItem>
    <reviewItem>
      <errorID>074b6e01-196d-4383-843d-eef056201e5c</errorID>
      <errorWord>有粘性</errorWord>
      <group>L1_Word</group>
      <groupName>字词问题</groupName>
      <ability>L2_Alias</ability>
      <abilityName>也作/曾用词</abilityName>
      <candidateList>
        <item>有黏性</item>
      </candidateList>
      <explain>词汇[有粘性]为不规范表述或旧称，其规范书面表述为[有黏性]。</explain>
      <paraID>6D5A2388</paraID>
      <start>1</start>
      <end>4</end>
      <status>unmodified</status>
      <modifiedWord/>
      <trackRevisions>false</trackRevisions>
    </reviewItem>
    <reviewItem>
      <errorID>f6ef14a8-2c62-433d-8424-46d8012611ac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7BEE26AA</paraID>
      <start>72</start>
      <end>73</end>
      <status>unmodified</status>
      <modifiedWord/>
      <trackRevisions>false</trackRevisions>
    </reviewItem>
    <reviewItem>
      <errorID>240fa1ca-5b0c-477f-a1ed-f77d49522500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6C1C729F</paraID>
      <start>87</start>
      <end>88</end>
      <status>unmodified</status>
      <modifiedWord/>
      <trackRevisions>false</trackRevisions>
    </reviewItem>
    <reviewItem>
      <errorID>dd8612cb-c2a0-447f-9e5f-a0a184341793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45E7A62D</paraID>
      <start>72</start>
      <end>73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7a7520-936c-43f3-a8b9-7763377ea6d5}">
  <ds:schemaRefs/>
</ds:datastoreItem>
</file>

<file path=docProps/app.xml><?xml version="1.0" encoding="utf-8"?>
<Properties xmlns="http://schemas.openxmlformats.org/officeDocument/2006/extended-properties" xmlns:vt="http://schemas.openxmlformats.org/officeDocument/2006/docPropsVTypes">
  <Template>Normal.dotm</Template>
  <Pages>88</Pages>
  <Words>6438</Words>
  <Characters>6746</Characters>
  <Lines>0</Lines>
  <Paragraphs>0</Paragraphs>
  <TotalTime>58</TotalTime>
  <ScaleCrop>false</ScaleCrop>
  <LinksUpToDate>false</LinksUpToDate>
  <CharactersWithSpaces>6837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2025-07-29T06:40:00Z</dcterms:created>
  <dc:creator>我</dc:creator>
  <cp:lastModifiedBy>董玉</cp:lastModifiedBy>
  <dcterms:modified xsi:type="dcterms:W3CDTF">2026-04-08T02:40:03Z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F5690AC107324B2589C32F1A205FB264_13</vt:lpwstr>
  </property>
  <property fmtid="{D5CDD505-2E9C-101B-9397-08002B2CF9AE}" pid="4" name="KSOTemplateDocerSaveRecord">
    <vt:lpwstr>eyJoZGlkIjoiODEyMWI5MTUzMWI3YWI3NzBiZTMyYzQ0M2MxYzYyMjMiLCJ1c2VySWQiOiIxNTEyNjUwNDgwIn0=</vt:lpwstr>
  </property>
</Properties>
</file>