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DC0B9">
      <w:pPr>
        <w:rPr>
          <w:rFonts w:ascii="仿宋_GB2312" w:hAnsi="仿宋_GB2312" w:eastAsia="仿宋_GB2312" w:cs="仿宋_GB2312"/>
          <w:color w:val="auto"/>
          <w:sz w:val="36"/>
          <w:szCs w:val="36"/>
        </w:rPr>
      </w:pPr>
    </w:p>
    <w:p w14:paraId="108963FC">
      <w:pPr>
        <w:rPr>
          <w:rFonts w:ascii="仿宋_GB2312" w:hAnsi="仿宋_GB2312" w:eastAsia="仿宋_GB2312" w:cs="仿宋_GB2312"/>
          <w:color w:val="auto"/>
          <w:sz w:val="36"/>
          <w:szCs w:val="36"/>
        </w:rPr>
      </w:pPr>
    </w:p>
    <w:p w14:paraId="395EFF0C">
      <w:pPr>
        <w:rPr>
          <w:rFonts w:ascii="仿宋_GB2312" w:hAnsi="仿宋_GB2312" w:eastAsia="仿宋_GB2312" w:cs="仿宋_GB2312"/>
          <w:color w:val="auto"/>
          <w:sz w:val="36"/>
          <w:szCs w:val="36"/>
        </w:rPr>
      </w:pPr>
    </w:p>
    <w:p w14:paraId="035EAAB6">
      <w:pPr>
        <w:rPr>
          <w:rFonts w:ascii="仿宋_GB2312" w:hAnsi="仿宋_GB2312" w:eastAsia="仿宋_GB2312" w:cs="仿宋_GB2312"/>
          <w:color w:val="auto"/>
          <w:sz w:val="36"/>
          <w:szCs w:val="36"/>
        </w:rPr>
      </w:pPr>
    </w:p>
    <w:p w14:paraId="657A6F59">
      <w:pPr>
        <w:adjustRightInd w:val="0"/>
        <w:snapToGrid w:val="0"/>
        <w:jc w:val="center"/>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7BBE86F">
      <w:pPr>
        <w:adjustRightInd w:val="0"/>
        <w:snapToGrid w:val="0"/>
        <w:spacing w:before="192" w:beforeLines="80"/>
        <w:jc w:val="center"/>
        <w:outlineLvl w:val="9"/>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7247F016">
      <w:pPr>
        <w:adjustRightInd w:val="0"/>
        <w:snapToGrid w:val="0"/>
        <w:spacing w:line="288" w:lineRule="auto"/>
        <w:jc w:val="center"/>
        <w:outlineLvl w:val="9"/>
        <w:rPr>
          <w:rFonts w:hint="default" w:ascii="华文仿宋" w:hAnsi="华文仿宋" w:eastAsia="华文仿宋" w:cs="华文仿宋"/>
          <w:color w:val="auto"/>
          <w:kern w:val="44"/>
          <w:sz w:val="44"/>
          <w:szCs w:val="44"/>
          <w:lang w:val="en-US" w:eastAsia="zh-CN"/>
        </w:rPr>
      </w:pPr>
      <w:r>
        <w:rPr>
          <w:rFonts w:hint="eastAsia" w:ascii="华文仿宋" w:hAnsi="华文仿宋" w:eastAsia="华文仿宋" w:cs="华文仿宋"/>
          <w:color w:val="auto"/>
          <w:kern w:val="44"/>
          <w:sz w:val="44"/>
          <w:szCs w:val="44"/>
          <w:lang w:val="en-US" w:eastAsia="zh-CN"/>
        </w:rPr>
        <w:t>送审搞</w:t>
      </w:r>
    </w:p>
    <w:p w14:paraId="4F48F544">
      <w:pPr>
        <w:jc w:val="center"/>
        <w:outlineLvl w:val="9"/>
        <w:rPr>
          <w:rFonts w:eastAsia="仿宋"/>
          <w:color w:val="auto"/>
          <w:sz w:val="52"/>
          <w:szCs w:val="52"/>
        </w:rPr>
      </w:pPr>
    </w:p>
    <w:p w14:paraId="52655C5F">
      <w:pPr>
        <w:ind w:firstLine="1040"/>
        <w:rPr>
          <w:rFonts w:eastAsia="仿宋"/>
          <w:color w:val="auto"/>
          <w:sz w:val="44"/>
          <w:szCs w:val="44"/>
        </w:rPr>
      </w:pPr>
    </w:p>
    <w:p w14:paraId="2B13EA74">
      <w:pPr>
        <w:ind w:firstLine="1040"/>
        <w:rPr>
          <w:rFonts w:eastAsia="仿宋"/>
          <w:color w:val="auto"/>
          <w:sz w:val="44"/>
          <w:szCs w:val="44"/>
        </w:rPr>
      </w:pPr>
    </w:p>
    <w:p w14:paraId="5554632E">
      <w:pPr>
        <w:ind w:firstLine="1040"/>
        <w:rPr>
          <w:rFonts w:eastAsia="仿宋"/>
          <w:color w:val="auto"/>
          <w:sz w:val="44"/>
          <w:szCs w:val="44"/>
        </w:rPr>
      </w:pPr>
    </w:p>
    <w:p w14:paraId="337472D9">
      <w:pPr>
        <w:ind w:firstLine="1040"/>
        <w:rPr>
          <w:rFonts w:eastAsia="仿宋"/>
          <w:color w:val="auto"/>
          <w:sz w:val="44"/>
          <w:szCs w:val="44"/>
        </w:rPr>
      </w:pPr>
    </w:p>
    <w:p w14:paraId="23EB1C2D">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 昆明长青慈宁精神病医院迁建项目</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p>
    <w:p w14:paraId="4DC09AFB">
      <w:pPr>
        <w:adjustRightInd w:val="0"/>
        <w:snapToGrid w:val="0"/>
        <w:spacing w:line="288" w:lineRule="auto"/>
        <w:ind w:right="0" w:rightChars="0"/>
        <w:jc w:val="both"/>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昆明长青慈宁精神病医院有限公司</w:t>
      </w:r>
    </w:p>
    <w:p w14:paraId="441D7CD3">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lang w:val="en-US" w:eastAsia="zh-CN"/>
        </w:rPr>
        <w:t xml:space="preserve">          202</w:t>
      </w:r>
      <w:r>
        <w:rPr>
          <w:rFonts w:hint="eastAsia" w:ascii="仿宋" w:hAnsi="仿宋" w:eastAsia="仿宋" w:cs="仿宋"/>
          <w:b w:val="0"/>
          <w:bCs w:val="0"/>
          <w:color w:val="auto"/>
          <w:sz w:val="36"/>
          <w:szCs w:val="36"/>
          <w:u w:val="single"/>
          <w:lang w:val="en-US" w:eastAsia="zh-CN"/>
        </w:rPr>
        <w:t>6</w:t>
      </w:r>
      <w:r>
        <w:rPr>
          <w:rFonts w:hint="eastAsia" w:ascii="仿宋_GB2312" w:eastAsia="仿宋_GB2312"/>
          <w:color w:val="auto"/>
          <w:sz w:val="36"/>
          <w:szCs w:val="36"/>
          <w:u w:val="single"/>
          <w:lang w:val="en-US" w:eastAsia="zh-CN"/>
        </w:rPr>
        <w:t>年4月</w:t>
      </w:r>
      <w:r>
        <w:rPr>
          <w:rFonts w:ascii="仿宋_GB2312" w:eastAsia="仿宋_GB2312"/>
          <w:color w:val="auto"/>
          <w:sz w:val="36"/>
          <w:szCs w:val="36"/>
          <w:u w:val="single"/>
        </w:rPr>
        <w:t xml:space="preserve">             </w:t>
      </w:r>
    </w:p>
    <w:p w14:paraId="07D092A6">
      <w:pPr>
        <w:adjustRightInd w:val="0"/>
        <w:snapToGrid w:val="0"/>
        <w:spacing w:line="288" w:lineRule="auto"/>
        <w:ind w:firstLine="1040"/>
        <w:rPr>
          <w:rFonts w:ascii="仿宋_GB2312" w:eastAsia="仿宋_GB2312"/>
          <w:color w:val="auto"/>
          <w:sz w:val="36"/>
          <w:szCs w:val="36"/>
          <w:u w:val="single"/>
        </w:rPr>
      </w:pPr>
      <w:bookmarkStart w:id="0" w:name="_Hlk57884087"/>
    </w:p>
    <w:p w14:paraId="4D98AFAE">
      <w:pPr>
        <w:adjustRightInd w:val="0"/>
        <w:snapToGrid w:val="0"/>
        <w:spacing w:line="288" w:lineRule="auto"/>
        <w:ind w:firstLine="1040"/>
        <w:rPr>
          <w:rFonts w:ascii="仿宋_GB2312" w:eastAsia="仿宋_GB2312"/>
          <w:color w:val="auto"/>
          <w:sz w:val="36"/>
          <w:szCs w:val="36"/>
        </w:rPr>
      </w:pPr>
    </w:p>
    <w:p w14:paraId="100D9AC7">
      <w:pPr>
        <w:adjustRightInd w:val="0"/>
        <w:snapToGrid w:val="0"/>
        <w:spacing w:line="288" w:lineRule="auto"/>
        <w:ind w:firstLine="1040"/>
        <w:rPr>
          <w:rFonts w:ascii="仿宋_GB2312" w:eastAsia="仿宋_GB2312"/>
          <w:color w:val="auto"/>
          <w:sz w:val="36"/>
          <w:szCs w:val="36"/>
        </w:rPr>
      </w:pPr>
    </w:p>
    <w:p w14:paraId="0BC8BD00">
      <w:pPr>
        <w:adjustRightInd w:val="0"/>
        <w:snapToGrid w:val="0"/>
        <w:spacing w:line="288" w:lineRule="auto"/>
        <w:ind w:firstLine="1040"/>
        <w:rPr>
          <w:rFonts w:hint="eastAsia" w:ascii="仿宋_GB2312" w:eastAsia="仿宋_GB2312"/>
          <w:color w:val="auto"/>
          <w:sz w:val="36"/>
          <w:szCs w:val="36"/>
        </w:rPr>
      </w:pPr>
    </w:p>
    <w:p w14:paraId="08B8748F">
      <w:pPr>
        <w:adjustRightInd w:val="0"/>
        <w:snapToGrid w:val="0"/>
        <w:spacing w:line="288" w:lineRule="auto"/>
        <w:ind w:firstLine="1040"/>
        <w:rPr>
          <w:rFonts w:hint="eastAsia" w:ascii="仿宋_GB2312" w:eastAsia="仿宋_GB2312"/>
          <w:color w:val="auto"/>
          <w:sz w:val="36"/>
          <w:szCs w:val="36"/>
        </w:rPr>
      </w:pPr>
    </w:p>
    <w:bookmarkEnd w:id="0"/>
    <w:p w14:paraId="765650F5">
      <w:pPr>
        <w:adjustRightInd w:val="0"/>
        <w:snapToGrid w:val="0"/>
        <w:spacing w:line="288" w:lineRule="auto"/>
        <w:jc w:val="center"/>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楷体_GB2312" w:eastAsia="楷体_GB2312"/>
          <w:color w:val="auto"/>
          <w:sz w:val="36"/>
          <w:szCs w:val="36"/>
        </w:rPr>
        <w:t>中华人民共和国生态环境部制</w:t>
      </w:r>
    </w:p>
    <w:p w14:paraId="6BEE7B81">
      <w:pPr>
        <w:bidi w:val="0"/>
        <w:rPr>
          <w:rFonts w:hint="default"/>
          <w:color w:val="auto"/>
          <w:lang w:val="en-US" w:eastAsia="zh-CN"/>
        </w:rPr>
        <w:sectPr>
          <w:footerReference r:id="rId5"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12696"/>
    </w:p>
    <w:bookmarkEnd w:id="1"/>
    <w:p w14:paraId="08D822C3">
      <w:pPr>
        <w:pStyle w:val="22"/>
        <w:jc w:val="center"/>
        <w:outlineLvl w:val="9"/>
        <w:rPr>
          <w:rFonts w:hint="eastAsia" w:ascii="黑体" w:hAnsi="黑体" w:eastAsia="黑体"/>
          <w:snapToGrid w:val="0"/>
          <w:color w:val="auto"/>
          <w:sz w:val="30"/>
          <w:szCs w:val="30"/>
          <w:lang w:val="en-US" w:eastAsia="zh-CN"/>
        </w:rPr>
      </w:pPr>
      <w:bookmarkStart w:id="2" w:name="_Toc293"/>
      <w:r>
        <w:rPr>
          <w:rFonts w:hint="eastAsia" w:ascii="黑体" w:hAnsi="黑体" w:eastAsia="黑体"/>
          <w:snapToGrid w:val="0"/>
          <w:color w:val="auto"/>
          <w:sz w:val="30"/>
          <w:szCs w:val="30"/>
          <w:lang w:val="en-US" w:eastAsia="zh-CN"/>
        </w:rPr>
        <w:t>目 录</w:t>
      </w:r>
      <w:bookmarkEnd w:id="2"/>
    </w:p>
    <w:sdt>
      <w:sdtPr>
        <w:rPr>
          <w:rFonts w:ascii="宋体" w:hAnsi="宋体" w:eastAsia="宋体" w:cs="Times New Roman"/>
          <w:color w:val="auto"/>
          <w:kern w:val="2"/>
          <w:sz w:val="21"/>
          <w:szCs w:val="24"/>
          <w:lang w:val="en-US" w:eastAsia="zh-CN" w:bidi="ar-SA"/>
        </w:rPr>
        <w:id w:val="147455196"/>
        <w15:color w:val="DBDBDB"/>
        <w:docPartObj>
          <w:docPartGallery w:val="Table of Contents"/>
          <w:docPartUnique/>
        </w:docPartObj>
      </w:sdtPr>
      <w:sdtEndPr>
        <w:rPr>
          <w:rFonts w:hint="eastAsia" w:ascii="黑体" w:hAnsi="黑体" w:eastAsia="黑体" w:cs="Times New Roman"/>
          <w:snapToGrid w:val="0"/>
          <w:color w:val="auto"/>
          <w:kern w:val="0"/>
          <w:sz w:val="24"/>
          <w:szCs w:val="30"/>
          <w:lang w:val="en-US" w:eastAsia="zh-CN" w:bidi="ar-SA"/>
        </w:rPr>
      </w:sdtEndPr>
      <w:sdtContent>
        <w:p w14:paraId="0161DA5F">
          <w:pPr>
            <w:spacing w:before="0" w:beforeLines="0" w:after="0" w:afterLines="0" w:line="240" w:lineRule="auto"/>
            <w:ind w:left="0" w:leftChars="0" w:right="0" w:rightChars="0" w:firstLine="0" w:firstLineChars="0"/>
            <w:jc w:val="center"/>
            <w:rPr>
              <w:color w:val="auto"/>
            </w:rPr>
          </w:pPr>
        </w:p>
        <w:p w14:paraId="15A53890">
          <w:pPr>
            <w:pStyle w:val="21"/>
            <w:tabs>
              <w:tab w:val="right" w:leader="dot" w:pos="8844"/>
            </w:tabs>
            <w:rPr>
              <w:rFonts w:hint="default" w:ascii="Times New Roman" w:hAnsi="Times New Roman" w:eastAsia="宋体" w:cs="Times New Roman"/>
              <w:b w:val="0"/>
              <w:bCs w:val="0"/>
              <w:color w:val="auto"/>
              <w:sz w:val="28"/>
              <w:szCs w:val="28"/>
            </w:rPr>
          </w:pPr>
          <w:r>
            <w:rPr>
              <w:rFonts w:hint="eastAsia" w:ascii="黑体" w:hAnsi="黑体" w:eastAsia="黑体"/>
              <w:snapToGrid w:val="0"/>
              <w:color w:val="auto"/>
              <w:sz w:val="30"/>
              <w:szCs w:val="30"/>
              <w:lang w:val="en-US" w:eastAsia="zh-CN"/>
            </w:rPr>
            <w:fldChar w:fldCharType="begin"/>
          </w:r>
          <w:r>
            <w:rPr>
              <w:rFonts w:hint="eastAsia" w:ascii="黑体" w:hAnsi="黑体" w:eastAsia="黑体"/>
              <w:snapToGrid w:val="0"/>
              <w:color w:val="auto"/>
              <w:sz w:val="30"/>
              <w:szCs w:val="30"/>
              <w:lang w:val="en-US" w:eastAsia="zh-CN"/>
            </w:rPr>
            <w:instrText xml:space="preserve">TOC \o "1-1" \h \u </w:instrText>
          </w:r>
          <w:r>
            <w:rPr>
              <w:rFonts w:hint="eastAsia" w:ascii="黑体" w:hAnsi="黑体" w:eastAsia="黑体"/>
              <w:snapToGrid w:val="0"/>
              <w:color w:val="auto"/>
              <w:sz w:val="30"/>
              <w:szCs w:val="30"/>
              <w:lang w:val="en-US" w:eastAsia="zh-CN"/>
            </w:rPr>
            <w:fldChar w:fldCharType="separate"/>
          </w: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_Toc14454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一、建设项目基本情况</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_Toc14454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60FEA777">
          <w:pPr>
            <w:pStyle w:val="21"/>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_Toc4169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二、建设项目工程分析</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_Toc4169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18</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470D1993">
          <w:pPr>
            <w:pStyle w:val="21"/>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_Toc105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三、区域环境质量现状、环境保护目标及评价标准</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_Toc105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40</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34CEC064">
          <w:pPr>
            <w:pStyle w:val="21"/>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_Toc31146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四、主要环境影响和保护措施</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_Toc31146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49</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2BD1B6F7">
          <w:pPr>
            <w:pStyle w:val="21"/>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_Toc22224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lang w:val="en-US" w:eastAsia="zh-CN"/>
            </w:rPr>
            <w:t>五、环境保护措施监督检查清单</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_Toc22224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82</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476D1D85">
          <w:pPr>
            <w:pStyle w:val="21"/>
            <w:tabs>
              <w:tab w:val="right" w:leader="dot" w:pos="8844"/>
            </w:tabs>
            <w:spacing w:line="360" w:lineRule="auto"/>
            <w:rPr>
              <w:color w:val="auto"/>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_Toc1714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lang w:val="en-US" w:eastAsia="zh-CN"/>
            </w:rPr>
            <w:t>六、结论</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_Toc1714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86</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1DB99B60">
          <w:pPr>
            <w:pStyle w:val="22"/>
            <w:jc w:val="both"/>
            <w:outlineLvl w:val="0"/>
            <w:rPr>
              <w:color w:val="auto"/>
            </w:rPr>
          </w:pPr>
          <w:r>
            <w:rPr>
              <w:rFonts w:hint="eastAsia" w:ascii="黑体" w:hAnsi="黑体" w:eastAsia="黑体"/>
              <w:snapToGrid w:val="0"/>
              <w:color w:val="auto"/>
              <w:szCs w:val="30"/>
              <w:lang w:val="en-US" w:eastAsia="zh-CN"/>
            </w:rPr>
            <w:fldChar w:fldCharType="end"/>
          </w:r>
        </w:p>
      </w:sdtContent>
    </w:sdt>
    <w:p w14:paraId="2E99ECC6">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7A1CBF11">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188159F1">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266F26A4">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7C4E7E70">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488E3F8F">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4D439B5C">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396334B5">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2C1AAE1C">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4E22ADB7">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170AA3D2">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30D2BAC6">
      <w:pPr>
        <w:pStyle w:val="22"/>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0BA3385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p>
    <w:p w14:paraId="26C657D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附图1：项目地理位置图</w:t>
      </w:r>
    </w:p>
    <w:p w14:paraId="4B1CB6E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附图2：项目周边水系图</w:t>
      </w:r>
    </w:p>
    <w:p w14:paraId="5AEADDFE">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附图3：项目与周边关系图</w:t>
      </w:r>
    </w:p>
    <w:p w14:paraId="31584CB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附图4：项目总平面布置图</w:t>
      </w:r>
    </w:p>
    <w:p w14:paraId="2605F83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附图5：综合楼各楼层平面布置图</w:t>
      </w:r>
    </w:p>
    <w:p w14:paraId="40B721E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r>
        <w:rPr>
          <w:rFonts w:hint="eastAsia" w:cs="宋体"/>
          <w:snapToGrid w:val="0"/>
          <w:color w:val="auto"/>
          <w:kern w:val="0"/>
          <w:sz w:val="24"/>
          <w:szCs w:val="30"/>
          <w:lang w:val="en-US" w:eastAsia="zh-CN" w:bidi="ar-SA"/>
        </w:rPr>
        <w:t>6</w:t>
      </w:r>
      <w:r>
        <w:rPr>
          <w:rFonts w:hint="eastAsia" w:ascii="宋体" w:hAnsi="宋体" w:eastAsia="宋体" w:cs="宋体"/>
          <w:snapToGrid w:val="0"/>
          <w:color w:val="auto"/>
          <w:kern w:val="0"/>
          <w:sz w:val="24"/>
          <w:szCs w:val="30"/>
          <w:lang w:val="en-US" w:eastAsia="zh-CN" w:bidi="ar-SA"/>
        </w:rPr>
        <w:t>：项目与云南生态功能区划位置关系图</w:t>
      </w:r>
    </w:p>
    <w:p w14:paraId="443C7AC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r>
        <w:rPr>
          <w:rFonts w:hint="eastAsia" w:cs="宋体"/>
          <w:snapToGrid w:val="0"/>
          <w:color w:val="auto"/>
          <w:kern w:val="0"/>
          <w:sz w:val="24"/>
          <w:szCs w:val="30"/>
          <w:lang w:val="en-US" w:eastAsia="zh-CN" w:bidi="ar-SA"/>
        </w:rPr>
        <w:t>7</w:t>
      </w:r>
      <w:r>
        <w:rPr>
          <w:rFonts w:hint="eastAsia" w:ascii="宋体" w:hAnsi="宋体" w:eastAsia="宋体" w:cs="宋体"/>
          <w:snapToGrid w:val="0"/>
          <w:color w:val="auto"/>
          <w:kern w:val="0"/>
          <w:sz w:val="24"/>
          <w:szCs w:val="30"/>
          <w:lang w:val="en-US" w:eastAsia="zh-CN" w:bidi="ar-SA"/>
        </w:rPr>
        <w:t>：项目与云南省主体功能区划关系图</w:t>
      </w:r>
    </w:p>
    <w:p w14:paraId="4CC9CF2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r>
        <w:rPr>
          <w:rFonts w:hint="eastAsia" w:cs="宋体"/>
          <w:snapToGrid w:val="0"/>
          <w:color w:val="auto"/>
          <w:kern w:val="0"/>
          <w:sz w:val="24"/>
          <w:szCs w:val="30"/>
          <w:lang w:val="en-US" w:eastAsia="zh-CN" w:bidi="ar-SA"/>
        </w:rPr>
        <w:t>8</w:t>
      </w:r>
      <w:r>
        <w:rPr>
          <w:rFonts w:hint="eastAsia" w:ascii="宋体" w:hAnsi="宋体" w:eastAsia="宋体" w:cs="宋体"/>
          <w:snapToGrid w:val="0"/>
          <w:color w:val="auto"/>
          <w:kern w:val="0"/>
          <w:sz w:val="24"/>
          <w:szCs w:val="30"/>
          <w:lang w:val="en-US" w:eastAsia="zh-CN" w:bidi="ar-SA"/>
        </w:rPr>
        <w:t>：现状监测点位图</w:t>
      </w:r>
    </w:p>
    <w:p w14:paraId="0ADC03A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w:t>
      </w:r>
    </w:p>
    <w:p w14:paraId="7D3DFAB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附件1：委托书</w:t>
      </w:r>
    </w:p>
    <w:p w14:paraId="0140F6F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附件2：租房合同</w:t>
      </w:r>
    </w:p>
    <w:p w14:paraId="3FCDD77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附件3：营业执照</w:t>
      </w:r>
    </w:p>
    <w:p w14:paraId="78D10F85">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附件4：医疗机构执业许可证</w:t>
      </w:r>
    </w:p>
    <w:p w14:paraId="09A49A7C">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附件5：</w:t>
      </w:r>
      <w:r>
        <w:rPr>
          <w:rFonts w:hint="eastAsia" w:cs="宋体"/>
          <w:snapToGrid w:val="0"/>
          <w:color w:val="auto"/>
          <w:kern w:val="0"/>
          <w:sz w:val="24"/>
          <w:szCs w:val="30"/>
          <w:lang w:val="en-US" w:eastAsia="zh-CN" w:bidi="ar-SA"/>
        </w:rPr>
        <w:t>“三区三线”</w:t>
      </w:r>
      <w:r>
        <w:rPr>
          <w:rFonts w:hint="eastAsia" w:ascii="宋体" w:hAnsi="宋体" w:eastAsia="宋体" w:cs="宋体"/>
          <w:snapToGrid w:val="0"/>
          <w:color w:val="auto"/>
          <w:kern w:val="0"/>
          <w:sz w:val="24"/>
          <w:szCs w:val="30"/>
          <w:lang w:val="en-US" w:eastAsia="zh-CN" w:bidi="ar-SA"/>
        </w:rPr>
        <w:t>查询结果</w:t>
      </w:r>
    </w:p>
    <w:p w14:paraId="0944D3A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附件6：原环评批复</w:t>
      </w:r>
    </w:p>
    <w:p w14:paraId="50930F2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附件7：原项目验收意见以及签到表</w:t>
      </w:r>
    </w:p>
    <w:p w14:paraId="31F270C9">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附件8：医疗废物转移联单</w:t>
      </w:r>
    </w:p>
    <w:p w14:paraId="5BC71510">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附件9：医疗废物处置合同</w:t>
      </w:r>
    </w:p>
    <w:p w14:paraId="2A1FC23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附件10：昆明长青兹宁精神病医院2025年废水检测</w:t>
      </w:r>
    </w:p>
    <w:p w14:paraId="2606712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附件11：昆明长青慈宁精神病医院迁建项目环境质量现状检测</w:t>
      </w:r>
    </w:p>
    <w:p w14:paraId="7A0D58B6">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w:t>
      </w:r>
      <w:r>
        <w:rPr>
          <w:rFonts w:hint="eastAsia" w:cs="宋体"/>
          <w:snapToGrid w:val="0"/>
          <w:color w:val="auto"/>
          <w:kern w:val="0"/>
          <w:sz w:val="24"/>
          <w:szCs w:val="30"/>
          <w:lang w:val="en-US" w:eastAsia="zh-CN" w:bidi="ar-SA"/>
        </w:rPr>
        <w:t>2</w:t>
      </w:r>
      <w:r>
        <w:rPr>
          <w:rFonts w:hint="eastAsia" w:ascii="宋体" w:hAnsi="宋体" w:eastAsia="宋体" w:cs="宋体"/>
          <w:snapToGrid w:val="0"/>
          <w:color w:val="auto"/>
          <w:kern w:val="0"/>
          <w:sz w:val="24"/>
          <w:szCs w:val="30"/>
          <w:lang w:val="en-US" w:eastAsia="zh-CN" w:bidi="ar-SA"/>
        </w:rPr>
        <w:t>：原项目验收监测报告</w:t>
      </w:r>
    </w:p>
    <w:p w14:paraId="3531628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w:t>
      </w:r>
      <w:r>
        <w:rPr>
          <w:rFonts w:hint="eastAsia" w:cs="宋体"/>
          <w:snapToGrid w:val="0"/>
          <w:color w:val="auto"/>
          <w:kern w:val="0"/>
          <w:sz w:val="24"/>
          <w:szCs w:val="30"/>
          <w:lang w:val="en-US" w:eastAsia="zh-CN" w:bidi="ar-SA"/>
        </w:rPr>
        <w:t>3</w:t>
      </w:r>
      <w:r>
        <w:rPr>
          <w:rFonts w:hint="eastAsia" w:ascii="宋体" w:hAnsi="宋体" w:eastAsia="宋体" w:cs="宋体"/>
          <w:snapToGrid w:val="0"/>
          <w:color w:val="auto"/>
          <w:kern w:val="0"/>
          <w:sz w:val="24"/>
          <w:szCs w:val="30"/>
          <w:lang w:val="en-US" w:eastAsia="zh-CN" w:bidi="ar-SA"/>
        </w:rPr>
        <w:t>：公示反馈情况</w:t>
      </w:r>
    </w:p>
    <w:p w14:paraId="3304E4E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附件14：环评咨询合同</w:t>
      </w:r>
    </w:p>
    <w:p w14:paraId="26D7CEF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附件15：项目投资备案赋码登记情况</w:t>
      </w:r>
    </w:p>
    <w:p w14:paraId="279D654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附件16：生态分区查询情况结果</w:t>
      </w:r>
    </w:p>
    <w:p w14:paraId="07C3DB0C">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附件17：项目进度表</w:t>
      </w:r>
    </w:p>
    <w:p w14:paraId="38B724F6">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附件18：项目三级审核表</w:t>
      </w:r>
    </w:p>
    <w:p w14:paraId="7A89DD06">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ascii="宋体" w:hAnsi="宋体" w:eastAsia="宋体" w:cs="宋体"/>
          <w:snapToGrid w:val="0"/>
          <w:color w:val="auto"/>
          <w:kern w:val="0"/>
          <w:sz w:val="24"/>
          <w:szCs w:val="30"/>
          <w:lang w:val="en-US" w:eastAsia="zh-CN" w:bidi="ar-SA"/>
        </w:rPr>
        <w:sectPr>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C66C212">
      <w:pPr>
        <w:pStyle w:val="22"/>
        <w:jc w:val="center"/>
        <w:outlineLvl w:val="0"/>
        <w:rPr>
          <w:rFonts w:hint="eastAsia" w:ascii="黑体" w:hAnsi="黑体" w:eastAsia="黑体"/>
          <w:snapToGrid w:val="0"/>
          <w:color w:val="auto"/>
          <w:sz w:val="30"/>
          <w:szCs w:val="30"/>
        </w:rPr>
      </w:pPr>
      <w:bookmarkStart w:id="3" w:name="_Toc14454"/>
      <w:r>
        <w:rPr>
          <w:rFonts w:hint="eastAsia" w:ascii="黑体" w:hAnsi="黑体" w:eastAsia="黑体"/>
          <w:snapToGrid w:val="0"/>
          <w:color w:val="auto"/>
          <w:sz w:val="30"/>
          <w:szCs w:val="30"/>
        </w:rPr>
        <w:t>一、建设项目基本情况</w:t>
      </w:r>
      <w:bookmarkEnd w:id="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9"/>
        <w:gridCol w:w="2072"/>
        <w:gridCol w:w="2439"/>
        <w:gridCol w:w="3370"/>
      </w:tblGrid>
      <w:tr w14:paraId="764F5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3F14CD9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建设项目名称</w:t>
            </w:r>
          </w:p>
        </w:tc>
        <w:tc>
          <w:tcPr>
            <w:tcW w:w="7775" w:type="dxa"/>
            <w:gridSpan w:val="3"/>
            <w:noWrap w:val="0"/>
            <w:vAlign w:val="center"/>
          </w:tcPr>
          <w:p w14:paraId="5D411E8C">
            <w:pPr>
              <w:adjustRightInd w:val="0"/>
              <w:snapToGrid w:val="0"/>
              <w:jc w:val="center"/>
              <w:rPr>
                <w:rFonts w:hint="eastAsia" w:ascii="宋体" w:hAnsi="宋体" w:eastAsia="宋体" w:cs="宋体"/>
                <w:color w:val="auto"/>
                <w:sz w:val="24"/>
                <w:szCs w:val="24"/>
              </w:rPr>
            </w:pPr>
            <w:r>
              <w:rPr>
                <w:rFonts w:hint="default" w:ascii="Times New Roman" w:hAnsi="Times New Roman" w:cs="Times New Roman"/>
                <w:color w:val="auto"/>
                <w:sz w:val="24"/>
                <w:szCs w:val="24"/>
              </w:rPr>
              <w:t>昆明</w:t>
            </w:r>
            <w:r>
              <w:rPr>
                <w:rFonts w:hint="eastAsia" w:cs="Times New Roman"/>
                <w:color w:val="auto"/>
                <w:sz w:val="24"/>
                <w:szCs w:val="24"/>
                <w:lang w:val="en-US" w:eastAsia="zh-CN"/>
              </w:rPr>
              <w:t>长青慈宁精神病医院迁建项目</w:t>
            </w:r>
          </w:p>
        </w:tc>
      </w:tr>
      <w:tr w14:paraId="5A987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313DEB6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项目代码</w:t>
            </w:r>
          </w:p>
        </w:tc>
        <w:tc>
          <w:tcPr>
            <w:tcW w:w="7775" w:type="dxa"/>
            <w:gridSpan w:val="3"/>
            <w:noWrap w:val="0"/>
            <w:vAlign w:val="center"/>
          </w:tcPr>
          <w:p w14:paraId="341E9594">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2602-530129-04-05-912385</w:t>
            </w:r>
          </w:p>
        </w:tc>
      </w:tr>
      <w:tr w14:paraId="5190E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106A2AA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建设单位联系人</w:t>
            </w:r>
          </w:p>
        </w:tc>
        <w:tc>
          <w:tcPr>
            <w:tcW w:w="1937" w:type="dxa"/>
            <w:noWrap w:val="0"/>
            <w:vAlign w:val="center"/>
          </w:tcPr>
          <w:p w14:paraId="28EE47BC">
            <w:pPr>
              <w:adjustRightInd w:val="0"/>
              <w:snapToGrid w:val="0"/>
              <w:jc w:val="center"/>
              <w:rPr>
                <w:rFonts w:hint="default" w:ascii="宋体" w:hAnsi="宋体" w:eastAsia="宋体" w:cs="宋体"/>
                <w:color w:val="auto"/>
                <w:sz w:val="24"/>
                <w:szCs w:val="24"/>
                <w:lang w:val="en-US" w:eastAsia="zh-CN"/>
              </w:rPr>
            </w:pPr>
          </w:p>
        </w:tc>
        <w:tc>
          <w:tcPr>
            <w:tcW w:w="2447" w:type="dxa"/>
            <w:noWrap w:val="0"/>
            <w:vAlign w:val="center"/>
          </w:tcPr>
          <w:p w14:paraId="4F9EAD4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3391" w:type="dxa"/>
            <w:noWrap w:val="0"/>
            <w:vAlign w:val="center"/>
          </w:tcPr>
          <w:p w14:paraId="259BF949">
            <w:pPr>
              <w:adjustRightInd w:val="0"/>
              <w:snapToGrid w:val="0"/>
              <w:jc w:val="center"/>
              <w:rPr>
                <w:rFonts w:hint="default" w:ascii="宋体" w:hAnsi="宋体" w:eastAsia="宋体" w:cs="宋体"/>
                <w:color w:val="auto"/>
                <w:sz w:val="24"/>
                <w:szCs w:val="24"/>
                <w:lang w:val="en-US" w:eastAsia="zh-CN"/>
              </w:rPr>
            </w:pPr>
          </w:p>
        </w:tc>
      </w:tr>
      <w:tr w14:paraId="00388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50DBE6B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建设地点</w:t>
            </w:r>
          </w:p>
        </w:tc>
        <w:tc>
          <w:tcPr>
            <w:tcW w:w="7775" w:type="dxa"/>
            <w:gridSpan w:val="3"/>
            <w:noWrap w:val="0"/>
            <w:vAlign w:val="center"/>
          </w:tcPr>
          <w:p w14:paraId="34C85DD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云南省昆明市寻甸回族彝族自治县倘甸镇白章村委会芭蕉树村108号</w:t>
            </w:r>
          </w:p>
        </w:tc>
      </w:tr>
      <w:tr w14:paraId="5AD11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14A1AF8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地理坐标</w:t>
            </w:r>
          </w:p>
        </w:tc>
        <w:tc>
          <w:tcPr>
            <w:tcW w:w="7775" w:type="dxa"/>
            <w:gridSpan w:val="3"/>
            <w:noWrap w:val="0"/>
            <w:vAlign w:val="center"/>
          </w:tcPr>
          <w:p w14:paraId="2AF9910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100</w:t>
            </w:r>
            <w:r>
              <w:rPr>
                <w:rFonts w:hint="eastAsia" w:ascii="宋体" w:hAnsi="宋体" w:eastAsia="宋体" w:cs="宋体"/>
                <w:color w:val="auto"/>
                <w:sz w:val="24"/>
                <w:szCs w:val="24"/>
              </w:rPr>
              <w:t>度</w:t>
            </w:r>
            <w:r>
              <w:rPr>
                <w:rFonts w:hint="eastAsia" w:ascii="宋体" w:hAnsi="宋体" w:cs="宋体"/>
                <w:color w:val="auto"/>
                <w:sz w:val="24"/>
                <w:szCs w:val="24"/>
                <w:u w:val="single"/>
                <w:lang w:val="en-US" w:eastAsia="zh-CN"/>
              </w:rPr>
              <w:t>55</w:t>
            </w:r>
            <w:r>
              <w:rPr>
                <w:rFonts w:hint="eastAsia" w:ascii="宋体" w:hAnsi="宋体" w:eastAsia="宋体" w:cs="宋体"/>
                <w:color w:val="auto"/>
                <w:sz w:val="24"/>
                <w:szCs w:val="24"/>
              </w:rPr>
              <w:t>分</w:t>
            </w:r>
            <w:r>
              <w:rPr>
                <w:rFonts w:hint="eastAsia" w:ascii="宋体" w:hAnsi="宋体" w:cs="宋体"/>
                <w:color w:val="auto"/>
                <w:sz w:val="24"/>
                <w:szCs w:val="24"/>
                <w:u w:val="single"/>
                <w:lang w:val="en-US" w:eastAsia="zh-CN"/>
              </w:rPr>
              <w:t>20.572</w:t>
            </w:r>
            <w:r>
              <w:rPr>
                <w:rFonts w:hint="eastAsia" w:ascii="宋体" w:hAnsi="宋体" w:eastAsia="宋体" w:cs="宋体"/>
                <w:color w:val="auto"/>
                <w:sz w:val="24"/>
                <w:szCs w:val="24"/>
              </w:rPr>
              <w:t>秒，</w:t>
            </w:r>
            <w:r>
              <w:rPr>
                <w:rFonts w:hint="eastAsia" w:ascii="宋体" w:hAnsi="宋体" w:eastAsia="宋体" w:cs="宋体"/>
                <w:color w:val="auto"/>
                <w:sz w:val="24"/>
                <w:szCs w:val="24"/>
                <w:u w:val="single"/>
                <w:lang w:val="en-US" w:eastAsia="zh-CN"/>
              </w:rPr>
              <w:t>25</w:t>
            </w:r>
            <w:r>
              <w:rPr>
                <w:rFonts w:hint="eastAsia" w:ascii="宋体" w:hAnsi="宋体" w:eastAsia="宋体" w:cs="宋体"/>
                <w:color w:val="auto"/>
                <w:sz w:val="24"/>
                <w:szCs w:val="24"/>
              </w:rPr>
              <w:t>度</w:t>
            </w:r>
            <w:r>
              <w:rPr>
                <w:rFonts w:hint="eastAsia" w:ascii="宋体" w:hAnsi="宋体" w:cs="宋体"/>
                <w:color w:val="auto"/>
                <w:sz w:val="24"/>
                <w:szCs w:val="24"/>
                <w:u w:val="single"/>
                <w:lang w:val="en-US" w:eastAsia="zh-CN"/>
              </w:rPr>
              <w:t>45</w:t>
            </w:r>
            <w:r>
              <w:rPr>
                <w:rFonts w:hint="eastAsia" w:ascii="宋体" w:hAnsi="宋体" w:eastAsia="宋体" w:cs="宋体"/>
                <w:color w:val="auto"/>
                <w:sz w:val="24"/>
                <w:szCs w:val="24"/>
              </w:rPr>
              <w:t>分</w:t>
            </w:r>
            <w:r>
              <w:rPr>
                <w:rFonts w:hint="eastAsia" w:ascii="宋体" w:hAnsi="宋体" w:cs="宋体"/>
                <w:color w:val="auto"/>
                <w:sz w:val="24"/>
                <w:szCs w:val="24"/>
                <w:u w:val="single"/>
                <w:lang w:val="en-US" w:eastAsia="zh-CN"/>
              </w:rPr>
              <w:t>52.951</w:t>
            </w:r>
            <w:r>
              <w:rPr>
                <w:rFonts w:hint="eastAsia" w:ascii="宋体" w:hAnsi="宋体" w:eastAsia="宋体" w:cs="宋体"/>
                <w:color w:val="auto"/>
                <w:sz w:val="24"/>
                <w:szCs w:val="24"/>
              </w:rPr>
              <w:t>秒）</w:t>
            </w:r>
          </w:p>
        </w:tc>
      </w:tr>
      <w:tr w14:paraId="16C98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95" w:type="dxa"/>
            <w:noWrap w:val="0"/>
            <w:tcMar>
              <w:top w:w="16" w:type="dxa"/>
              <w:left w:w="16" w:type="dxa"/>
              <w:right w:w="16" w:type="dxa"/>
            </w:tcMar>
            <w:vAlign w:val="center"/>
          </w:tcPr>
          <w:p w14:paraId="6FF4EAD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国民经济</w:t>
            </w:r>
          </w:p>
          <w:p w14:paraId="064200A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行业类别</w:t>
            </w:r>
          </w:p>
        </w:tc>
        <w:tc>
          <w:tcPr>
            <w:tcW w:w="1937" w:type="dxa"/>
            <w:noWrap w:val="0"/>
            <w:vAlign w:val="center"/>
          </w:tcPr>
          <w:p w14:paraId="6C2D9C98">
            <w:pPr>
              <w:keepNext w:val="0"/>
              <w:keepLines w:val="0"/>
              <w:widowControl/>
              <w:suppressLineNumbers w:val="0"/>
              <w:jc w:val="left"/>
              <w:rPr>
                <w:rFonts w:hint="eastAsia" w:ascii="宋体" w:hAnsi="宋体" w:eastAsia="宋体" w:cs="宋体"/>
                <w:color w:val="auto"/>
                <w:sz w:val="24"/>
                <w:szCs w:val="24"/>
              </w:rPr>
            </w:pPr>
            <w:r>
              <w:rPr>
                <w:rFonts w:hint="default" w:ascii="Times New Roman" w:hAnsi="Times New Roman" w:eastAsia="宋体" w:cs="Times New Roman"/>
                <w:color w:val="auto"/>
                <w:kern w:val="0"/>
                <w:sz w:val="24"/>
                <w:szCs w:val="24"/>
                <w:lang w:val="en-US" w:eastAsia="zh-CN" w:bidi="ar"/>
              </w:rPr>
              <w:t>Q84</w:t>
            </w:r>
            <w:r>
              <w:rPr>
                <w:rFonts w:hint="eastAsia" w:cs="Times New Roman"/>
                <w:color w:val="auto"/>
                <w:kern w:val="0"/>
                <w:sz w:val="24"/>
                <w:szCs w:val="24"/>
                <w:lang w:val="en-US" w:eastAsia="zh-CN" w:bidi="ar"/>
              </w:rPr>
              <w:t>32</w:t>
            </w:r>
            <w:r>
              <w:rPr>
                <w:rFonts w:hint="default"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专科疾病防治院</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所、站</w:t>
            </w:r>
            <w:r>
              <w:rPr>
                <w:rFonts w:hint="eastAsia" w:ascii="宋体" w:hAnsi="宋体" w:cs="宋体"/>
                <w:color w:val="auto"/>
                <w:kern w:val="0"/>
                <w:sz w:val="24"/>
                <w:szCs w:val="24"/>
                <w:lang w:val="en-US" w:eastAsia="zh-CN" w:bidi="ar"/>
              </w:rPr>
              <w:t>）</w:t>
            </w:r>
          </w:p>
        </w:tc>
        <w:tc>
          <w:tcPr>
            <w:tcW w:w="2447" w:type="dxa"/>
            <w:noWrap w:val="0"/>
            <w:vAlign w:val="center"/>
          </w:tcPr>
          <w:p w14:paraId="4D5EDF19">
            <w:pPr>
              <w:adjustRightInd w:val="0"/>
              <w:snapToGrid w:val="0"/>
              <w:jc w:val="center"/>
              <w:rPr>
                <w:rFonts w:hint="eastAsia" w:ascii="宋体" w:hAnsi="宋体" w:eastAsia="宋体" w:cs="宋体"/>
                <w:color w:val="auto"/>
                <w:sz w:val="24"/>
                <w:szCs w:val="24"/>
              </w:rPr>
            </w:pPr>
            <w:bookmarkStart w:id="4" w:name="_Hlk49843745"/>
            <w:r>
              <w:rPr>
                <w:rFonts w:hint="eastAsia" w:ascii="宋体" w:hAnsi="宋体" w:eastAsia="宋体" w:cs="宋体"/>
                <w:color w:val="auto"/>
                <w:sz w:val="24"/>
                <w:szCs w:val="24"/>
              </w:rPr>
              <w:t>建设项目</w:t>
            </w:r>
          </w:p>
          <w:p w14:paraId="33EEB8C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行业类别</w:t>
            </w:r>
            <w:bookmarkEnd w:id="4"/>
          </w:p>
        </w:tc>
        <w:tc>
          <w:tcPr>
            <w:tcW w:w="3391" w:type="dxa"/>
            <w:noWrap w:val="0"/>
            <w:vAlign w:val="center"/>
          </w:tcPr>
          <w:p w14:paraId="12FF7124">
            <w:pPr>
              <w:keepNext w:val="0"/>
              <w:keepLines w:val="0"/>
              <w:widowControl/>
              <w:suppressLineNumbers w:val="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四十九、卫生</w:t>
            </w:r>
            <w:r>
              <w:rPr>
                <w:rFonts w:hint="default" w:ascii="Times New Roman" w:hAnsi="Times New Roman" w:eastAsia="宋体" w:cs="Times New Roman"/>
                <w:color w:val="auto"/>
                <w:kern w:val="0"/>
                <w:sz w:val="24"/>
                <w:szCs w:val="24"/>
                <w:lang w:val="en-US" w:eastAsia="zh-CN" w:bidi="ar"/>
              </w:rPr>
              <w:t xml:space="preserve">84 </w:t>
            </w:r>
            <w:r>
              <w:rPr>
                <w:rFonts w:hint="eastAsia" w:ascii="宋体" w:hAnsi="宋体" w:eastAsia="宋体" w:cs="宋体"/>
                <w:color w:val="auto"/>
                <w:kern w:val="0"/>
                <w:sz w:val="24"/>
                <w:szCs w:val="24"/>
                <w:lang w:val="en-US" w:eastAsia="zh-CN" w:bidi="ar"/>
              </w:rPr>
              <w:t>专科疾病防治院（所、站）</w:t>
            </w:r>
            <w:r>
              <w:rPr>
                <w:rFonts w:hint="default" w:ascii="Times New Roman" w:hAnsi="Times New Roman" w:eastAsia="宋体" w:cs="Times New Roman"/>
                <w:color w:val="auto"/>
                <w:kern w:val="0"/>
                <w:sz w:val="24"/>
                <w:szCs w:val="24"/>
                <w:lang w:val="en-US" w:eastAsia="zh-CN" w:bidi="ar"/>
              </w:rPr>
              <w:t>84</w:t>
            </w:r>
            <w:r>
              <w:rPr>
                <w:rFonts w:hint="eastAsia" w:cs="Times New Roman"/>
                <w:color w:val="auto"/>
                <w:kern w:val="0"/>
                <w:sz w:val="24"/>
                <w:szCs w:val="24"/>
                <w:lang w:val="en-US" w:eastAsia="zh-CN" w:bidi="ar"/>
              </w:rPr>
              <w:t>32</w:t>
            </w:r>
            <w:r>
              <w:rPr>
                <w:rFonts w:hint="eastAsia" w:ascii="宋体" w:hAnsi="宋体" w:eastAsia="宋体" w:cs="宋体"/>
                <w:color w:val="auto"/>
                <w:kern w:val="0"/>
                <w:sz w:val="24"/>
                <w:szCs w:val="24"/>
                <w:lang w:val="en-US" w:eastAsia="zh-CN" w:bidi="ar"/>
              </w:rPr>
              <w:t>－其他（住院床位</w:t>
            </w:r>
            <w:r>
              <w:rPr>
                <w:rFonts w:hint="default" w:ascii="Times New Roman" w:hAnsi="Times New Roman" w:eastAsia="宋体" w:cs="Times New Roman"/>
                <w:color w:val="auto"/>
                <w:kern w:val="0"/>
                <w:sz w:val="24"/>
                <w:szCs w:val="24"/>
                <w:lang w:val="en-US" w:eastAsia="zh-CN" w:bidi="ar"/>
              </w:rPr>
              <w:t>20</w:t>
            </w:r>
            <w:r>
              <w:rPr>
                <w:rFonts w:hint="eastAsia" w:ascii="宋体" w:hAnsi="宋体" w:eastAsia="宋体" w:cs="宋体"/>
                <w:color w:val="auto"/>
                <w:kern w:val="0"/>
                <w:sz w:val="24"/>
                <w:szCs w:val="24"/>
                <w:lang w:val="en-US" w:eastAsia="zh-CN" w:bidi="ar"/>
              </w:rPr>
              <w:t>张以下的除外）</w:t>
            </w:r>
          </w:p>
        </w:tc>
      </w:tr>
      <w:tr w14:paraId="59F59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95" w:type="dxa"/>
            <w:noWrap w:val="0"/>
            <w:tcMar>
              <w:top w:w="16" w:type="dxa"/>
              <w:left w:w="16" w:type="dxa"/>
              <w:right w:w="16" w:type="dxa"/>
            </w:tcMar>
            <w:vAlign w:val="center"/>
          </w:tcPr>
          <w:p w14:paraId="6BD42C0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建设性质</w:t>
            </w:r>
          </w:p>
        </w:tc>
        <w:tc>
          <w:tcPr>
            <w:tcW w:w="1937" w:type="dxa"/>
            <w:noWrap w:val="0"/>
            <w:vAlign w:val="center"/>
          </w:tcPr>
          <w:p w14:paraId="4CF864D4">
            <w:pPr>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新建（迁建）</w:t>
            </w:r>
          </w:p>
          <w:p w14:paraId="46AD68C6">
            <w:pPr>
              <w:jc w:val="left"/>
              <w:rPr>
                <w:rFonts w:hint="eastAsia" w:ascii="宋体" w:hAnsi="宋体" w:eastAsia="宋体" w:cs="宋体"/>
                <w:color w:val="auto"/>
                <w:sz w:val="24"/>
                <w:szCs w:val="24"/>
              </w:rPr>
            </w:pPr>
            <w:r>
              <w:rPr>
                <w:rFonts w:hint="eastAsia" w:ascii="宋体" w:hAnsi="宋体" w:eastAsia="宋体" w:cs="宋体"/>
                <w:color w:val="auto"/>
                <w:sz w:val="24"/>
                <w:szCs w:val="24"/>
              </w:rPr>
              <w:t>□改建</w:t>
            </w:r>
          </w:p>
          <w:p w14:paraId="2854144E">
            <w:pPr>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扩建</w:t>
            </w:r>
          </w:p>
          <w:p w14:paraId="35A1EDCC">
            <w:pPr>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□技术改造</w:t>
            </w:r>
          </w:p>
        </w:tc>
        <w:tc>
          <w:tcPr>
            <w:tcW w:w="2447" w:type="dxa"/>
            <w:noWrap w:val="0"/>
            <w:vAlign w:val="center"/>
          </w:tcPr>
          <w:p w14:paraId="663AB13A">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w:t>
            </w:r>
          </w:p>
          <w:p w14:paraId="0B5F2CB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申报情形</w:t>
            </w:r>
          </w:p>
        </w:tc>
        <w:tc>
          <w:tcPr>
            <w:tcW w:w="3391" w:type="dxa"/>
            <w:noWrap w:val="0"/>
            <w:vAlign w:val="center"/>
          </w:tcPr>
          <w:p w14:paraId="789FD347">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首次申报项目</w:t>
            </w:r>
          </w:p>
          <w:p w14:paraId="07911F6B">
            <w:pPr>
              <w:jc w:val="left"/>
              <w:rPr>
                <w:rFonts w:hint="eastAsia" w:ascii="宋体" w:hAnsi="宋体" w:eastAsia="宋体" w:cs="宋体"/>
                <w:color w:val="auto"/>
                <w:sz w:val="24"/>
                <w:szCs w:val="24"/>
              </w:rPr>
            </w:pPr>
            <w:r>
              <w:rPr>
                <w:rFonts w:hint="eastAsia" w:ascii="宋体" w:hAnsi="宋体" w:eastAsia="宋体" w:cs="宋体"/>
                <w:color w:val="auto"/>
                <w:sz w:val="24"/>
                <w:szCs w:val="24"/>
              </w:rPr>
              <w:t>□不予批准后再次申报项目</w:t>
            </w:r>
          </w:p>
          <w:p w14:paraId="2B0DD83D">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超五年重新审核项目</w:t>
            </w:r>
          </w:p>
          <w:p w14:paraId="4C004887">
            <w:pPr>
              <w:jc w:val="left"/>
              <w:rPr>
                <w:rFonts w:hint="eastAsia" w:ascii="宋体" w:hAnsi="宋体" w:eastAsia="宋体" w:cs="宋体"/>
                <w:color w:val="auto"/>
                <w:sz w:val="24"/>
                <w:szCs w:val="24"/>
              </w:rPr>
            </w:pPr>
            <w:r>
              <w:rPr>
                <w:rFonts w:hint="eastAsia" w:ascii="宋体" w:hAnsi="宋体" w:eastAsia="宋体" w:cs="宋体"/>
                <w:color w:val="auto"/>
                <w:sz w:val="24"/>
                <w:szCs w:val="24"/>
              </w:rPr>
              <w:t>□重大变动重新报批项目</w:t>
            </w:r>
          </w:p>
        </w:tc>
      </w:tr>
      <w:tr w14:paraId="4A1EC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5" w:type="dxa"/>
            <w:noWrap w:val="0"/>
            <w:tcMar>
              <w:top w:w="16" w:type="dxa"/>
              <w:left w:w="16" w:type="dxa"/>
              <w:right w:w="16" w:type="dxa"/>
            </w:tcMar>
            <w:vAlign w:val="center"/>
          </w:tcPr>
          <w:p w14:paraId="25E98DD2">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项目审批（核准/</w:t>
            </w:r>
          </w:p>
          <w:p w14:paraId="38F0125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备案）部门（选填）</w:t>
            </w:r>
          </w:p>
        </w:tc>
        <w:tc>
          <w:tcPr>
            <w:tcW w:w="1937" w:type="dxa"/>
            <w:noWrap w:val="0"/>
            <w:vAlign w:val="center"/>
          </w:tcPr>
          <w:p w14:paraId="5D9D53D4">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2447" w:type="dxa"/>
            <w:noWrap w:val="0"/>
            <w:vAlign w:val="center"/>
          </w:tcPr>
          <w:p w14:paraId="55A1D0F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项目审批（核准/</w:t>
            </w:r>
          </w:p>
          <w:p w14:paraId="55040BF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备案）文号（选填）</w:t>
            </w:r>
          </w:p>
        </w:tc>
        <w:tc>
          <w:tcPr>
            <w:tcW w:w="3391" w:type="dxa"/>
            <w:noWrap w:val="0"/>
            <w:vAlign w:val="center"/>
          </w:tcPr>
          <w:p w14:paraId="1406ABEE">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B86F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132236D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总投资（万元）</w:t>
            </w:r>
          </w:p>
        </w:tc>
        <w:tc>
          <w:tcPr>
            <w:tcW w:w="1937" w:type="dxa"/>
            <w:noWrap w:val="0"/>
            <w:vAlign w:val="center"/>
          </w:tcPr>
          <w:p w14:paraId="11FECA9D">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200</w:t>
            </w:r>
          </w:p>
        </w:tc>
        <w:tc>
          <w:tcPr>
            <w:tcW w:w="2447" w:type="dxa"/>
            <w:noWrap w:val="0"/>
            <w:tcMar>
              <w:top w:w="16" w:type="dxa"/>
              <w:left w:w="16" w:type="dxa"/>
              <w:right w:w="16" w:type="dxa"/>
            </w:tcMar>
            <w:vAlign w:val="center"/>
          </w:tcPr>
          <w:p w14:paraId="68AFD63C">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环保投资（万元）</w:t>
            </w:r>
          </w:p>
        </w:tc>
        <w:tc>
          <w:tcPr>
            <w:tcW w:w="3391" w:type="dxa"/>
            <w:noWrap w:val="0"/>
            <w:vAlign w:val="center"/>
          </w:tcPr>
          <w:p w14:paraId="032B8E22">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39.9</w:t>
            </w:r>
          </w:p>
        </w:tc>
      </w:tr>
      <w:tr w14:paraId="4D39F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4A8CF06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环保投资占比（%）</w:t>
            </w:r>
          </w:p>
        </w:tc>
        <w:tc>
          <w:tcPr>
            <w:tcW w:w="1937" w:type="dxa"/>
            <w:noWrap w:val="0"/>
            <w:vAlign w:val="center"/>
          </w:tcPr>
          <w:p w14:paraId="602CE869">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19.95</w:t>
            </w:r>
          </w:p>
        </w:tc>
        <w:tc>
          <w:tcPr>
            <w:tcW w:w="2447" w:type="dxa"/>
            <w:noWrap w:val="0"/>
            <w:tcMar>
              <w:top w:w="16" w:type="dxa"/>
              <w:left w:w="16" w:type="dxa"/>
              <w:right w:w="16" w:type="dxa"/>
            </w:tcMar>
            <w:vAlign w:val="center"/>
          </w:tcPr>
          <w:p w14:paraId="23E19E6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施工工期</w:t>
            </w:r>
          </w:p>
        </w:tc>
        <w:tc>
          <w:tcPr>
            <w:tcW w:w="3391" w:type="dxa"/>
            <w:noWrap w:val="0"/>
            <w:vAlign w:val="center"/>
          </w:tcPr>
          <w:p w14:paraId="54AFF74F">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个月</w:t>
            </w:r>
          </w:p>
        </w:tc>
      </w:tr>
      <w:tr w14:paraId="3053F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229729C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是否开工建设</w:t>
            </w:r>
          </w:p>
        </w:tc>
        <w:tc>
          <w:tcPr>
            <w:tcW w:w="1937" w:type="dxa"/>
            <w:noWrap w:val="0"/>
            <w:vAlign w:val="center"/>
          </w:tcPr>
          <w:p w14:paraId="3F48B82D">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否</w:t>
            </w:r>
          </w:p>
          <w:p w14:paraId="00A13882">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是：</w:t>
            </w:r>
            <w:r>
              <w:rPr>
                <w:rFonts w:hint="eastAsia" w:ascii="宋体" w:hAnsi="宋体" w:eastAsia="宋体" w:cs="宋体"/>
                <w:color w:val="auto"/>
                <w:sz w:val="24"/>
                <w:szCs w:val="24"/>
                <w:u w:val="single"/>
              </w:rPr>
              <w:t xml:space="preserve">             </w:t>
            </w:r>
          </w:p>
        </w:tc>
        <w:tc>
          <w:tcPr>
            <w:tcW w:w="2447" w:type="dxa"/>
            <w:noWrap w:val="0"/>
            <w:tcMar>
              <w:top w:w="16" w:type="dxa"/>
              <w:left w:w="16" w:type="dxa"/>
              <w:right w:w="16" w:type="dxa"/>
            </w:tcMar>
            <w:vAlign w:val="center"/>
          </w:tcPr>
          <w:p w14:paraId="065233A2">
            <w:pPr>
              <w:adjustRightInd w:val="0"/>
              <w:snapToGrid w:val="0"/>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用地（用海）</w:t>
            </w:r>
          </w:p>
          <w:p w14:paraId="5BE66E1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面积（m</w:t>
            </w:r>
            <w:r>
              <w:rPr>
                <w:rFonts w:hint="eastAsia" w:ascii="宋体" w:hAnsi="宋体" w:eastAsia="宋体" w:cs="宋体"/>
                <w:color w:val="auto"/>
                <w:spacing w:val="-6"/>
                <w:sz w:val="24"/>
                <w:szCs w:val="24"/>
                <w:vertAlign w:val="superscript"/>
              </w:rPr>
              <w:t>2</w:t>
            </w:r>
            <w:r>
              <w:rPr>
                <w:rFonts w:hint="eastAsia" w:ascii="宋体" w:hAnsi="宋体" w:eastAsia="宋体" w:cs="宋体"/>
                <w:color w:val="auto"/>
                <w:spacing w:val="-6"/>
                <w:sz w:val="24"/>
                <w:szCs w:val="24"/>
              </w:rPr>
              <w:t>）</w:t>
            </w:r>
          </w:p>
        </w:tc>
        <w:tc>
          <w:tcPr>
            <w:tcW w:w="3391" w:type="dxa"/>
            <w:noWrap w:val="0"/>
            <w:vAlign w:val="center"/>
          </w:tcPr>
          <w:p w14:paraId="1535F4BE">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3029.96</w:t>
            </w:r>
          </w:p>
        </w:tc>
      </w:tr>
      <w:tr w14:paraId="7803E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11018C65">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专项评价设置情况</w:t>
            </w:r>
          </w:p>
        </w:tc>
        <w:tc>
          <w:tcPr>
            <w:tcW w:w="7775" w:type="dxa"/>
            <w:gridSpan w:val="3"/>
            <w:noWrap w:val="0"/>
            <w:vAlign w:val="center"/>
          </w:tcPr>
          <w:p w14:paraId="708262F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对照《建设项目环境影响报告表编制技术指南》（污染影响类）（试行）专项设置情况表分析，</w:t>
            </w:r>
            <w:r>
              <w:rPr>
                <w:rFonts w:hint="default" w:ascii="Times New Roman" w:hAnsi="Times New Roman" w:cs="Times New Roman"/>
                <w:color w:val="auto"/>
                <w:kern w:val="0"/>
                <w:sz w:val="24"/>
                <w:lang w:val="en-US" w:eastAsia="zh-CN"/>
              </w:rPr>
              <w:t>根据指南，原则上污染影响类建设项目不开展地下水专项评价，但是涉及敏感目标的，仍需开展</w:t>
            </w:r>
            <w:r>
              <w:rPr>
                <w:rFonts w:hint="default" w:ascii="Times New Roman" w:hAnsi="Times New Roman" w:cs="Times New Roman"/>
                <w:color w:val="auto"/>
                <w:kern w:val="0"/>
                <w:sz w:val="24"/>
              </w:rPr>
              <w:t>专项</w:t>
            </w:r>
            <w:r>
              <w:rPr>
                <w:rFonts w:hint="default" w:ascii="Times New Roman" w:hAnsi="Times New Roman" w:cs="Times New Roman"/>
                <w:color w:val="auto"/>
                <w:kern w:val="0"/>
                <w:sz w:val="24"/>
                <w:lang w:eastAsia="zh-CN"/>
              </w:rPr>
              <w:t>评价</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本项目不</w:t>
            </w:r>
            <w:r>
              <w:rPr>
                <w:rFonts w:hint="default" w:ascii="Times New Roman" w:hAnsi="Times New Roman" w:cs="Times New Roman"/>
                <w:color w:val="auto"/>
                <w:kern w:val="0"/>
                <w:sz w:val="24"/>
                <w:lang w:eastAsia="zh-CN"/>
              </w:rPr>
              <w:t>涉及敏感目标评</w:t>
            </w:r>
            <w:r>
              <w:rPr>
                <w:rFonts w:hint="default" w:ascii="Times New Roman" w:hAnsi="Times New Roman" w:cs="Times New Roman"/>
                <w:color w:val="auto"/>
                <w:kern w:val="0"/>
                <w:sz w:val="24"/>
              </w:rPr>
              <w:t>价</w:t>
            </w:r>
            <w:r>
              <w:rPr>
                <w:rFonts w:hint="default" w:ascii="Times New Roman" w:hAnsi="Times New Roman" w:cs="Times New Roman"/>
                <w:color w:val="auto"/>
                <w:kern w:val="0"/>
                <w:sz w:val="24"/>
                <w:lang w:eastAsia="zh-CN"/>
              </w:rPr>
              <w:t>，故无需开展地下水专项评价</w:t>
            </w:r>
            <w:r>
              <w:rPr>
                <w:rFonts w:hint="default" w:ascii="Times New Roman" w:hAnsi="Times New Roman" w:cs="Times New Roman"/>
                <w:color w:val="auto"/>
                <w:kern w:val="0"/>
                <w:sz w:val="24"/>
              </w:rPr>
              <w:t>。</w:t>
            </w:r>
          </w:p>
          <w:p w14:paraId="664F74D4">
            <w:pPr>
              <w:autoSpaceDE w:val="0"/>
              <w:autoSpaceDN w:val="0"/>
              <w:adjustRightInd w:val="0"/>
              <w:snapToGrid w:val="0"/>
              <w:spacing w:line="36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表1-1</w:t>
            </w:r>
            <w:r>
              <w:rPr>
                <w:rFonts w:hint="eastAsia" w:ascii="Times New Roman" w:hAnsi="Times New Roman" w:cs="Times New Roman"/>
                <w:b/>
                <w:color w:val="auto"/>
                <w:kern w:val="0"/>
                <w:sz w:val="21"/>
                <w:szCs w:val="21"/>
                <w:lang w:val="en-US" w:eastAsia="zh-CN"/>
              </w:rPr>
              <w:t xml:space="preserve">  </w:t>
            </w:r>
            <w:r>
              <w:rPr>
                <w:rFonts w:hint="default" w:ascii="Times New Roman" w:hAnsi="Times New Roman" w:cs="Times New Roman"/>
                <w:b/>
                <w:bCs/>
                <w:color w:val="auto"/>
                <w:kern w:val="0"/>
                <w:sz w:val="21"/>
                <w:szCs w:val="21"/>
              </w:rPr>
              <w:t>项目专项设置情况</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0"/>
              <w:gridCol w:w="2842"/>
              <w:gridCol w:w="2470"/>
              <w:gridCol w:w="1043"/>
            </w:tblGrid>
            <w:tr w14:paraId="20C7F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pct"/>
                  <w:noWrap w:val="0"/>
                  <w:vAlign w:val="center"/>
                </w:tcPr>
                <w:p w14:paraId="60CDE7B6">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专项评价的类别</w:t>
                  </w:r>
                </w:p>
              </w:tc>
              <w:tc>
                <w:tcPr>
                  <w:tcW w:w="1861" w:type="pct"/>
                  <w:noWrap w:val="0"/>
                  <w:vAlign w:val="center"/>
                </w:tcPr>
                <w:p w14:paraId="75F8463A">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设置原则</w:t>
                  </w:r>
                </w:p>
              </w:tc>
              <w:tc>
                <w:tcPr>
                  <w:tcW w:w="1617" w:type="pct"/>
                  <w:noWrap w:val="0"/>
                  <w:vAlign w:val="center"/>
                </w:tcPr>
                <w:p w14:paraId="0B3BC865">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683" w:type="pct"/>
                  <w:noWrap w:val="0"/>
                  <w:vAlign w:val="center"/>
                </w:tcPr>
                <w:p w14:paraId="511D4B5B">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专章设置情况</w:t>
                  </w:r>
                </w:p>
              </w:tc>
            </w:tr>
            <w:tr w14:paraId="30504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321CBCDB">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rPr>
                    <w:t>大气</w:t>
                  </w:r>
                </w:p>
              </w:tc>
              <w:tc>
                <w:tcPr>
                  <w:tcW w:w="1861" w:type="pct"/>
                  <w:noWrap w:val="0"/>
                  <w:vAlign w:val="center"/>
                </w:tcPr>
                <w:p w14:paraId="0127EA1D">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排放废气含有毒有害污染物</w:t>
                  </w:r>
                  <w:r>
                    <w:rPr>
                      <w:rFonts w:hint="default" w:ascii="Times New Roman" w:hAnsi="Times New Roman" w:cs="Times New Roman"/>
                      <w:color w:val="auto"/>
                      <w:kern w:val="0"/>
                      <w:szCs w:val="21"/>
                      <w:vertAlign w:val="superscript"/>
                    </w:rPr>
                    <w:t>1</w:t>
                  </w:r>
                  <w:r>
                    <w:rPr>
                      <w:rFonts w:hint="default" w:ascii="Times New Roman" w:hAnsi="Times New Roman" w:cs="Times New Roman"/>
                      <w:color w:val="auto"/>
                      <w:kern w:val="0"/>
                      <w:szCs w:val="21"/>
                    </w:rPr>
                    <w:t>、二噁英、苯并[a]芘、氰化物、氯气且厂界外500米范围内有环境空气保护目标</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的建设项目</w:t>
                  </w:r>
                </w:p>
              </w:tc>
              <w:tc>
                <w:tcPr>
                  <w:tcW w:w="1617" w:type="pct"/>
                  <w:noWrap w:val="0"/>
                  <w:vAlign w:val="center"/>
                </w:tcPr>
                <w:p w14:paraId="70782A84">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项目排放废气中不含有毒有害污染物、二英、苯并[a]芘、氰化物、氯气，故不设置大气专项评价。</w:t>
                  </w:r>
                </w:p>
              </w:tc>
              <w:tc>
                <w:tcPr>
                  <w:tcW w:w="683" w:type="pct"/>
                  <w:noWrap w:val="0"/>
                  <w:vAlign w:val="center"/>
                </w:tcPr>
                <w:p w14:paraId="303F2569">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rPr>
                    <w:t>不设置</w:t>
                  </w:r>
                </w:p>
              </w:tc>
            </w:tr>
            <w:tr w14:paraId="286A0C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1D5006C7">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地表水</w:t>
                  </w:r>
                </w:p>
              </w:tc>
              <w:tc>
                <w:tcPr>
                  <w:tcW w:w="1861" w:type="pct"/>
                  <w:noWrap w:val="0"/>
                  <w:vAlign w:val="center"/>
                </w:tcPr>
                <w:p w14:paraId="11C78027">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新增工业废水直排建设项目（槽罐车外送污水处理厂的除外）；新增废水直排的污水集中处理厂。</w:t>
                  </w:r>
                </w:p>
              </w:tc>
              <w:tc>
                <w:tcPr>
                  <w:tcW w:w="1617" w:type="pct"/>
                  <w:noWrap w:val="0"/>
                  <w:vAlign w:val="center"/>
                </w:tcPr>
                <w:p w14:paraId="4FB3AFF0">
                  <w:pPr>
                    <w:autoSpaceDE w:val="0"/>
                    <w:autoSpaceDN w:val="0"/>
                    <w:adjustRightInd w:val="0"/>
                    <w:snapToGrid w:val="0"/>
                    <w:jc w:val="both"/>
                    <w:rPr>
                      <w:rFonts w:hint="default" w:ascii="Times New Roman" w:hAnsi="Times New Roman" w:eastAsia="宋体" w:cs="Times New Roman"/>
                      <w:color w:val="auto"/>
                      <w:kern w:val="0"/>
                      <w:lang w:val="en-US" w:eastAsia="zh-CN"/>
                    </w:rPr>
                  </w:pPr>
                  <w:r>
                    <w:rPr>
                      <w:rFonts w:hint="eastAsia" w:cs="Times New Roman"/>
                      <w:color w:val="auto"/>
                      <w:kern w:val="0"/>
                      <w:sz w:val="21"/>
                      <w:szCs w:val="21"/>
                      <w:vertAlign w:val="baseline"/>
                      <w:lang w:val="en-US" w:eastAsia="zh-CN"/>
                    </w:rPr>
                    <w:t>项目为精神病医院项目，项目产生的</w:t>
                  </w:r>
                  <w:r>
                    <w:rPr>
                      <w:rFonts w:hint="eastAsia" w:ascii="Times New Roman" w:hAnsi="Times New Roman" w:eastAsia="宋体" w:cs="Times New Roman"/>
                      <w:color w:val="auto"/>
                      <w:kern w:val="0"/>
                      <w:sz w:val="21"/>
                      <w:szCs w:val="21"/>
                      <w:vertAlign w:val="baseline"/>
                      <w:lang w:val="en-US" w:eastAsia="zh-CN"/>
                    </w:rPr>
                    <w:t>废水经自建的污水处理站处理达标后排入市政污水管网，最终进入倘甸镇污水处理厂。</w:t>
                  </w:r>
                </w:p>
              </w:tc>
              <w:tc>
                <w:tcPr>
                  <w:tcW w:w="683" w:type="pct"/>
                  <w:noWrap w:val="0"/>
                  <w:vAlign w:val="center"/>
                </w:tcPr>
                <w:p w14:paraId="1B84320C">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r w14:paraId="1691A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76C39217">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环境风险</w:t>
                  </w:r>
                </w:p>
              </w:tc>
              <w:tc>
                <w:tcPr>
                  <w:tcW w:w="1861" w:type="pct"/>
                  <w:noWrap w:val="0"/>
                  <w:vAlign w:val="center"/>
                </w:tcPr>
                <w:p w14:paraId="2654F264">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有毒有害和易燃易爆危险物质存储量超过临界量</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的建设项目</w:t>
                  </w:r>
                </w:p>
              </w:tc>
              <w:tc>
                <w:tcPr>
                  <w:tcW w:w="1617" w:type="pct"/>
                  <w:noWrap w:val="0"/>
                  <w:vAlign w:val="center"/>
                </w:tcPr>
                <w:p w14:paraId="1E380D81">
                  <w:pPr>
                    <w:autoSpaceDE w:val="0"/>
                    <w:autoSpaceDN w:val="0"/>
                    <w:adjustRightInd w:val="0"/>
                    <w:snapToGrid w:val="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b w:val="0"/>
                      <w:bCs w:val="0"/>
                      <w:color w:val="auto"/>
                      <w:kern w:val="0"/>
                      <w:lang w:val="en-US" w:eastAsia="zh-CN"/>
                    </w:rPr>
                    <w:t>项目危险物质储存量未超过临界量，故不设置环境风险专项评价。</w:t>
                  </w:r>
                </w:p>
              </w:tc>
              <w:tc>
                <w:tcPr>
                  <w:tcW w:w="683" w:type="pct"/>
                  <w:noWrap w:val="0"/>
                  <w:vAlign w:val="center"/>
                </w:tcPr>
                <w:p w14:paraId="701B26D1">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r w14:paraId="6DF7D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0397D7F1">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生态</w:t>
                  </w:r>
                </w:p>
              </w:tc>
              <w:tc>
                <w:tcPr>
                  <w:tcW w:w="1861" w:type="pct"/>
                  <w:noWrap w:val="0"/>
                  <w:vAlign w:val="center"/>
                </w:tcPr>
                <w:p w14:paraId="02A81484">
                  <w:pPr>
                    <w:autoSpaceDE w:val="0"/>
                    <w:autoSpaceDN w:val="0"/>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取水口下游500米范围内有重要水生生物的自然产卵场、索饵场、越冬场和洄游通道的新增河道取水的污染类建设项目</w:t>
                  </w:r>
                </w:p>
              </w:tc>
              <w:tc>
                <w:tcPr>
                  <w:tcW w:w="1617" w:type="pct"/>
                  <w:noWrap w:val="0"/>
                  <w:vAlign w:val="center"/>
                </w:tcPr>
                <w:p w14:paraId="658F5322">
                  <w:pPr>
                    <w:jc w:val="both"/>
                    <w:rPr>
                      <w:rFonts w:hint="default" w:ascii="Times New Roman" w:hAnsi="Times New Roman" w:cs="Times New Roman"/>
                      <w:color w:val="auto"/>
                    </w:rPr>
                  </w:pPr>
                  <w:r>
                    <w:rPr>
                      <w:rFonts w:hint="default" w:ascii="Times New Roman" w:hAnsi="Times New Roman" w:eastAsia="宋体" w:cs="Times New Roman"/>
                      <w:b w:val="0"/>
                      <w:bCs w:val="0"/>
                      <w:color w:val="auto"/>
                      <w:kern w:val="0"/>
                      <w:lang w:val="en-US" w:eastAsia="zh-CN"/>
                    </w:rPr>
                    <w:t>项目不属于取水口下游500米范围内有重要水生生物的自然产卵场、索饵场、越冬场和洄游通道的新增河道取水的污染类建设项目，故不设置生态专项评价。</w:t>
                  </w:r>
                </w:p>
              </w:tc>
              <w:tc>
                <w:tcPr>
                  <w:tcW w:w="683" w:type="pct"/>
                  <w:noWrap w:val="0"/>
                  <w:vAlign w:val="center"/>
                </w:tcPr>
                <w:p w14:paraId="0C3B685C">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r w14:paraId="73A74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63C1EA83">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海洋</w:t>
                  </w:r>
                </w:p>
              </w:tc>
              <w:tc>
                <w:tcPr>
                  <w:tcW w:w="1861" w:type="pct"/>
                  <w:noWrap w:val="0"/>
                  <w:vAlign w:val="center"/>
                </w:tcPr>
                <w:p w14:paraId="63E4A1EF">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直接向海排放污染物的海洋工程建设项目</w:t>
                  </w:r>
                </w:p>
              </w:tc>
              <w:tc>
                <w:tcPr>
                  <w:tcW w:w="1617" w:type="pct"/>
                  <w:noWrap w:val="0"/>
                  <w:vAlign w:val="center"/>
                </w:tcPr>
                <w:p w14:paraId="59A52A73">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本项目不向海洋排放污染物。</w:t>
                  </w:r>
                </w:p>
              </w:tc>
              <w:tc>
                <w:tcPr>
                  <w:tcW w:w="683" w:type="pct"/>
                  <w:noWrap w:val="0"/>
                  <w:vAlign w:val="center"/>
                </w:tcPr>
                <w:p w14:paraId="1957D8FF">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bl>
          <w:p w14:paraId="79EF9DA7">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注：1.废气中有毒有害污染物指纳入《有毒有害大气污染物名录》的污染物（不包括无排放标准的污染物）。</w:t>
            </w:r>
          </w:p>
          <w:p w14:paraId="1446D98E">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2.环境空气保护目标指自然保护区、风景名胜区、居住区、文化区和农村地区中人群较集中的区域。</w:t>
            </w:r>
          </w:p>
          <w:p w14:paraId="4C891C02">
            <w:pPr>
              <w:autoSpaceDE w:val="0"/>
              <w:autoSpaceDN w:val="0"/>
              <w:adjustRightInd w:val="0"/>
              <w:snapToGrid w:val="0"/>
              <w:jc w:val="center"/>
              <w:rPr>
                <w:rFonts w:hint="eastAsia" w:ascii="宋体" w:hAnsi="宋体" w:eastAsia="宋体" w:cs="宋体"/>
                <w:color w:val="auto"/>
                <w:kern w:val="0"/>
                <w:sz w:val="24"/>
                <w:szCs w:val="24"/>
                <w:lang w:val="en-US" w:eastAsia="zh-CN"/>
              </w:rPr>
            </w:pPr>
            <w:r>
              <w:rPr>
                <w:rFonts w:hint="default" w:ascii="Times New Roman" w:hAnsi="Times New Roman" w:cs="Times New Roman"/>
                <w:color w:val="auto"/>
                <w:kern w:val="0"/>
                <w:szCs w:val="21"/>
              </w:rPr>
              <w:t>3.临界量及其计算方法可参考《建设项目环境风险评价技术导则》（HJ169）附录B、附录C。</w:t>
            </w:r>
          </w:p>
        </w:tc>
      </w:tr>
      <w:tr w14:paraId="490A9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31EF25AA">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规划情况</w:t>
            </w:r>
          </w:p>
        </w:tc>
        <w:tc>
          <w:tcPr>
            <w:tcW w:w="7775" w:type="dxa"/>
            <w:gridSpan w:val="3"/>
            <w:noWrap w:val="0"/>
            <w:vAlign w:val="center"/>
          </w:tcPr>
          <w:p w14:paraId="712568F5">
            <w:pPr>
              <w:keepNext w:val="0"/>
              <w:keepLines w:val="0"/>
              <w:widowControl/>
              <w:suppressLineNumbers w:val="0"/>
              <w:spacing w:line="360" w:lineRule="auto"/>
              <w:ind w:left="0" w:leftChars="0" w:right="0" w:rightChars="0"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规划名称：《寻甸回族彝族自治县倘甸镇国土空间规划(2021-2035年)》草案公示</w:t>
            </w:r>
          </w:p>
          <w:p w14:paraId="23EA107B">
            <w:pPr>
              <w:keepNext w:val="0"/>
              <w:keepLines w:val="0"/>
              <w:widowControl/>
              <w:suppressLineNumbers w:val="0"/>
              <w:spacing w:line="360" w:lineRule="auto"/>
              <w:ind w:left="0" w:leftChars="0" w:right="0" w:rightChars="0" w:firstLine="0" w:firstLineChars="0"/>
              <w:jc w:val="both"/>
              <w:rPr>
                <w:rFonts w:hint="default" w:cs="Times New Roman"/>
                <w:color w:val="auto"/>
                <w:sz w:val="24"/>
                <w:szCs w:val="24"/>
                <w:lang w:val="en-US" w:eastAsia="zh-CN"/>
              </w:rPr>
            </w:pPr>
            <w:r>
              <w:rPr>
                <w:rFonts w:hint="eastAsia" w:cs="Times New Roman"/>
                <w:color w:val="auto"/>
                <w:sz w:val="24"/>
                <w:szCs w:val="24"/>
                <w:lang w:val="en-US" w:eastAsia="zh-CN"/>
              </w:rPr>
              <w:t>发布部门：寻甸回族彝族自治县人民政府</w:t>
            </w:r>
          </w:p>
          <w:p w14:paraId="09839F16">
            <w:pPr>
              <w:keepNext w:val="0"/>
              <w:keepLines w:val="0"/>
              <w:widowControl/>
              <w:suppressLineNumbers w:val="0"/>
              <w:spacing w:line="360" w:lineRule="auto"/>
              <w:ind w:left="0" w:leftChars="0" w:right="0" w:rightChars="0" w:firstLine="0" w:firstLineChars="0"/>
              <w:jc w:val="both"/>
              <w:rPr>
                <w:rFonts w:hint="default" w:cs="Times New Roman"/>
                <w:color w:val="auto"/>
                <w:sz w:val="24"/>
                <w:szCs w:val="24"/>
                <w:lang w:val="en-US" w:eastAsia="zh-CN"/>
              </w:rPr>
            </w:pPr>
            <w:r>
              <w:rPr>
                <w:rFonts w:hint="eastAsia" w:cs="Times New Roman"/>
                <w:color w:val="auto"/>
                <w:sz w:val="24"/>
                <w:szCs w:val="24"/>
                <w:lang w:val="en-US" w:eastAsia="zh-CN"/>
              </w:rPr>
              <w:t>审批文号：审批中</w:t>
            </w:r>
          </w:p>
        </w:tc>
      </w:tr>
      <w:tr w14:paraId="0E2F4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68698487">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规划环境影响</w:t>
            </w:r>
          </w:p>
          <w:p w14:paraId="36F1AA67">
            <w:pPr>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评价情况</w:t>
            </w:r>
          </w:p>
        </w:tc>
        <w:tc>
          <w:tcPr>
            <w:tcW w:w="7775" w:type="dxa"/>
            <w:gridSpan w:val="3"/>
            <w:noWrap w:val="0"/>
            <w:vAlign w:val="center"/>
          </w:tcPr>
          <w:p w14:paraId="26C7E674">
            <w:pPr>
              <w:autoSpaceDE w:val="0"/>
              <w:autoSpaceDN w:val="0"/>
              <w:adjustRightInd w:val="0"/>
              <w:snapToGrid w:val="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无</w:t>
            </w:r>
          </w:p>
        </w:tc>
      </w:tr>
      <w:tr w14:paraId="7BEEA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470E58B5">
            <w:pPr>
              <w:autoSpaceDE w:val="0"/>
              <w:autoSpaceDN w:val="0"/>
              <w:adjustRightInd w:val="0"/>
              <w:snapToGrid w:val="0"/>
              <w:jc w:val="center"/>
              <w:rPr>
                <w:rFonts w:hint="eastAsia" w:ascii="宋体" w:hAnsi="宋体" w:eastAsia="宋体" w:cs="宋体"/>
                <w:color w:val="auto"/>
                <w:sz w:val="24"/>
                <w:szCs w:val="24"/>
              </w:rPr>
            </w:pPr>
            <w:r>
              <w:rPr>
                <w:rFonts w:hint="default" w:ascii="Times New Roman" w:hAnsi="Times New Roman" w:cs="Times New Roman"/>
                <w:color w:val="auto"/>
                <w:kern w:val="0"/>
                <w:sz w:val="24"/>
                <w:szCs w:val="24"/>
              </w:rPr>
              <w:t>规划及规划环境影响评价符合性分析</w:t>
            </w:r>
          </w:p>
        </w:tc>
        <w:tc>
          <w:tcPr>
            <w:tcW w:w="7775" w:type="dxa"/>
            <w:gridSpan w:val="3"/>
            <w:noWrap w:val="0"/>
            <w:vAlign w:val="center"/>
          </w:tcPr>
          <w:p w14:paraId="36B9DEE4">
            <w:pPr>
              <w:keepNext w:val="0"/>
              <w:keepLines w:val="0"/>
              <w:widowControl/>
              <w:numPr>
                <w:ilvl w:val="0"/>
                <w:numId w:val="2"/>
              </w:numPr>
              <w:suppressLineNumbers w:val="0"/>
              <w:spacing w:line="360" w:lineRule="auto"/>
              <w:ind w:left="0" w:leftChars="0" w:right="0" w:rightChars="0" w:firstLine="0" w:firstLineChars="0"/>
              <w:jc w:val="center"/>
              <w:rPr>
                <w:rFonts w:hint="default" w:ascii="宋体" w:hAnsi="宋体" w:eastAsia="宋体" w:cs="宋体"/>
                <w:b/>
                <w:bCs/>
                <w:color w:val="auto"/>
                <w:kern w:val="0"/>
                <w:sz w:val="24"/>
                <w:szCs w:val="24"/>
                <w:lang w:val="en-US" w:eastAsia="zh-CN"/>
              </w:rPr>
            </w:pPr>
            <w:r>
              <w:rPr>
                <w:rFonts w:hint="eastAsia" w:ascii="宋体" w:hAnsi="宋体" w:cs="宋体"/>
                <w:b/>
                <w:bCs/>
                <w:color w:val="auto"/>
                <w:kern w:val="0"/>
                <w:sz w:val="24"/>
                <w:szCs w:val="24"/>
                <w:lang w:val="en-US" w:eastAsia="zh-CN"/>
              </w:rPr>
              <w:t>项目与</w:t>
            </w:r>
            <w:r>
              <w:rPr>
                <w:rFonts w:hint="eastAsia" w:cs="Times New Roman"/>
                <w:b/>
                <w:bCs/>
                <w:color w:val="auto"/>
                <w:sz w:val="24"/>
                <w:szCs w:val="24"/>
                <w:lang w:val="en-US" w:eastAsia="zh-CN"/>
              </w:rPr>
              <w:t>《寻甸回族彝族自治县倘甸镇国土空间规划(2021-2035年)》草案公示的符合性分析</w:t>
            </w:r>
          </w:p>
          <w:p w14:paraId="05AF6AB5">
            <w:pPr>
              <w:keepNext w:val="0"/>
              <w:keepLines w:val="0"/>
              <w:widowControl/>
              <w:numPr>
                <w:ilvl w:val="0"/>
                <w:numId w:val="0"/>
              </w:numPr>
              <w:suppressLineNumbers w:val="0"/>
              <w:spacing w:line="240" w:lineRule="auto"/>
              <w:ind w:left="0" w:leftChars="0" w:right="0" w:rightChars="0" w:firstLine="0" w:firstLineChars="0"/>
              <w:jc w:val="center"/>
              <w:rPr>
                <w:rFonts w:hint="default" w:ascii="宋体" w:hAnsi="宋体" w:eastAsia="宋体" w:cs="宋体"/>
                <w:b/>
                <w:bCs/>
                <w:color w:val="auto"/>
                <w:kern w:val="0"/>
                <w:sz w:val="21"/>
                <w:szCs w:val="21"/>
                <w:lang w:val="en-US" w:eastAsia="zh-CN"/>
              </w:rPr>
            </w:pPr>
            <w:r>
              <w:rPr>
                <w:rFonts w:hint="eastAsia" w:ascii="宋体" w:hAnsi="宋体" w:cs="宋体"/>
                <w:b/>
                <w:bCs/>
                <w:color w:val="auto"/>
                <w:kern w:val="0"/>
                <w:sz w:val="21"/>
                <w:szCs w:val="21"/>
                <w:lang w:val="en-US" w:eastAsia="zh-CN"/>
              </w:rPr>
              <w:t>表1-2项目与</w:t>
            </w:r>
            <w:r>
              <w:rPr>
                <w:rFonts w:hint="eastAsia" w:cs="Times New Roman"/>
                <w:b/>
                <w:bCs/>
                <w:color w:val="auto"/>
                <w:sz w:val="21"/>
                <w:szCs w:val="21"/>
                <w:lang w:val="en-US" w:eastAsia="zh-CN"/>
              </w:rPr>
              <w:t>《寻甸回族彝族自治县倘甸镇国土空间规划(2021-2035年)》草案公示的符合性分析一览表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9"/>
              <w:gridCol w:w="3100"/>
              <w:gridCol w:w="966"/>
            </w:tblGrid>
            <w:tr w14:paraId="7E80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4" w:type="dxa"/>
                  <w:vAlign w:val="center"/>
                </w:tcPr>
                <w:p w14:paraId="26BFD6EB">
                  <w:pPr>
                    <w:keepNext w:val="0"/>
                    <w:keepLines w:val="0"/>
                    <w:widowControl/>
                    <w:numPr>
                      <w:ilvl w:val="0"/>
                      <w:numId w:val="0"/>
                    </w:numPr>
                    <w:suppressLineNumbers w:val="0"/>
                    <w:spacing w:line="240" w:lineRule="auto"/>
                    <w:ind w:left="0" w:leftChars="0" w:right="0" w:rightChars="0" w:firstLine="0" w:firstLineChars="0"/>
                    <w:jc w:val="center"/>
                    <w:rPr>
                      <w:rFonts w:hint="default" w:ascii="宋体" w:hAnsi="宋体" w:eastAsia="宋体" w:cs="宋体"/>
                      <w:b/>
                      <w:bCs/>
                      <w:color w:val="auto"/>
                      <w:kern w:val="0"/>
                      <w:sz w:val="21"/>
                      <w:szCs w:val="21"/>
                      <w:vertAlign w:val="baseline"/>
                      <w:lang w:val="en-US" w:eastAsia="zh-CN"/>
                    </w:rPr>
                  </w:pPr>
                  <w:r>
                    <w:rPr>
                      <w:rFonts w:hint="eastAsia" w:ascii="宋体" w:hAnsi="宋体" w:cs="宋体"/>
                      <w:b/>
                      <w:bCs/>
                      <w:color w:val="auto"/>
                      <w:kern w:val="0"/>
                      <w:sz w:val="21"/>
                      <w:szCs w:val="21"/>
                      <w:vertAlign w:val="baseline"/>
                      <w:lang w:val="en-US" w:eastAsia="zh-CN"/>
                    </w:rPr>
                    <w:t>规划内容</w:t>
                  </w:r>
                </w:p>
              </w:tc>
              <w:tc>
                <w:tcPr>
                  <w:tcW w:w="3104" w:type="dxa"/>
                  <w:vAlign w:val="center"/>
                </w:tcPr>
                <w:p w14:paraId="5077A9AC">
                  <w:pPr>
                    <w:keepNext w:val="0"/>
                    <w:keepLines w:val="0"/>
                    <w:widowControl/>
                    <w:numPr>
                      <w:ilvl w:val="0"/>
                      <w:numId w:val="0"/>
                    </w:numPr>
                    <w:suppressLineNumbers w:val="0"/>
                    <w:spacing w:line="240" w:lineRule="auto"/>
                    <w:ind w:left="0" w:leftChars="0" w:right="0" w:rightChars="0" w:firstLine="0" w:firstLineChars="0"/>
                    <w:jc w:val="center"/>
                    <w:rPr>
                      <w:rFonts w:hint="default" w:ascii="宋体" w:hAnsi="宋体" w:eastAsia="宋体" w:cs="宋体"/>
                      <w:b/>
                      <w:bCs/>
                      <w:color w:val="auto"/>
                      <w:kern w:val="0"/>
                      <w:sz w:val="21"/>
                      <w:szCs w:val="21"/>
                      <w:vertAlign w:val="baseline"/>
                      <w:lang w:val="en-US" w:eastAsia="zh-CN"/>
                    </w:rPr>
                  </w:pPr>
                  <w:r>
                    <w:rPr>
                      <w:rFonts w:hint="eastAsia" w:ascii="宋体" w:hAnsi="宋体" w:cs="宋体"/>
                      <w:b/>
                      <w:bCs/>
                      <w:color w:val="auto"/>
                      <w:kern w:val="0"/>
                      <w:sz w:val="21"/>
                      <w:szCs w:val="21"/>
                      <w:vertAlign w:val="baseline"/>
                      <w:lang w:val="en-US" w:eastAsia="zh-CN"/>
                    </w:rPr>
                    <w:t>本项目内容</w:t>
                  </w:r>
                </w:p>
              </w:tc>
              <w:tc>
                <w:tcPr>
                  <w:tcW w:w="967" w:type="dxa"/>
                  <w:vAlign w:val="center"/>
                </w:tcPr>
                <w:p w14:paraId="70EBE3FE">
                  <w:pPr>
                    <w:keepNext w:val="0"/>
                    <w:keepLines w:val="0"/>
                    <w:widowControl/>
                    <w:numPr>
                      <w:ilvl w:val="0"/>
                      <w:numId w:val="0"/>
                    </w:numPr>
                    <w:suppressLineNumbers w:val="0"/>
                    <w:spacing w:line="240" w:lineRule="auto"/>
                    <w:ind w:left="0" w:leftChars="0" w:right="0" w:rightChars="0" w:firstLine="0" w:firstLineChars="0"/>
                    <w:jc w:val="center"/>
                    <w:rPr>
                      <w:rFonts w:hint="default" w:ascii="宋体" w:hAnsi="宋体" w:eastAsia="宋体" w:cs="宋体"/>
                      <w:b/>
                      <w:bCs/>
                      <w:color w:val="auto"/>
                      <w:kern w:val="0"/>
                      <w:sz w:val="21"/>
                      <w:szCs w:val="21"/>
                      <w:vertAlign w:val="baseline"/>
                      <w:lang w:val="en-US" w:eastAsia="zh-CN"/>
                    </w:rPr>
                  </w:pPr>
                  <w:r>
                    <w:rPr>
                      <w:rFonts w:hint="eastAsia" w:ascii="宋体" w:hAnsi="宋体" w:cs="宋体"/>
                      <w:b/>
                      <w:bCs/>
                      <w:color w:val="auto"/>
                      <w:kern w:val="0"/>
                      <w:sz w:val="21"/>
                      <w:szCs w:val="21"/>
                      <w:vertAlign w:val="baseline"/>
                      <w:lang w:val="en-US" w:eastAsia="zh-CN"/>
                    </w:rPr>
                    <w:t>符合性</w:t>
                  </w:r>
                </w:p>
              </w:tc>
            </w:tr>
            <w:tr w14:paraId="2F83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4" w:type="dxa"/>
                </w:tcPr>
                <w:p w14:paraId="29490E44">
                  <w:pPr>
                    <w:keepNext w:val="0"/>
                    <w:keepLines w:val="0"/>
                    <w:widowControl/>
                    <w:numPr>
                      <w:ilvl w:val="0"/>
                      <w:numId w:val="0"/>
                    </w:numPr>
                    <w:suppressLineNumbers w:val="0"/>
                    <w:spacing w:line="240" w:lineRule="auto"/>
                    <w:ind w:right="0" w:rightChars="0"/>
                    <w:jc w:val="both"/>
                    <w:rPr>
                      <w:rFonts w:hint="default" w:ascii="宋体" w:hAnsi="宋体" w:eastAsia="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发展目标：2035年，基础设施建设加快推进，公共服务体系更加健全。</w:t>
                  </w:r>
                </w:p>
              </w:tc>
              <w:tc>
                <w:tcPr>
                  <w:tcW w:w="3104" w:type="dxa"/>
                  <w:vAlign w:val="center"/>
                </w:tcPr>
                <w:p w14:paraId="54DF4088">
                  <w:pPr>
                    <w:keepNext w:val="0"/>
                    <w:keepLines w:val="0"/>
                    <w:widowControl/>
                    <w:numPr>
                      <w:ilvl w:val="0"/>
                      <w:numId w:val="0"/>
                    </w:numPr>
                    <w:suppressLineNumbers w:val="0"/>
                    <w:spacing w:line="240" w:lineRule="auto"/>
                    <w:ind w:right="0" w:rightChars="0"/>
                    <w:jc w:val="both"/>
                    <w:rPr>
                      <w:rFonts w:hint="default" w:ascii="宋体" w:hAnsi="宋体" w:eastAsia="宋体" w:cs="宋体"/>
                      <w:color w:val="auto"/>
                      <w:kern w:val="0"/>
                      <w:sz w:val="21"/>
                      <w:szCs w:val="21"/>
                      <w:vertAlign w:val="baseline"/>
                      <w:lang w:val="en-US" w:eastAsia="zh-CN"/>
                    </w:rPr>
                  </w:pPr>
                  <w:r>
                    <w:rPr>
                      <w:rFonts w:hint="eastAsia" w:ascii="Times New Roman" w:hAnsi="Times New Roman" w:cs="Times New Roman"/>
                      <w:color w:val="auto"/>
                      <w:sz w:val="21"/>
                      <w:szCs w:val="21"/>
                      <w:lang w:val="en-US" w:eastAsia="zh-CN"/>
                    </w:rPr>
                    <w:t>项目主要服务范围为倘甸镇，收治的主要是周边的病患，根据调查，倘甸镇目前除本项目外未设置其他精神病医院，项目的建设完善了倘甸镇卫生服务体系结构，</w:t>
                  </w:r>
                  <w:r>
                    <w:rPr>
                      <w:rFonts w:hint="default" w:ascii="Times New Roman" w:hAnsi="Times New Roman" w:cs="Times New Roman"/>
                      <w:color w:val="auto"/>
                      <w:sz w:val="21"/>
                      <w:szCs w:val="21"/>
                    </w:rPr>
                    <w:t>为周边居民提供便利的就医条件，</w:t>
                  </w:r>
                  <w:r>
                    <w:rPr>
                      <w:rFonts w:hint="eastAsia" w:ascii="Times New Roman" w:hAnsi="Times New Roman" w:cs="Times New Roman"/>
                      <w:color w:val="auto"/>
                      <w:sz w:val="21"/>
                      <w:szCs w:val="21"/>
                      <w:lang w:val="en-US" w:eastAsia="zh-CN"/>
                    </w:rPr>
                    <w:t>且</w:t>
                  </w:r>
                  <w:r>
                    <w:rPr>
                      <w:rFonts w:hint="default" w:ascii="Times New Roman" w:hAnsi="Times New Roman" w:cs="Times New Roman"/>
                      <w:color w:val="auto"/>
                      <w:sz w:val="21"/>
                      <w:szCs w:val="21"/>
                    </w:rPr>
                    <w:t>本项目</w:t>
                  </w:r>
                  <w:r>
                    <w:rPr>
                      <w:rFonts w:hint="eastAsia" w:cs="Times New Roman"/>
                      <w:color w:val="auto"/>
                      <w:sz w:val="21"/>
                      <w:szCs w:val="21"/>
                      <w:lang w:eastAsia="zh-CN"/>
                    </w:rPr>
                    <w:t>建设</w:t>
                  </w:r>
                  <w:r>
                    <w:rPr>
                      <w:rFonts w:hint="default" w:ascii="Times New Roman" w:hAnsi="Times New Roman" w:cs="Times New Roman"/>
                      <w:color w:val="auto"/>
                      <w:sz w:val="21"/>
                      <w:szCs w:val="21"/>
                    </w:rPr>
                    <w:t>条件良好，符合</w:t>
                  </w:r>
                  <w:r>
                    <w:rPr>
                      <w:rFonts w:hint="default" w:ascii="Times New Roman" w:hAnsi="Times New Roman" w:cs="Times New Roman"/>
                      <w:color w:val="auto"/>
                      <w:sz w:val="21"/>
                      <w:szCs w:val="21"/>
                      <w:lang w:val="en-US" w:eastAsia="zh-CN"/>
                    </w:rPr>
                    <w:t>倘甸镇国土空间规划</w:t>
                  </w:r>
                  <w:r>
                    <w:rPr>
                      <w:rFonts w:hint="default" w:ascii="Times New Roman" w:hAnsi="Times New Roman" w:cs="Times New Roman"/>
                      <w:color w:val="auto"/>
                      <w:sz w:val="21"/>
                      <w:szCs w:val="21"/>
                    </w:rPr>
                    <w:t>要求，</w:t>
                  </w:r>
                </w:p>
              </w:tc>
              <w:tc>
                <w:tcPr>
                  <w:tcW w:w="967" w:type="dxa"/>
                  <w:vAlign w:val="center"/>
                </w:tcPr>
                <w:p w14:paraId="128B880D">
                  <w:pPr>
                    <w:keepNext w:val="0"/>
                    <w:keepLines w:val="0"/>
                    <w:widowControl/>
                    <w:numPr>
                      <w:ilvl w:val="0"/>
                      <w:numId w:val="0"/>
                    </w:numPr>
                    <w:suppressLineNumbers w:val="0"/>
                    <w:spacing w:line="240" w:lineRule="auto"/>
                    <w:ind w:left="0" w:leftChars="0" w:right="0" w:rightChars="0" w:firstLine="0" w:firstLineChars="0"/>
                    <w:jc w:val="center"/>
                    <w:rPr>
                      <w:rFonts w:hint="default" w:ascii="宋体" w:hAnsi="宋体" w:eastAsia="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符合</w:t>
                  </w:r>
                </w:p>
              </w:tc>
            </w:tr>
            <w:tr w14:paraId="4DB6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4" w:type="dxa"/>
                </w:tcPr>
                <w:p w14:paraId="1901E90E">
                  <w:pPr>
                    <w:keepNext w:val="0"/>
                    <w:keepLines w:val="0"/>
                    <w:widowControl/>
                    <w:numPr>
                      <w:ilvl w:val="0"/>
                      <w:numId w:val="0"/>
                    </w:numPr>
                    <w:suppressLineNumbers w:val="0"/>
                    <w:spacing w:line="240" w:lineRule="auto"/>
                    <w:ind w:right="0" w:rightChars="0"/>
                    <w:jc w:val="both"/>
                    <w:rPr>
                      <w:rFonts w:hint="eastAsia" w:ascii="宋体" w:hAnsi="宋体" w:cs="宋体"/>
                      <w:b/>
                      <w:bCs/>
                      <w:color w:val="auto"/>
                      <w:kern w:val="0"/>
                      <w:sz w:val="21"/>
                      <w:szCs w:val="21"/>
                      <w:vertAlign w:val="baseline"/>
                      <w:lang w:val="en-US" w:eastAsia="zh-CN"/>
                    </w:rPr>
                  </w:pPr>
                  <w:r>
                    <w:rPr>
                      <w:rFonts w:hint="eastAsia" w:ascii="宋体" w:hAnsi="宋体" w:cs="宋体"/>
                      <w:b/>
                      <w:bCs/>
                      <w:color w:val="auto"/>
                      <w:kern w:val="0"/>
                      <w:sz w:val="21"/>
                      <w:szCs w:val="21"/>
                      <w:vertAlign w:val="baseline"/>
                      <w:lang w:val="en-US" w:eastAsia="zh-CN"/>
                    </w:rPr>
                    <w:t>落实三线与管控</w:t>
                  </w:r>
                </w:p>
                <w:p w14:paraId="6BB554F0">
                  <w:pPr>
                    <w:keepNext w:val="0"/>
                    <w:keepLines w:val="0"/>
                    <w:widowControl/>
                    <w:numPr>
                      <w:ilvl w:val="0"/>
                      <w:numId w:val="0"/>
                    </w:numPr>
                    <w:suppressLineNumbers w:val="0"/>
                    <w:spacing w:line="240" w:lineRule="auto"/>
                    <w:ind w:right="0" w:rightChars="0"/>
                    <w:jc w:val="both"/>
                    <w:rPr>
                      <w:rFonts w:hint="default" w:ascii="宋体" w:hAnsi="宋体" w:cs="宋体"/>
                      <w:b/>
                      <w:bCs/>
                      <w:color w:val="auto"/>
                      <w:kern w:val="0"/>
                      <w:sz w:val="21"/>
                      <w:szCs w:val="21"/>
                      <w:vertAlign w:val="baseline"/>
                      <w:lang w:val="en-US" w:eastAsia="zh-CN"/>
                    </w:rPr>
                  </w:pPr>
                  <w:r>
                    <w:rPr>
                      <w:rFonts w:hint="default" w:ascii="宋体" w:hAnsi="宋体" w:cs="宋体"/>
                      <w:b/>
                      <w:bCs/>
                      <w:color w:val="auto"/>
                      <w:kern w:val="0"/>
                      <w:sz w:val="21"/>
                      <w:szCs w:val="21"/>
                      <w:vertAlign w:val="baseline"/>
                      <w:lang w:val="en-US" w:eastAsia="zh-CN"/>
                    </w:rPr>
                    <w:t>永久基本农田</w:t>
                  </w:r>
                  <w:r>
                    <w:rPr>
                      <w:rFonts w:hint="eastAsia" w:ascii="宋体" w:hAnsi="宋体" w:cs="宋体"/>
                      <w:b/>
                      <w:bCs/>
                      <w:color w:val="auto"/>
                      <w:kern w:val="0"/>
                      <w:sz w:val="21"/>
                      <w:szCs w:val="21"/>
                      <w:vertAlign w:val="baseline"/>
                      <w:lang w:val="en-US" w:eastAsia="zh-CN"/>
                    </w:rPr>
                    <w:t>：</w:t>
                  </w:r>
                </w:p>
                <w:p w14:paraId="42CBF632">
                  <w:pPr>
                    <w:keepNext w:val="0"/>
                    <w:keepLines w:val="0"/>
                    <w:widowControl/>
                    <w:numPr>
                      <w:ilvl w:val="0"/>
                      <w:numId w:val="0"/>
                    </w:numPr>
                    <w:suppressLineNumbers w:val="0"/>
                    <w:spacing w:line="240" w:lineRule="auto"/>
                    <w:ind w:right="0" w:rightChars="0"/>
                    <w:jc w:val="both"/>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严格落实耕地保护目标和永久基本农田保护红线任务。</w:t>
                  </w:r>
                </w:p>
                <w:p w14:paraId="5EE42A5A">
                  <w:pPr>
                    <w:keepNext w:val="0"/>
                    <w:keepLines w:val="0"/>
                    <w:widowControl/>
                    <w:numPr>
                      <w:ilvl w:val="0"/>
                      <w:numId w:val="0"/>
                    </w:numPr>
                    <w:suppressLineNumbers w:val="0"/>
                    <w:spacing w:line="240" w:lineRule="auto"/>
                    <w:ind w:right="0" w:rightChars="0"/>
                    <w:jc w:val="both"/>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耕地和永久基本农田保护范围一经划定，未经批准不得擅自调整。</w:t>
                  </w:r>
                </w:p>
                <w:p w14:paraId="4AA7A8CE">
                  <w:pPr>
                    <w:keepNext w:val="0"/>
                    <w:keepLines w:val="0"/>
                    <w:widowControl/>
                    <w:numPr>
                      <w:ilvl w:val="0"/>
                      <w:numId w:val="0"/>
                    </w:numPr>
                    <w:suppressLineNumbers w:val="0"/>
                    <w:spacing w:line="240" w:lineRule="auto"/>
                    <w:ind w:right="0" w:rightChars="0"/>
                    <w:jc w:val="both"/>
                    <w:rPr>
                      <w:rFonts w:hint="default" w:ascii="宋体" w:hAnsi="宋体" w:cs="宋体"/>
                      <w:b/>
                      <w:bCs/>
                      <w:color w:val="auto"/>
                      <w:kern w:val="0"/>
                      <w:sz w:val="21"/>
                      <w:szCs w:val="21"/>
                      <w:vertAlign w:val="baseline"/>
                      <w:lang w:val="en-US" w:eastAsia="zh-CN"/>
                    </w:rPr>
                  </w:pPr>
                  <w:r>
                    <w:rPr>
                      <w:rFonts w:hint="default" w:ascii="宋体" w:hAnsi="宋体" w:cs="宋体"/>
                      <w:b/>
                      <w:bCs/>
                      <w:color w:val="auto"/>
                      <w:kern w:val="0"/>
                      <w:sz w:val="21"/>
                      <w:szCs w:val="21"/>
                      <w:vertAlign w:val="baseline"/>
                      <w:lang w:val="en-US" w:eastAsia="zh-CN"/>
                    </w:rPr>
                    <w:t>生态保护红线</w:t>
                  </w:r>
                  <w:r>
                    <w:rPr>
                      <w:rFonts w:hint="eastAsia" w:ascii="宋体" w:hAnsi="宋体" w:cs="宋体"/>
                      <w:b/>
                      <w:bCs/>
                      <w:color w:val="auto"/>
                      <w:kern w:val="0"/>
                      <w:sz w:val="21"/>
                      <w:szCs w:val="21"/>
                      <w:vertAlign w:val="baseline"/>
                      <w:lang w:val="en-US" w:eastAsia="zh-CN"/>
                    </w:rPr>
                    <w:t>：</w:t>
                  </w:r>
                </w:p>
                <w:p w14:paraId="0FA21329">
                  <w:pPr>
                    <w:keepNext w:val="0"/>
                    <w:keepLines w:val="0"/>
                    <w:widowControl/>
                    <w:numPr>
                      <w:ilvl w:val="0"/>
                      <w:numId w:val="0"/>
                    </w:numPr>
                    <w:suppressLineNumbers w:val="0"/>
                    <w:spacing w:line="240" w:lineRule="auto"/>
                    <w:ind w:right="0" w:rightChars="0"/>
                    <w:jc w:val="both"/>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生态保护红线一经划定，未经批准，严禁擅自调整。</w:t>
                  </w:r>
                </w:p>
                <w:p w14:paraId="640C9D6F">
                  <w:pPr>
                    <w:keepNext w:val="0"/>
                    <w:keepLines w:val="0"/>
                    <w:widowControl/>
                    <w:numPr>
                      <w:ilvl w:val="0"/>
                      <w:numId w:val="0"/>
                    </w:numPr>
                    <w:suppressLineNumbers w:val="0"/>
                    <w:spacing w:line="240" w:lineRule="auto"/>
                    <w:ind w:right="0" w:rightChars="0"/>
                    <w:jc w:val="both"/>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重点提升水源涵养、生物多样性维护等多种生态功能，维护生态安全。</w:t>
                  </w:r>
                </w:p>
                <w:p w14:paraId="6A6CAC2C">
                  <w:pPr>
                    <w:keepNext w:val="0"/>
                    <w:keepLines w:val="0"/>
                    <w:widowControl/>
                    <w:numPr>
                      <w:ilvl w:val="0"/>
                      <w:numId w:val="0"/>
                    </w:numPr>
                    <w:suppressLineNumbers w:val="0"/>
                    <w:spacing w:line="240" w:lineRule="auto"/>
                    <w:ind w:right="0" w:rightChars="0"/>
                    <w:jc w:val="both"/>
                    <w:rPr>
                      <w:rFonts w:hint="default" w:ascii="宋体" w:hAnsi="宋体" w:cs="宋体"/>
                      <w:b/>
                      <w:bCs/>
                      <w:color w:val="auto"/>
                      <w:kern w:val="0"/>
                      <w:sz w:val="21"/>
                      <w:szCs w:val="21"/>
                      <w:vertAlign w:val="baseline"/>
                      <w:lang w:val="en-US" w:eastAsia="zh-CN"/>
                    </w:rPr>
                  </w:pPr>
                  <w:r>
                    <w:rPr>
                      <w:rFonts w:hint="default" w:ascii="宋体" w:hAnsi="宋体" w:cs="宋体"/>
                      <w:b/>
                      <w:bCs/>
                      <w:color w:val="auto"/>
                      <w:kern w:val="0"/>
                      <w:sz w:val="21"/>
                      <w:szCs w:val="21"/>
                      <w:vertAlign w:val="baseline"/>
                      <w:lang w:val="en-US" w:eastAsia="zh-CN"/>
                    </w:rPr>
                    <w:t>城镇开发边界</w:t>
                  </w:r>
                  <w:r>
                    <w:rPr>
                      <w:rFonts w:hint="eastAsia" w:ascii="宋体" w:hAnsi="宋体" w:cs="宋体"/>
                      <w:b/>
                      <w:bCs/>
                      <w:color w:val="auto"/>
                      <w:kern w:val="0"/>
                      <w:sz w:val="21"/>
                      <w:szCs w:val="21"/>
                      <w:vertAlign w:val="baseline"/>
                      <w:lang w:val="en-US" w:eastAsia="zh-CN"/>
                    </w:rPr>
                    <w:t>：</w:t>
                  </w:r>
                </w:p>
                <w:p w14:paraId="7115DD4A">
                  <w:pPr>
                    <w:keepNext w:val="0"/>
                    <w:keepLines w:val="0"/>
                    <w:widowControl/>
                    <w:numPr>
                      <w:ilvl w:val="0"/>
                      <w:numId w:val="0"/>
                    </w:numPr>
                    <w:suppressLineNumbers w:val="0"/>
                    <w:spacing w:line="240" w:lineRule="auto"/>
                    <w:ind w:right="0" w:rightChars="0"/>
                    <w:jc w:val="both"/>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强化城镇开发边界对开发建设行为的刚性约束作用。</w:t>
                  </w:r>
                </w:p>
                <w:p w14:paraId="3BC77FCB">
                  <w:pPr>
                    <w:keepNext w:val="0"/>
                    <w:keepLines w:val="0"/>
                    <w:widowControl/>
                    <w:numPr>
                      <w:ilvl w:val="0"/>
                      <w:numId w:val="0"/>
                    </w:numPr>
                    <w:suppressLineNumbers w:val="0"/>
                    <w:spacing w:line="240" w:lineRule="auto"/>
                    <w:ind w:right="0" w:rightChars="0"/>
                    <w:jc w:val="both"/>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引导城镇有序、适度、紧凑发展，促进城镇发展由外延扩张向内涵提升转变。</w:t>
                  </w:r>
                </w:p>
              </w:tc>
              <w:tc>
                <w:tcPr>
                  <w:tcW w:w="3104" w:type="dxa"/>
                  <w:vAlign w:val="center"/>
                </w:tcPr>
                <w:p w14:paraId="73880A73">
                  <w:pPr>
                    <w:keepNext w:val="0"/>
                    <w:keepLines w:val="0"/>
                    <w:widowControl/>
                    <w:numPr>
                      <w:ilvl w:val="0"/>
                      <w:numId w:val="0"/>
                    </w:numPr>
                    <w:suppressLineNumbers w:val="0"/>
                    <w:spacing w:line="240" w:lineRule="auto"/>
                    <w:ind w:right="0" w:rightChars="0"/>
                    <w:jc w:val="both"/>
                    <w:rPr>
                      <w:rFonts w:hint="eastAsia" w:ascii="宋体" w:hAnsi="宋体" w:eastAsia="宋体" w:cs="宋体"/>
                      <w:b/>
                      <w:bCs/>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项目根据寻甸回族彝族自治县自然资源局出具“三区三线”情况说明，项目不占用永久基本农田，不涉及生态保护红线，位于倘甸镇镇区城镇开发边界内。符合</w:t>
                  </w:r>
                  <w:r>
                    <w:rPr>
                      <w:rFonts w:hint="default" w:ascii="Times New Roman" w:hAnsi="Times New Roman" w:cs="Times New Roman"/>
                      <w:color w:val="auto"/>
                      <w:sz w:val="21"/>
                      <w:szCs w:val="21"/>
                      <w:lang w:val="en-US" w:eastAsia="zh-CN"/>
                    </w:rPr>
                    <w:t>倘甸镇国土空间规划</w:t>
                  </w:r>
                  <w:r>
                    <w:rPr>
                      <w:rFonts w:hint="default" w:ascii="Times New Roman" w:hAnsi="Times New Roman" w:cs="Times New Roman"/>
                      <w:color w:val="auto"/>
                      <w:sz w:val="21"/>
                      <w:szCs w:val="21"/>
                    </w:rPr>
                    <w:t>要求</w:t>
                  </w:r>
                  <w:r>
                    <w:rPr>
                      <w:rFonts w:hint="eastAsia" w:ascii="Times New Roman" w:hAnsi="Times New Roman" w:cs="Times New Roman"/>
                      <w:color w:val="auto"/>
                      <w:sz w:val="21"/>
                      <w:szCs w:val="21"/>
                      <w:lang w:eastAsia="zh-CN"/>
                    </w:rPr>
                    <w:t>。</w:t>
                  </w:r>
                </w:p>
                <w:p w14:paraId="7E069AE1">
                  <w:pPr>
                    <w:keepNext w:val="0"/>
                    <w:keepLines w:val="0"/>
                    <w:widowControl/>
                    <w:numPr>
                      <w:ilvl w:val="0"/>
                      <w:numId w:val="0"/>
                    </w:numPr>
                    <w:suppressLineNumbers w:val="0"/>
                    <w:spacing w:line="240" w:lineRule="auto"/>
                    <w:ind w:right="0" w:rightChars="0"/>
                    <w:jc w:val="both"/>
                    <w:rPr>
                      <w:rFonts w:hint="default" w:ascii="宋体" w:hAnsi="宋体" w:eastAsia="宋体" w:cs="宋体"/>
                      <w:color w:val="auto"/>
                      <w:kern w:val="0"/>
                      <w:sz w:val="21"/>
                      <w:szCs w:val="21"/>
                      <w:vertAlign w:val="baseline"/>
                      <w:lang w:val="en-US" w:eastAsia="zh-CN"/>
                    </w:rPr>
                  </w:pPr>
                </w:p>
              </w:tc>
              <w:tc>
                <w:tcPr>
                  <w:tcW w:w="967" w:type="dxa"/>
                  <w:vAlign w:val="center"/>
                </w:tcPr>
                <w:p w14:paraId="3B0B894A">
                  <w:pPr>
                    <w:keepNext w:val="0"/>
                    <w:keepLines w:val="0"/>
                    <w:widowControl/>
                    <w:numPr>
                      <w:ilvl w:val="0"/>
                      <w:numId w:val="0"/>
                    </w:numPr>
                    <w:suppressLineNumbers w:val="0"/>
                    <w:spacing w:line="240" w:lineRule="auto"/>
                    <w:ind w:left="0" w:leftChars="0" w:right="0" w:rightChars="0" w:firstLine="0" w:firstLineChars="0"/>
                    <w:jc w:val="center"/>
                    <w:rPr>
                      <w:rFonts w:hint="default" w:ascii="宋体" w:hAnsi="宋体" w:eastAsia="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符合</w:t>
                  </w:r>
                </w:p>
              </w:tc>
            </w:tr>
          </w:tbl>
          <w:p w14:paraId="2F2164AA">
            <w:pPr>
              <w:keepNext w:val="0"/>
              <w:keepLines w:val="0"/>
              <w:widowControl/>
              <w:numPr>
                <w:ilvl w:val="0"/>
                <w:numId w:val="0"/>
              </w:numPr>
              <w:suppressLineNumbers w:val="0"/>
              <w:spacing w:line="360" w:lineRule="auto"/>
              <w:ind w:leftChars="0" w:right="0" w:rightChars="0"/>
              <w:jc w:val="both"/>
              <w:rPr>
                <w:rFonts w:hint="default" w:ascii="宋体" w:hAnsi="宋体" w:eastAsia="宋体" w:cs="宋体"/>
                <w:color w:val="auto"/>
                <w:kern w:val="0"/>
                <w:sz w:val="24"/>
                <w:szCs w:val="24"/>
                <w:lang w:val="en-US" w:eastAsia="zh-CN"/>
              </w:rPr>
            </w:pPr>
          </w:p>
        </w:tc>
      </w:tr>
      <w:tr w14:paraId="70FCF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77D6B431">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7775" w:type="dxa"/>
            <w:gridSpan w:val="3"/>
            <w:noWrap w:val="0"/>
            <w:vAlign w:val="center"/>
          </w:tcPr>
          <w:p w14:paraId="4629C776">
            <w:pPr>
              <w:pStyle w:val="1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项目与产业政策符合性分析</w:t>
            </w:r>
          </w:p>
          <w:p w14:paraId="192C5CF9">
            <w:pPr>
              <w:pStyle w:val="1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本项目为精神专科医院，属于《产业结构调整指导目录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2024年本</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》中鼓励类中三十七类</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卫生健康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中第1项</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医疗服务设施建设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预防保健、卫生应急、卫生监督服务设施建设，医疗卫生服务设施建设，传染病、儿童、精神卫生专科医院和康复医院</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、护理院</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、安宁疗护中心、全科医疗设施与服务，医养结合设施与服务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因此，本项目符合国家及地方现行产业政策的要求。</w:t>
            </w:r>
          </w:p>
          <w:p w14:paraId="224BAF8E">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kern w:val="2"/>
                <w:sz w:val="24"/>
                <w:szCs w:val="22"/>
                <w:lang w:val="en-US" w:eastAsia="zh-CN" w:bidi="ar-SA"/>
              </w:rPr>
              <w:t>2、</w:t>
            </w:r>
            <w:r>
              <w:rPr>
                <w:rFonts w:hint="eastAsia" w:ascii="Times New Roman" w:hAnsi="Times New Roman" w:eastAsia="宋体" w:cs="Times New Roman"/>
                <w:b/>
                <w:bCs/>
                <w:color w:val="auto"/>
                <w:lang w:val="en-US" w:eastAsia="zh-CN"/>
              </w:rPr>
              <w:t>项目与《昆明市生态环境分区管控动态更新方案</w:t>
            </w:r>
            <w:r>
              <w:rPr>
                <w:rFonts w:hint="eastAsia" w:cs="Times New Roman"/>
                <w:b/>
                <w:bCs/>
                <w:color w:val="auto"/>
                <w:lang w:val="en-US" w:eastAsia="zh-CN"/>
              </w:rPr>
              <w:t>（</w:t>
            </w:r>
            <w:r>
              <w:rPr>
                <w:rFonts w:hint="eastAsia" w:ascii="Times New Roman" w:hAnsi="Times New Roman" w:eastAsia="宋体" w:cs="Times New Roman"/>
                <w:b/>
                <w:bCs/>
                <w:color w:val="auto"/>
                <w:lang w:val="en-US" w:eastAsia="zh-CN"/>
              </w:rPr>
              <w:t>2023</w:t>
            </w:r>
            <w:r>
              <w:rPr>
                <w:rFonts w:hint="eastAsia" w:cs="Times New Roman"/>
                <w:b/>
                <w:bCs/>
                <w:color w:val="auto"/>
                <w:lang w:val="en-US" w:eastAsia="zh-CN"/>
              </w:rPr>
              <w:t>）</w:t>
            </w:r>
            <w:r>
              <w:rPr>
                <w:rFonts w:hint="eastAsia" w:ascii="Times New Roman" w:hAnsi="Times New Roman" w:eastAsia="宋体" w:cs="Times New Roman"/>
                <w:b/>
                <w:bCs/>
                <w:color w:val="auto"/>
                <w:lang w:val="en-US" w:eastAsia="zh-CN"/>
              </w:rPr>
              <w:t>》的符合性分析</w:t>
            </w:r>
          </w:p>
          <w:p w14:paraId="149620CB">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根据生态环境部《关于印发2023年生态环境分区管控成果动态更新工作方案的通知》（环办环评函〔2023〕81号）、云南省生态环境厅《关于开展“三线一单”优化调整工作的函》（云环函﹝2022﹞118号），昆明市生态环境局起草了《昆明市生态环境分区管控动态更新方案（2023年）》，并于2024年11月12日发布实施。</w:t>
            </w:r>
          </w:p>
          <w:p w14:paraId="5F6925F7">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根据《昆明市生态环境分区管控动态更新方案》（2023年），更新后，全市环境管控单元数量由原有的129个调整为132个。优先保护单元：更新后，总数为42个，保持不变；面积占比由44.11%更新为44.72%，增加0.61%。</w:t>
            </w:r>
          </w:p>
          <w:p w14:paraId="072D34A9">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重点管控单元：更新后，总数为76个，较原有增加3个；面积占比由19.56%更新为19.06%，减少0.5%。</w:t>
            </w:r>
          </w:p>
          <w:p w14:paraId="3A21F0CC">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一般管控单元：更新后，总数为14个，保持不变；面积占比由36.33%更新为36.22%，减少0.11%。</w:t>
            </w:r>
          </w:p>
          <w:p w14:paraId="2AED7DD7">
            <w:pPr>
              <w:pStyle w:val="12"/>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left"/>
              <w:textAlignment w:val="auto"/>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根据《昆明市生态环境分区管控动态更新方案》（2023年）及云南省生态环境分区管控公共服务查询平台查询结果（查询结果见下表）。</w:t>
            </w: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66"/>
            </w:tblGrid>
            <w:tr w14:paraId="43CD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7A7F1051">
                  <w:pPr>
                    <w:pStyle w:val="12"/>
                    <w:keepNext w:val="0"/>
                    <w:keepLines w:val="0"/>
                    <w:pageBreakBefore w:val="0"/>
                    <w:widowControl w:val="0"/>
                    <w:numPr>
                      <w:ilvl w:val="0"/>
                      <w:numId w:val="0"/>
                    </w:numPr>
                    <w:kinsoku/>
                    <w:wordWrap w:val="0"/>
                    <w:overflowPunct/>
                    <w:topLinePunct/>
                    <w:autoSpaceDE/>
                    <w:autoSpaceDN/>
                    <w:bidi w:val="0"/>
                    <w:adjustRightInd/>
                    <w:snapToGrid/>
                    <w:ind w:left="0" w:leftChars="0" w:right="0" w:rightChars="0" w:firstLine="0" w:firstLineChars="0"/>
                    <w:jc w:val="center"/>
                    <w:textAlignment w:val="auto"/>
                    <w:rPr>
                      <w:rFonts w:hint="eastAsia" w:ascii="宋体" w:hAnsi="宋体" w:eastAsia="宋体" w:cs="宋体"/>
                      <w:color w:val="auto"/>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表1-</w:t>
                  </w:r>
                  <w:r>
                    <w:rPr>
                      <w:rFonts w:hint="eastAsia" w:cs="Times New Roman"/>
                      <w:b/>
                      <w:bCs/>
                      <w:snapToGrid w:val="0"/>
                      <w:color w:val="auto"/>
                      <w:kern w:val="0"/>
                      <w:sz w:val="21"/>
                      <w:szCs w:val="21"/>
                      <w:lang w:val="en-US" w:eastAsia="zh-CN" w:bidi="ar"/>
                    </w:rPr>
                    <w:t>3</w:t>
                  </w:r>
                  <w:r>
                    <w:rPr>
                      <w:rFonts w:hint="default" w:ascii="Times New Roman" w:hAnsi="Times New Roman" w:eastAsia="宋体" w:cs="Times New Roman"/>
                      <w:b/>
                      <w:bCs/>
                      <w:snapToGrid w:val="0"/>
                      <w:color w:val="auto"/>
                      <w:kern w:val="0"/>
                      <w:sz w:val="21"/>
                      <w:szCs w:val="21"/>
                      <w:lang w:val="en-US" w:eastAsia="zh-CN" w:bidi="ar"/>
                    </w:rPr>
                    <w:t>云南省生态环境分区管控公共服务查询平台查询结果表</w:t>
                  </w:r>
                </w:p>
              </w:tc>
            </w:tr>
            <w:tr w14:paraId="1E36D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5F0D4937">
                  <w:pPr>
                    <w:pStyle w:val="12"/>
                    <w:keepNext w:val="0"/>
                    <w:keepLines w:val="0"/>
                    <w:pageBreakBefore w:val="0"/>
                    <w:widowControl w:val="0"/>
                    <w:numPr>
                      <w:ilvl w:val="0"/>
                      <w:numId w:val="0"/>
                    </w:numPr>
                    <w:kinsoku/>
                    <w:wordWrap w:val="0"/>
                    <w:overflowPunct/>
                    <w:topLinePunct/>
                    <w:autoSpaceDE/>
                    <w:autoSpaceDN/>
                    <w:bidi w:val="0"/>
                    <w:adjustRightInd/>
                    <w:snapToGrid/>
                    <w:ind w:left="0" w:leftChars="0" w:right="0" w:rightChars="0" w:firstLine="0" w:firstLineChars="0"/>
                    <w:jc w:val="center"/>
                    <w:textAlignment w:val="auto"/>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drawing>
                      <wp:inline distT="0" distB="0" distL="114300" distR="114300">
                        <wp:extent cx="4656455" cy="2761615"/>
                        <wp:effectExtent l="0" t="0" r="0" b="0"/>
                        <wp:docPr id="1" name="图片 1" descr="ef2064b42b33ec7b1729bb73a5ed3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2064b42b33ec7b1729bb73a5ed37fd"/>
                                <pic:cNvPicPr>
                                  <a:picLocks noChangeAspect="1"/>
                                </pic:cNvPicPr>
                              </pic:nvPicPr>
                              <pic:blipFill>
                                <a:blip r:embed="rId9"/>
                                <a:srcRect b="2511"/>
                                <a:stretch>
                                  <a:fillRect/>
                                </a:stretch>
                              </pic:blipFill>
                              <pic:spPr>
                                <a:xfrm>
                                  <a:off x="0" y="0"/>
                                  <a:ext cx="4656455" cy="2761615"/>
                                </a:xfrm>
                                <a:prstGeom prst="rect">
                                  <a:avLst/>
                                </a:prstGeom>
                              </pic:spPr>
                            </pic:pic>
                          </a:graphicData>
                        </a:graphic>
                      </wp:inline>
                    </w:drawing>
                  </w:r>
                </w:p>
              </w:tc>
            </w:tr>
            <w:tr w14:paraId="2D49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6D59B731">
                  <w:pPr>
                    <w:pStyle w:val="12"/>
                    <w:keepNext w:val="0"/>
                    <w:keepLines w:val="0"/>
                    <w:pageBreakBefore w:val="0"/>
                    <w:widowControl w:val="0"/>
                    <w:numPr>
                      <w:ilvl w:val="0"/>
                      <w:numId w:val="0"/>
                    </w:numPr>
                    <w:kinsoku/>
                    <w:wordWrap w:val="0"/>
                    <w:overflowPunct/>
                    <w:topLinePunct/>
                    <w:autoSpaceDE/>
                    <w:autoSpaceDN/>
                    <w:bidi w:val="0"/>
                    <w:adjustRightInd/>
                    <w:snapToGrid/>
                    <w:ind w:left="0" w:leftChars="0" w:right="0" w:rightChars="0" w:firstLine="0" w:firstLineChars="0"/>
                    <w:jc w:val="center"/>
                    <w:textAlignment w:val="auto"/>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drawing>
                      <wp:inline distT="0" distB="0" distL="114300" distR="114300">
                        <wp:extent cx="4654550" cy="5085080"/>
                        <wp:effectExtent l="0" t="0" r="12700" b="1270"/>
                        <wp:docPr id="2" name="图片 2" descr="管控单元截图2025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管控单元截图20251210"/>
                                <pic:cNvPicPr>
                                  <a:picLocks noChangeAspect="1"/>
                                </pic:cNvPicPr>
                              </pic:nvPicPr>
                              <pic:blipFill>
                                <a:blip r:embed="rId10"/>
                                <a:stretch>
                                  <a:fillRect/>
                                </a:stretch>
                              </pic:blipFill>
                              <pic:spPr>
                                <a:xfrm>
                                  <a:off x="0" y="0"/>
                                  <a:ext cx="4654550" cy="5085080"/>
                                </a:xfrm>
                                <a:prstGeom prst="rect">
                                  <a:avLst/>
                                </a:prstGeom>
                              </pic:spPr>
                            </pic:pic>
                          </a:graphicData>
                        </a:graphic>
                      </wp:inline>
                    </w:drawing>
                  </w:r>
                </w:p>
              </w:tc>
            </w:tr>
            <w:tr w14:paraId="051BA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0743CCC0">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rPr>
                      <w:rFonts w:hint="eastAsia" w:ascii="宋体" w:hAnsi="宋体" w:eastAsia="宋体" w:cs="宋体"/>
                      <w:color w:val="auto"/>
                      <w:vertAlign w:val="baseline"/>
                      <w:lang w:val="en-US" w:eastAsia="zh-CN"/>
                    </w:rPr>
                  </w:pPr>
                  <w:r>
                    <w:rPr>
                      <w:rFonts w:hint="default" w:ascii="Times New Roman" w:hAnsi="Times New Roman" w:eastAsia="宋体" w:cs="Times New Roman"/>
                      <w:b/>
                      <w:bCs w:val="0"/>
                      <w:color w:val="auto"/>
                      <w:spacing w:val="0"/>
                      <w:sz w:val="21"/>
                      <w:szCs w:val="21"/>
                      <w:lang w:val="en-US" w:eastAsia="zh-CN"/>
                    </w:rPr>
                    <w:t>图1-1本项目生态分区管控情况图</w:t>
                  </w:r>
                </w:p>
              </w:tc>
            </w:tr>
          </w:tbl>
          <w:p w14:paraId="74CFAF13">
            <w:pPr>
              <w:pStyle w:val="12"/>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left"/>
              <w:textAlignment w:val="auto"/>
              <w:rPr>
                <w:rFonts w:hint="eastAsia" w:ascii="宋体" w:hAnsi="宋体" w:eastAsia="宋体" w:cs="宋体"/>
                <w:color w:val="auto"/>
                <w:lang w:val="en-US" w:eastAsia="zh-CN"/>
              </w:rPr>
            </w:pPr>
            <w:r>
              <w:rPr>
                <w:rFonts w:hint="default" w:ascii="Times New Roman" w:hAnsi="Times New Roman" w:eastAsia="宋体" w:cs="Times New Roman"/>
                <w:b w:val="0"/>
                <w:bCs/>
                <w:color w:val="auto"/>
                <w:spacing w:val="0"/>
                <w:sz w:val="24"/>
                <w:lang w:val="en-US" w:eastAsia="zh-CN"/>
              </w:rPr>
              <w:t>根据上表，项目主要涉及寻甸回族彝族自治县农村重点管控单元ZH53012920005</w:t>
            </w:r>
            <w:r>
              <w:rPr>
                <w:rFonts w:hint="default" w:ascii="Times New Roman" w:hAnsi="Times New Roman" w:eastAsia="宋体" w:cs="Times New Roman"/>
                <w:b w:val="0"/>
                <w:bCs/>
                <w:color w:val="auto"/>
                <w:spacing w:val="0"/>
                <w:sz w:val="24"/>
                <w:highlight w:val="none"/>
                <w:lang w:val="en-US" w:eastAsia="zh-CN"/>
              </w:rPr>
              <w:t>（详见图1-1）</w:t>
            </w:r>
            <w:r>
              <w:rPr>
                <w:rFonts w:hint="default" w:ascii="Times New Roman" w:hAnsi="Times New Roman" w:eastAsia="宋体" w:cs="Times New Roman"/>
                <w:b w:val="0"/>
                <w:bCs/>
                <w:color w:val="auto"/>
                <w:spacing w:val="0"/>
                <w:sz w:val="24"/>
                <w:lang w:val="en-US" w:eastAsia="zh-CN"/>
              </w:rPr>
              <w:t>，项目与《昆明市生态环境分区管控动态更新方案》（2023年）的符合性分析见表1-</w:t>
            </w:r>
            <w:r>
              <w:rPr>
                <w:rFonts w:hint="eastAsia" w:cs="Times New Roman"/>
                <w:b w:val="0"/>
                <w:bCs/>
                <w:color w:val="auto"/>
                <w:spacing w:val="0"/>
                <w:sz w:val="24"/>
                <w:lang w:val="en-US" w:eastAsia="zh-CN"/>
              </w:rPr>
              <w:t>4</w:t>
            </w:r>
            <w:r>
              <w:rPr>
                <w:rFonts w:hint="default" w:ascii="Times New Roman" w:hAnsi="Times New Roman" w:eastAsia="宋体" w:cs="Times New Roman"/>
                <w:b w:val="0"/>
                <w:bCs/>
                <w:color w:val="auto"/>
                <w:spacing w:val="0"/>
                <w:sz w:val="24"/>
                <w:lang w:val="en-US" w:eastAsia="zh-CN"/>
              </w:rPr>
              <w:t>。</w:t>
            </w:r>
          </w:p>
          <w:p w14:paraId="16275750">
            <w:pPr>
              <w:keepNext w:val="0"/>
              <w:keepLines w:val="0"/>
              <w:widowControl/>
              <w:suppressLineNumbers w:val="0"/>
              <w:kinsoku/>
              <w:wordWrap w:val="0"/>
              <w:overflowPunct/>
              <w:topLinePunct/>
              <w:autoSpaceDE/>
              <w:bidi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bCs/>
                <w:snapToGrid w:val="0"/>
                <w:color w:val="auto"/>
                <w:kern w:val="0"/>
                <w:sz w:val="21"/>
                <w:szCs w:val="21"/>
                <w:lang w:val="en-US" w:eastAsia="zh-CN" w:bidi="ar"/>
              </w:rPr>
              <w:t>表1-</w:t>
            </w:r>
            <w:r>
              <w:rPr>
                <w:rFonts w:hint="eastAsia" w:cs="Times New Roman"/>
                <w:b/>
                <w:bCs/>
                <w:snapToGrid w:val="0"/>
                <w:color w:val="auto"/>
                <w:kern w:val="0"/>
                <w:sz w:val="21"/>
                <w:szCs w:val="21"/>
                <w:lang w:val="en-US" w:eastAsia="zh-CN" w:bidi="ar"/>
              </w:rPr>
              <w:t>4</w:t>
            </w:r>
            <w:r>
              <w:rPr>
                <w:rFonts w:hint="default" w:ascii="Times New Roman" w:hAnsi="Times New Roman" w:eastAsia="宋体" w:cs="Times New Roman"/>
                <w:b/>
                <w:bCs/>
                <w:snapToGrid w:val="0"/>
                <w:color w:val="auto"/>
                <w:kern w:val="0"/>
                <w:sz w:val="21"/>
                <w:szCs w:val="21"/>
                <w:lang w:val="en-US" w:eastAsia="zh-CN" w:bidi="ar"/>
              </w:rPr>
              <w:t>项目与《昆明市生态环境分区管控动态更新方案》（2023年）的符合性分析</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717"/>
              <w:gridCol w:w="2981"/>
              <w:gridCol w:w="2773"/>
              <w:gridCol w:w="537"/>
            </w:tblGrid>
            <w:tr w14:paraId="3C46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2942724">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生态环境管控总体要求</w:t>
                  </w:r>
                </w:p>
              </w:tc>
            </w:tr>
            <w:tr w14:paraId="2466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144C70F2">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类别</w:t>
                  </w:r>
                </w:p>
              </w:tc>
              <w:tc>
                <w:tcPr>
                  <w:tcW w:w="2415" w:type="pct"/>
                  <w:gridSpan w:val="2"/>
                  <w:vAlign w:val="center"/>
                </w:tcPr>
                <w:p w14:paraId="4B80B097">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内容要求</w:t>
                  </w:r>
                </w:p>
              </w:tc>
              <w:tc>
                <w:tcPr>
                  <w:tcW w:w="1811" w:type="pct"/>
                  <w:vAlign w:val="center"/>
                </w:tcPr>
                <w:p w14:paraId="3BC98F7F">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项目情况</w:t>
                  </w:r>
                </w:p>
              </w:tc>
              <w:tc>
                <w:tcPr>
                  <w:tcW w:w="349" w:type="pct"/>
                  <w:vAlign w:val="center"/>
                </w:tcPr>
                <w:p w14:paraId="0902C09F">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符合性</w:t>
                  </w:r>
                </w:p>
              </w:tc>
            </w:tr>
            <w:tr w14:paraId="6440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016153F3">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snapToGrid w:val="0"/>
                      <w:color w:val="auto"/>
                      <w:kern w:val="0"/>
                      <w:sz w:val="21"/>
                      <w:szCs w:val="21"/>
                      <w:lang w:val="en-US" w:eastAsia="zh-CN" w:bidi="ar"/>
                    </w:rPr>
                    <w:t>空间布局约束</w:t>
                  </w:r>
                </w:p>
              </w:tc>
              <w:tc>
                <w:tcPr>
                  <w:tcW w:w="2415" w:type="pct"/>
                  <w:gridSpan w:val="2"/>
                  <w:vAlign w:val="center"/>
                </w:tcPr>
                <w:p w14:paraId="569E1275">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1.根据《昆明市国土空间总体规划（2021—2035年）》进行空间管控。</w:t>
                  </w:r>
                </w:p>
                <w:p w14:paraId="5E75A9A0">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2.牛栏江流域内，严格按照《云南省牛栏江保护条例》相关要求对水环境进行分区管控。</w:t>
                  </w:r>
                </w:p>
                <w:p w14:paraId="0C7227AA">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3.滇池流域内，严格按照《云南省滇池湖滨生态红线及湖泊生态黄线“两线”划定方案》相关要求进行分区管控。</w:t>
                  </w:r>
                </w:p>
                <w:p w14:paraId="50D2216C">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snapToGrid w:val="0"/>
                      <w:color w:val="auto"/>
                      <w:kern w:val="0"/>
                      <w:sz w:val="21"/>
                      <w:szCs w:val="21"/>
                      <w:lang w:val="en-US" w:eastAsia="zh-CN" w:bidi="ar"/>
                    </w:rPr>
                    <w:t>4.阳宗海流域内，严格按照《云南省阳宗海湖滨生态红线及湖泊生态黄线“两线”划定方案》相关要求进行分区管控。</w:t>
                  </w:r>
                </w:p>
              </w:tc>
              <w:tc>
                <w:tcPr>
                  <w:tcW w:w="1811" w:type="pct"/>
                  <w:vAlign w:val="center"/>
                </w:tcPr>
                <w:p w14:paraId="5F1A6565">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1.本项目属于专科医院位于倘甸镇城市开发边界内，符合</w:t>
                  </w:r>
                  <w:r>
                    <w:rPr>
                      <w:rFonts w:hint="default" w:ascii="Times New Roman" w:hAnsi="Times New Roman" w:eastAsia="宋体" w:cs="Times New Roman"/>
                      <w:snapToGrid w:val="0"/>
                      <w:color w:val="auto"/>
                      <w:kern w:val="0"/>
                      <w:sz w:val="21"/>
                      <w:szCs w:val="21"/>
                      <w:lang w:val="en-US" w:eastAsia="zh-CN" w:bidi="ar"/>
                    </w:rPr>
                    <w:t>《昆明市国土空间总体规划（2021—2035年）》进行空间管控</w:t>
                  </w:r>
                  <w:r>
                    <w:rPr>
                      <w:rFonts w:hint="eastAsia" w:ascii="Times New Roman" w:hAnsi="Times New Roman" w:cs="Times New Roman"/>
                      <w:snapToGrid w:val="0"/>
                      <w:color w:val="auto"/>
                      <w:kern w:val="0"/>
                      <w:sz w:val="21"/>
                      <w:szCs w:val="21"/>
                      <w:lang w:val="en-US" w:eastAsia="zh-CN" w:bidi="ar"/>
                    </w:rPr>
                    <w:t>的要求。</w:t>
                  </w:r>
                </w:p>
                <w:p w14:paraId="64E99728">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2、3项目位于昆明市寻甸回族彝族自治县倘甸镇白章村委会芭蕉树村108号，项目周边地表为倘甸河，汇入洗马河，属于长江流域。项目不涉及滇池流域、阳宗海流域。</w:t>
                  </w:r>
                </w:p>
              </w:tc>
              <w:tc>
                <w:tcPr>
                  <w:tcW w:w="349" w:type="pct"/>
                  <w:vAlign w:val="center"/>
                </w:tcPr>
                <w:p w14:paraId="7624E30C">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C5E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4F0A3724">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污染物排放管控</w:t>
                  </w:r>
                </w:p>
              </w:tc>
              <w:tc>
                <w:tcPr>
                  <w:tcW w:w="2415" w:type="pct"/>
                  <w:gridSpan w:val="2"/>
                  <w:vAlign w:val="center"/>
                </w:tcPr>
                <w:p w14:paraId="200CDF3D">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1.到2025年，昆明市地表水国控断面达到或好于Ⅲ类水体比例应达到81.5%，45个省控断面达到或好于Ⅲ类水体比例应达到80%，劣V类水体全面消除，县级及以上集中式饮用水水源地水质达标率100%；滇池草海水质稳定达到Ⅳ类、外海水质达到Ⅳ类（COD≤40mg/L），阳宗海水质稳定达到Ⅲ类水标准，县级及以上集中式饮用水水源地水质达标率100%。化学需氧量重点工程减排量10243t，氨氮重点工程减排量1009t。</w:t>
                  </w:r>
                </w:p>
                <w:p w14:paraId="5971873B">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2.到2025年，昆明市环境空气质量优良天数比例应达到99.1%，城市细颗粒物（PM2.5）平均浓度应达到24μg/m³；氮氧化物重点工程减排量2237t，挥发性有机物重点工程减排量1684t。</w:t>
                  </w:r>
                </w:p>
                <w:p w14:paraId="5FA984CA">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40AB81AE">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4.建立完善源头、过程和末端的VOCs全过程控制体系，实施VOCs排放总量控制。</w:t>
                  </w:r>
                </w:p>
                <w:p w14:paraId="09E0C66C">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5.推进农业废弃物综合利用，2025年底前综合利用率达90%以上。</w:t>
                  </w:r>
                </w:p>
                <w:p w14:paraId="48FBEA14">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68C40142">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76E25CA">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8.督促指导磷石膏生产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E043E28">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9.推动昆明市磷石膏综合利用率2023年达到52%，2024年达到64%，2025年确保达到73%，力争达到75%；到2025年底，中心城区污泥无害化处置率达到95%以上，县城污泥无害化处置率达到90%以上。</w:t>
                  </w:r>
                </w:p>
              </w:tc>
              <w:tc>
                <w:tcPr>
                  <w:tcW w:w="1811" w:type="pct"/>
                  <w:vAlign w:val="center"/>
                </w:tcPr>
                <w:p w14:paraId="668F185D">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highlight w:val="yellow"/>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1、</w:t>
                  </w:r>
                  <w:r>
                    <w:rPr>
                      <w:rFonts w:hint="eastAsia" w:cs="Times New Roman"/>
                      <w:b w:val="0"/>
                      <w:bCs/>
                      <w:color w:val="auto"/>
                      <w:spacing w:val="0"/>
                      <w:sz w:val="21"/>
                      <w:szCs w:val="21"/>
                      <w:highlight w:val="none"/>
                      <w:vertAlign w:val="baseline"/>
                      <w:lang w:val="en-US" w:eastAsia="zh-CN"/>
                    </w:rPr>
                    <w:t>本项目周边地表水为倘甸河</w:t>
                  </w:r>
                  <w:r>
                    <w:rPr>
                      <w:rFonts w:hint="eastAsia" w:ascii="Times New Roman" w:hAnsi="Times New Roman" w:eastAsia="宋体" w:cs="Times New Roman"/>
                      <w:b w:val="0"/>
                      <w:bCs/>
                      <w:color w:val="auto"/>
                      <w:spacing w:val="0"/>
                      <w:sz w:val="21"/>
                      <w:szCs w:val="21"/>
                      <w:highlight w:val="none"/>
                      <w:vertAlign w:val="baseline"/>
                      <w:lang w:val="en-US" w:eastAsia="zh-CN"/>
                    </w:rPr>
                    <w:t>汇</w:t>
                  </w:r>
                  <w:r>
                    <w:rPr>
                      <w:rFonts w:hint="eastAsia" w:ascii="Times New Roman" w:hAnsi="Times New Roman" w:eastAsia="宋体" w:cs="Times New Roman"/>
                      <w:b w:val="0"/>
                      <w:bCs/>
                      <w:color w:val="auto"/>
                      <w:spacing w:val="0"/>
                      <w:sz w:val="21"/>
                      <w:szCs w:val="21"/>
                      <w:vertAlign w:val="baseline"/>
                      <w:lang w:val="en-US" w:eastAsia="zh-CN"/>
                    </w:rPr>
                    <w:t>入洗马河，属于长江流域</w:t>
                  </w:r>
                  <w:r>
                    <w:rPr>
                      <w:rFonts w:hint="eastAsia" w:cs="Times New Roman"/>
                      <w:b w:val="0"/>
                      <w:bCs/>
                      <w:color w:val="auto"/>
                      <w:spacing w:val="0"/>
                      <w:sz w:val="21"/>
                      <w:szCs w:val="21"/>
                      <w:vertAlign w:val="baseline"/>
                      <w:lang w:val="en-US" w:eastAsia="zh-CN"/>
                    </w:rPr>
                    <w:t>，根据“寻甸县人民政府网站”上公布的《寻甸县2025年第三季度环境质量公报》中“马街河入洗马河入口”断面处水质监测结果，该断面处水质达到Ⅲ类水标准。项目院内设置污水处理站处理后的废水排入市政管网，最终进入倘甸镇污水处理厂。</w:t>
                  </w:r>
                </w:p>
                <w:p w14:paraId="1E5F3D2F">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kern w:val="2"/>
                      <w:sz w:val="21"/>
                      <w:szCs w:val="21"/>
                      <w:vertAlign w:val="baseline"/>
                      <w:lang w:val="en-US" w:eastAsia="zh-CN" w:bidi="ar-SA"/>
                    </w:rPr>
                    <w:t>2.</w:t>
                  </w:r>
                  <w:r>
                    <w:rPr>
                      <w:rFonts w:hint="eastAsia" w:ascii="Times New Roman" w:hAnsi="Times New Roman" w:eastAsia="宋体" w:cs="Times New Roman"/>
                      <w:b w:val="0"/>
                      <w:bCs/>
                      <w:color w:val="auto"/>
                      <w:spacing w:val="0"/>
                      <w:sz w:val="21"/>
                      <w:szCs w:val="21"/>
                      <w:vertAlign w:val="baseline"/>
                      <w:lang w:val="en-US" w:eastAsia="zh-CN"/>
                    </w:rPr>
                    <w:t>本项目不属于工业企业，本项目所在区域环境空气质量能够达到《环境空气质量标准》</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GB3095-</w:t>
                  </w:r>
                  <w:r>
                    <w:rPr>
                      <w:rFonts w:hint="eastAsia" w:cs="Times New Roman"/>
                      <w:b w:val="0"/>
                      <w:bCs/>
                      <w:color w:val="auto"/>
                      <w:spacing w:val="0"/>
                      <w:sz w:val="21"/>
                      <w:szCs w:val="21"/>
                      <w:vertAlign w:val="baseline"/>
                      <w:lang w:val="en-US" w:eastAsia="zh-CN"/>
                    </w:rPr>
                    <w:t>2026）</w:t>
                  </w:r>
                  <w:r>
                    <w:rPr>
                      <w:rFonts w:hint="eastAsia" w:ascii="Times New Roman" w:hAnsi="Times New Roman" w:eastAsia="宋体" w:cs="Times New Roman"/>
                      <w:b w:val="0"/>
                      <w:bCs/>
                      <w:color w:val="auto"/>
                      <w:spacing w:val="0"/>
                      <w:sz w:val="21"/>
                      <w:szCs w:val="21"/>
                      <w:vertAlign w:val="baseline"/>
                      <w:lang w:val="en-US" w:eastAsia="zh-CN"/>
                    </w:rPr>
                    <w:t>中过渡阶段浓度限值</w:t>
                  </w:r>
                  <w:r>
                    <w:rPr>
                      <w:rFonts w:hint="eastAsia" w:cs="Times New Roman"/>
                      <w:b w:val="0"/>
                      <w:bCs/>
                      <w:color w:val="auto"/>
                      <w:spacing w:val="0"/>
                      <w:sz w:val="21"/>
                      <w:szCs w:val="21"/>
                      <w:vertAlign w:val="baseline"/>
                      <w:lang w:val="en-US" w:eastAsia="zh-CN"/>
                    </w:rPr>
                    <w:t>二级</w:t>
                  </w:r>
                  <w:r>
                    <w:rPr>
                      <w:rFonts w:hint="eastAsia" w:ascii="Times New Roman" w:hAnsi="Times New Roman" w:eastAsia="宋体" w:cs="Times New Roman"/>
                      <w:b w:val="0"/>
                      <w:bCs/>
                      <w:color w:val="auto"/>
                      <w:spacing w:val="0"/>
                      <w:sz w:val="21"/>
                      <w:szCs w:val="21"/>
                      <w:vertAlign w:val="baseline"/>
                      <w:lang w:val="en-US" w:eastAsia="zh-CN"/>
                    </w:rPr>
                    <w:t>标准。</w:t>
                  </w:r>
                </w:p>
                <w:p w14:paraId="73B0EB19">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kern w:val="2"/>
                      <w:sz w:val="21"/>
                      <w:szCs w:val="21"/>
                      <w:vertAlign w:val="baseline"/>
                      <w:lang w:val="en-US" w:eastAsia="zh-CN" w:bidi="ar-SA"/>
                    </w:rPr>
                    <w:t>3</w:t>
                  </w:r>
                  <w:r>
                    <w:rPr>
                      <w:rFonts w:hint="eastAsia" w:ascii="Times New Roman" w:hAnsi="Times New Roman" w:eastAsia="宋体" w:cs="Times New Roman"/>
                      <w:b w:val="0"/>
                      <w:bCs/>
                      <w:color w:val="auto"/>
                      <w:spacing w:val="0"/>
                      <w:kern w:val="2"/>
                      <w:sz w:val="21"/>
                      <w:szCs w:val="21"/>
                      <w:vertAlign w:val="baseline"/>
                      <w:lang w:val="en-US" w:eastAsia="zh-CN" w:bidi="ar-SA"/>
                    </w:rPr>
                    <w:t>.</w:t>
                  </w:r>
                  <w:r>
                    <w:rPr>
                      <w:rFonts w:hint="default" w:ascii="Times New Roman" w:hAnsi="Times New Roman" w:eastAsia="宋体" w:cs="Times New Roman"/>
                      <w:b w:val="0"/>
                      <w:bCs/>
                      <w:color w:val="auto"/>
                      <w:spacing w:val="0"/>
                      <w:sz w:val="21"/>
                      <w:szCs w:val="21"/>
                      <w:vertAlign w:val="baseline"/>
                      <w:lang w:val="en-US" w:eastAsia="zh-CN"/>
                    </w:rPr>
                    <w:t>本项目属于</w:t>
                  </w:r>
                  <w:r>
                    <w:rPr>
                      <w:rFonts w:hint="eastAsia" w:ascii="Times New Roman" w:hAnsi="Times New Roman" w:eastAsia="宋体" w:cs="Times New Roman"/>
                      <w:b w:val="0"/>
                      <w:bCs/>
                      <w:color w:val="auto"/>
                      <w:spacing w:val="0"/>
                      <w:sz w:val="21"/>
                      <w:szCs w:val="21"/>
                      <w:vertAlign w:val="baseline"/>
                      <w:lang w:val="en-US" w:eastAsia="zh-CN"/>
                    </w:rPr>
                    <w:t>精神病院</w:t>
                  </w:r>
                  <w:r>
                    <w:rPr>
                      <w:rFonts w:hint="default" w:ascii="Times New Roman" w:hAnsi="Times New Roman" w:eastAsia="宋体" w:cs="Times New Roman"/>
                      <w:b w:val="0"/>
                      <w:bCs/>
                      <w:color w:val="auto"/>
                      <w:spacing w:val="0"/>
                      <w:sz w:val="21"/>
                      <w:szCs w:val="21"/>
                      <w:vertAlign w:val="baseline"/>
                      <w:lang w:val="en-US" w:eastAsia="zh-CN"/>
                    </w:rPr>
                    <w:t>，不涉及钢铁行业及燃煤锅炉。</w:t>
                  </w:r>
                </w:p>
                <w:p w14:paraId="719756BB">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kern w:val="2"/>
                      <w:sz w:val="21"/>
                      <w:szCs w:val="21"/>
                      <w:vertAlign w:val="baseline"/>
                      <w:lang w:val="en-US" w:eastAsia="zh-CN" w:bidi="ar-SA"/>
                    </w:rPr>
                    <w:t>4</w:t>
                  </w:r>
                  <w:r>
                    <w:rPr>
                      <w:rFonts w:hint="eastAsia" w:ascii="Times New Roman" w:hAnsi="Times New Roman" w:eastAsia="宋体" w:cs="Times New Roman"/>
                      <w:b w:val="0"/>
                      <w:bCs/>
                      <w:color w:val="auto"/>
                      <w:spacing w:val="0"/>
                      <w:kern w:val="2"/>
                      <w:sz w:val="21"/>
                      <w:szCs w:val="21"/>
                      <w:vertAlign w:val="baseline"/>
                      <w:lang w:val="en-US" w:eastAsia="zh-CN" w:bidi="ar-SA"/>
                    </w:rPr>
                    <w:t>.</w:t>
                  </w:r>
                  <w:r>
                    <w:rPr>
                      <w:rFonts w:hint="default" w:ascii="Times New Roman" w:hAnsi="Times New Roman" w:eastAsia="宋体" w:cs="Times New Roman"/>
                      <w:b w:val="0"/>
                      <w:bCs/>
                      <w:color w:val="auto"/>
                      <w:spacing w:val="0"/>
                      <w:sz w:val="21"/>
                      <w:szCs w:val="21"/>
                      <w:vertAlign w:val="baseline"/>
                      <w:lang w:val="en-US" w:eastAsia="zh-CN"/>
                    </w:rPr>
                    <w:t>本项目属于</w:t>
                  </w:r>
                  <w:r>
                    <w:rPr>
                      <w:rFonts w:hint="eastAsia" w:ascii="Times New Roman" w:hAnsi="Times New Roman" w:eastAsia="宋体" w:cs="Times New Roman"/>
                      <w:b w:val="0"/>
                      <w:bCs/>
                      <w:color w:val="auto"/>
                      <w:spacing w:val="0"/>
                      <w:sz w:val="21"/>
                      <w:szCs w:val="21"/>
                      <w:vertAlign w:val="baseline"/>
                      <w:lang w:val="en-US" w:eastAsia="zh-CN"/>
                    </w:rPr>
                    <w:t>精神病院</w:t>
                  </w:r>
                  <w:r>
                    <w:rPr>
                      <w:rFonts w:hint="default" w:ascii="Times New Roman" w:hAnsi="Times New Roman" w:eastAsia="宋体" w:cs="Times New Roman"/>
                      <w:b w:val="0"/>
                      <w:bCs/>
                      <w:color w:val="auto"/>
                      <w:spacing w:val="0"/>
                      <w:sz w:val="21"/>
                      <w:szCs w:val="21"/>
                      <w:vertAlign w:val="baseline"/>
                      <w:lang w:val="en-US" w:eastAsia="zh-CN"/>
                    </w:rPr>
                    <w:t>，运营期产生</w:t>
                  </w:r>
                  <w:r>
                    <w:rPr>
                      <w:rFonts w:hint="eastAsia" w:cs="Times New Roman"/>
                      <w:b w:val="0"/>
                      <w:bCs/>
                      <w:color w:val="auto"/>
                      <w:spacing w:val="0"/>
                      <w:sz w:val="21"/>
                      <w:szCs w:val="21"/>
                      <w:vertAlign w:val="baseline"/>
                      <w:lang w:val="en-US" w:eastAsia="zh-CN"/>
                    </w:rPr>
                    <w:t>的</w:t>
                  </w:r>
                  <w:r>
                    <w:rPr>
                      <w:rFonts w:hint="default" w:ascii="Times New Roman" w:hAnsi="Times New Roman" w:eastAsia="宋体" w:cs="Times New Roman"/>
                      <w:b w:val="0"/>
                      <w:bCs/>
                      <w:color w:val="auto"/>
                      <w:spacing w:val="0"/>
                      <w:sz w:val="21"/>
                      <w:szCs w:val="21"/>
                      <w:vertAlign w:val="baseline"/>
                      <w:lang w:val="en-US" w:eastAsia="zh-CN"/>
                    </w:rPr>
                    <w:t>挥发性有机废</w:t>
                  </w:r>
                  <w:r>
                    <w:rPr>
                      <w:rFonts w:hint="eastAsia" w:cs="Times New Roman"/>
                      <w:b w:val="0"/>
                      <w:bCs/>
                      <w:color w:val="auto"/>
                      <w:spacing w:val="0"/>
                      <w:sz w:val="21"/>
                      <w:szCs w:val="21"/>
                      <w:vertAlign w:val="baseline"/>
                      <w:lang w:val="en-US" w:eastAsia="zh-CN"/>
                    </w:rPr>
                    <w:t>气为酒精（乙醇）及污水处理设施产生的少量甲烷气体均以呈无组织排放。</w:t>
                  </w:r>
                </w:p>
                <w:p w14:paraId="3133BA00">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kern w:val="2"/>
                      <w:sz w:val="21"/>
                      <w:szCs w:val="21"/>
                      <w:vertAlign w:val="baseline"/>
                      <w:lang w:val="en-US" w:eastAsia="zh-CN" w:bidi="ar-SA"/>
                    </w:rPr>
                    <w:t>5</w:t>
                  </w:r>
                  <w:r>
                    <w:rPr>
                      <w:rFonts w:hint="eastAsia" w:ascii="Times New Roman" w:hAnsi="Times New Roman" w:eastAsia="宋体" w:cs="Times New Roman"/>
                      <w:b w:val="0"/>
                      <w:bCs/>
                      <w:color w:val="auto"/>
                      <w:spacing w:val="0"/>
                      <w:kern w:val="2"/>
                      <w:sz w:val="21"/>
                      <w:szCs w:val="21"/>
                      <w:vertAlign w:val="baseline"/>
                      <w:lang w:val="en-US" w:eastAsia="zh-CN" w:bidi="ar-SA"/>
                    </w:rPr>
                    <w:t>.</w:t>
                  </w:r>
                  <w:r>
                    <w:rPr>
                      <w:rFonts w:hint="eastAsia" w:ascii="Times New Roman" w:hAnsi="Times New Roman" w:eastAsia="宋体" w:cs="Times New Roman"/>
                      <w:b w:val="0"/>
                      <w:bCs/>
                      <w:color w:val="auto"/>
                      <w:spacing w:val="0"/>
                      <w:sz w:val="21"/>
                      <w:szCs w:val="21"/>
                      <w:vertAlign w:val="baseline"/>
                      <w:lang w:val="en-US" w:eastAsia="zh-CN"/>
                    </w:rPr>
                    <w:t>本项目不涉及农业。</w:t>
                  </w:r>
                </w:p>
                <w:p w14:paraId="7F415516">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6</w:t>
                  </w:r>
                  <w:r>
                    <w:rPr>
                      <w:rFonts w:hint="eastAsia" w:ascii="Times New Roman" w:hAnsi="Times New Roman" w:eastAsia="宋体" w:cs="Times New Roman"/>
                      <w:b w:val="0"/>
                      <w:bCs/>
                      <w:color w:val="auto"/>
                      <w:spacing w:val="0"/>
                      <w:sz w:val="21"/>
                      <w:szCs w:val="21"/>
                      <w:vertAlign w:val="baseline"/>
                      <w:lang w:val="en-US" w:eastAsia="zh-CN"/>
                    </w:rPr>
                    <w:t>、</w:t>
                  </w:r>
                  <w:r>
                    <w:rPr>
                      <w:rFonts w:hint="eastAsia" w:ascii="Times New Roman" w:hAnsi="Times New Roman" w:cs="Times New Roman"/>
                      <w:b w:val="0"/>
                      <w:bCs/>
                      <w:color w:val="auto"/>
                      <w:spacing w:val="0"/>
                      <w:sz w:val="21"/>
                      <w:szCs w:val="21"/>
                      <w:vertAlign w:val="baseline"/>
                      <w:lang w:val="en-US" w:eastAsia="zh-CN"/>
                    </w:rPr>
                    <w:t>7</w:t>
                  </w:r>
                  <w:r>
                    <w:rPr>
                      <w:rFonts w:hint="eastAsia" w:ascii="Times New Roman" w:hAnsi="Times New Roman" w:eastAsia="宋体" w:cs="Times New Roman"/>
                      <w:b w:val="0"/>
                      <w:bCs/>
                      <w:color w:val="auto"/>
                      <w:spacing w:val="0"/>
                      <w:sz w:val="21"/>
                      <w:szCs w:val="21"/>
                      <w:vertAlign w:val="baseline"/>
                      <w:lang w:val="en-US" w:eastAsia="zh-CN"/>
                    </w:rPr>
                    <w:t>项目位于昆明市寻甸回族彝族自治县倘甸镇白章村委会芭蕉树村108号，项目周边地表为倘甸河，汇入洗马河，属于长江流域。项目不涉及滇池流域、阳宗海流域。</w:t>
                  </w:r>
                </w:p>
                <w:p w14:paraId="76425A5C">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8、9项目</w:t>
                  </w:r>
                  <w:r>
                    <w:rPr>
                      <w:rFonts w:hint="default" w:ascii="Times New Roman" w:hAnsi="Times New Roman" w:eastAsia="宋体" w:cs="Times New Roman"/>
                      <w:b w:val="0"/>
                      <w:bCs/>
                      <w:color w:val="auto"/>
                      <w:spacing w:val="0"/>
                      <w:sz w:val="21"/>
                      <w:szCs w:val="21"/>
                      <w:vertAlign w:val="baseline"/>
                      <w:lang w:val="en-US" w:eastAsia="zh-CN"/>
                    </w:rPr>
                    <w:t>属于</w:t>
                  </w:r>
                  <w:r>
                    <w:rPr>
                      <w:rFonts w:hint="eastAsia" w:ascii="Times New Roman" w:hAnsi="Times New Roman" w:eastAsia="宋体" w:cs="Times New Roman"/>
                      <w:b w:val="0"/>
                      <w:bCs/>
                      <w:color w:val="auto"/>
                      <w:spacing w:val="0"/>
                      <w:sz w:val="21"/>
                      <w:szCs w:val="21"/>
                      <w:vertAlign w:val="baseline"/>
                      <w:lang w:val="en-US" w:eastAsia="zh-CN"/>
                    </w:rPr>
                    <w:t>精神病院</w:t>
                  </w:r>
                  <w:r>
                    <w:rPr>
                      <w:rFonts w:hint="eastAsia" w:ascii="Times New Roman" w:hAnsi="Times New Roman" w:cs="Times New Roman"/>
                      <w:b w:val="0"/>
                      <w:bCs/>
                      <w:color w:val="auto"/>
                      <w:spacing w:val="0"/>
                      <w:sz w:val="21"/>
                      <w:szCs w:val="21"/>
                      <w:vertAlign w:val="baseline"/>
                      <w:lang w:val="en-US" w:eastAsia="zh-CN"/>
                    </w:rPr>
                    <w:t>，不涉及磷石膏行业。</w:t>
                  </w:r>
                </w:p>
              </w:tc>
              <w:tc>
                <w:tcPr>
                  <w:tcW w:w="349" w:type="pct"/>
                  <w:vAlign w:val="center"/>
                </w:tcPr>
                <w:p w14:paraId="048A7F54">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6254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7CE5D4EB">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环境风险防控</w:t>
                  </w:r>
                </w:p>
              </w:tc>
              <w:tc>
                <w:tcPr>
                  <w:tcW w:w="2415" w:type="pct"/>
                  <w:gridSpan w:val="2"/>
                  <w:vAlign w:val="center"/>
                </w:tcPr>
                <w:p w14:paraId="6A957F49">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773CD401">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2.针对持久性有机污染物、内分泌干扰物等新污染物，制定实施新污染物治理行动方案，开展新污染物筛查与评估，建立清单，开展化学物质生产使用信息调查，实施调查监测和环境风险评估。</w:t>
                  </w:r>
                </w:p>
                <w:p w14:paraId="50B94343">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7772484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4.开展“千吨万人”农村饮用水水源保护区环境风险排查整治，加强农村水源水质监测。</w:t>
                  </w:r>
                </w:p>
                <w:p w14:paraId="00F5A4FF">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46D64114">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6.严格新（改、扩）建尾矿库环境准入，健全尾矿库环境监管清单，加强尾矿库分类分级环境监管。严格落实《云南省尾矿库专项整治工作实施方案》。</w:t>
                  </w:r>
                </w:p>
              </w:tc>
              <w:tc>
                <w:tcPr>
                  <w:tcW w:w="1811" w:type="pct"/>
                  <w:vAlign w:val="center"/>
                </w:tcPr>
                <w:p w14:paraId="66F5BBB1">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1.</w:t>
                  </w:r>
                  <w:r>
                    <w:rPr>
                      <w:rFonts w:hint="default" w:ascii="Times New Roman" w:hAnsi="Times New Roman" w:eastAsia="宋体" w:cs="Times New Roman"/>
                      <w:b w:val="0"/>
                      <w:bCs/>
                      <w:color w:val="auto"/>
                      <w:spacing w:val="0"/>
                      <w:sz w:val="21"/>
                      <w:szCs w:val="21"/>
                      <w:vertAlign w:val="baseline"/>
                      <w:lang w:val="en-US" w:eastAsia="zh-CN"/>
                    </w:rPr>
                    <w:t>本评价不涉及辐射类，项目产生的危险废物、医疗废物收集、贮存、运输、处置均符合《危险废物贮存污染物控制标准</w:t>
                  </w:r>
                  <w:r>
                    <w:rPr>
                      <w:rFonts w:hint="eastAsia" w:ascii="Times New Roman" w:hAnsi="Times New Roman" w:eastAsia="宋体" w:cs="Times New Roman"/>
                      <w:b w:val="0"/>
                      <w:bCs/>
                      <w:color w:val="auto"/>
                      <w:spacing w:val="0"/>
                      <w:sz w:val="21"/>
                      <w:szCs w:val="21"/>
                      <w:vertAlign w:val="baseline"/>
                      <w:lang w:val="en-US" w:eastAsia="zh-CN"/>
                    </w:rPr>
                    <w:t>》《</w:t>
                  </w:r>
                  <w:r>
                    <w:rPr>
                      <w:rFonts w:hint="default" w:ascii="Times New Roman" w:hAnsi="Times New Roman" w:eastAsia="宋体" w:cs="Times New Roman"/>
                      <w:b w:val="0"/>
                      <w:bCs/>
                      <w:color w:val="auto"/>
                      <w:spacing w:val="0"/>
                      <w:sz w:val="21"/>
                      <w:szCs w:val="21"/>
                      <w:vertAlign w:val="baseline"/>
                      <w:lang w:val="en-US" w:eastAsia="zh-CN"/>
                    </w:rPr>
                    <w:t>危险废物转移管理办法》要求，不随意处置。</w:t>
                  </w:r>
                </w:p>
                <w:p w14:paraId="5351E574">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2.项目不涉及</w:t>
                  </w:r>
                </w:p>
                <w:p w14:paraId="19F2D1D8">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3.本评价提出：项目搬迁完成后，建设单位应按《关于印发&lt;企业事业单位突发环境事件应急预案管理办法</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试行</w:t>
                  </w:r>
                  <w:r>
                    <w:rPr>
                      <w:rFonts w:hint="eastAsia" w:cs="Times New Roman"/>
                      <w:b w:val="0"/>
                      <w:bCs/>
                      <w:color w:val="auto"/>
                      <w:spacing w:val="0"/>
                      <w:sz w:val="21"/>
                      <w:szCs w:val="21"/>
                      <w:vertAlign w:val="baseline"/>
                      <w:lang w:val="en-US" w:eastAsia="zh-CN"/>
                    </w:rPr>
                    <w:t>）〉的通知》</w:t>
                  </w:r>
                  <w:r>
                    <w:rPr>
                      <w:rFonts w:hint="eastAsia" w:ascii="Times New Roman" w:hAnsi="Times New Roman" w:eastAsia="宋体" w:cs="Times New Roman"/>
                      <w:b w:val="0"/>
                      <w:bCs/>
                      <w:color w:val="auto"/>
                      <w:spacing w:val="0"/>
                      <w:sz w:val="21"/>
                      <w:szCs w:val="21"/>
                      <w:vertAlign w:val="baseline"/>
                      <w:lang w:val="en-US" w:eastAsia="zh-CN"/>
                    </w:rPr>
                    <w:t>及时编制突发环境事件应急预案并报送当地生态环境部门备案，应急预案发布实施后及时公示并开展演练。</w:t>
                  </w:r>
                </w:p>
                <w:p w14:paraId="45C12490">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4.项目不涉及</w:t>
                  </w:r>
                </w:p>
                <w:p w14:paraId="3DDF69A0">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5.项目区单独设置</w:t>
                  </w:r>
                  <w:r>
                    <w:rPr>
                      <w:rFonts w:hint="eastAsia" w:cs="Times New Roman"/>
                      <w:b w:val="0"/>
                      <w:bCs/>
                      <w:color w:val="auto"/>
                      <w:spacing w:val="0"/>
                      <w:sz w:val="21"/>
                      <w:szCs w:val="21"/>
                      <w:highlight w:val="none"/>
                      <w:vertAlign w:val="baseline"/>
                      <w:lang w:val="en-US" w:eastAsia="zh-CN"/>
                    </w:rPr>
                    <w:t>10</w:t>
                  </w:r>
                  <w:r>
                    <w:rPr>
                      <w:rFonts w:hint="eastAsia" w:ascii="Times New Roman" w:hAnsi="Times New Roman" w:eastAsia="宋体" w:cs="Times New Roman"/>
                      <w:b w:val="0"/>
                      <w:bCs/>
                      <w:color w:val="auto"/>
                      <w:spacing w:val="0"/>
                      <w:sz w:val="21"/>
                      <w:szCs w:val="21"/>
                      <w:highlight w:val="none"/>
                      <w:vertAlign w:val="baseline"/>
                      <w:lang w:val="en-US" w:eastAsia="zh-CN"/>
                    </w:rPr>
                    <w:t>m</w:t>
                  </w:r>
                  <w:r>
                    <w:rPr>
                      <w:rFonts w:hint="eastAsia" w:cs="Times New Roman"/>
                      <w:b w:val="0"/>
                      <w:bCs/>
                      <w:color w:val="auto"/>
                      <w:spacing w:val="0"/>
                      <w:sz w:val="21"/>
                      <w:szCs w:val="21"/>
                      <w:highlight w:val="none"/>
                      <w:vertAlign w:val="superscript"/>
                      <w:lang w:val="en-US" w:eastAsia="zh-CN"/>
                    </w:rPr>
                    <w:t>3</w:t>
                  </w:r>
                  <w:r>
                    <w:rPr>
                      <w:rFonts w:hint="eastAsia" w:ascii="Times New Roman" w:hAnsi="Times New Roman" w:eastAsia="宋体" w:cs="Times New Roman"/>
                      <w:b w:val="0"/>
                      <w:bCs/>
                      <w:color w:val="auto"/>
                      <w:spacing w:val="0"/>
                      <w:sz w:val="21"/>
                      <w:szCs w:val="21"/>
                      <w:highlight w:val="none"/>
                      <w:vertAlign w:val="baseline"/>
                      <w:lang w:val="en-US" w:eastAsia="zh-CN"/>
                    </w:rPr>
                    <w:t>事故池，在事故状态下可收集项目区30%以上的事故废水可以满足事故状态下废水收集要求。</w:t>
                  </w:r>
                </w:p>
                <w:p w14:paraId="5F8C7AF3">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highlight w:val="yellow"/>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6.项目不涉及</w:t>
                  </w:r>
                  <w:r>
                    <w:rPr>
                      <w:rFonts w:hint="eastAsia" w:ascii="Times New Roman" w:hAnsi="Times New Roman" w:cs="Times New Roman"/>
                      <w:b w:val="0"/>
                      <w:bCs/>
                      <w:color w:val="auto"/>
                      <w:spacing w:val="0"/>
                      <w:sz w:val="21"/>
                      <w:szCs w:val="21"/>
                      <w:highlight w:val="none"/>
                      <w:vertAlign w:val="baseline"/>
                      <w:lang w:val="en-US" w:eastAsia="zh-CN"/>
                    </w:rPr>
                    <w:t>尾矿库。</w:t>
                  </w:r>
                </w:p>
              </w:tc>
              <w:tc>
                <w:tcPr>
                  <w:tcW w:w="349" w:type="pct"/>
                  <w:vAlign w:val="center"/>
                </w:tcPr>
                <w:p w14:paraId="313C57D4">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5655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7C7C34ED">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资源开发利用效率</w:t>
                  </w:r>
                </w:p>
              </w:tc>
              <w:tc>
                <w:tcPr>
                  <w:tcW w:w="2415" w:type="pct"/>
                  <w:gridSpan w:val="2"/>
                  <w:vAlign w:val="center"/>
                </w:tcPr>
                <w:p w14:paraId="32F2B96B">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1.到2025年，基本建成与经济社会高质量发展和生态文明建设要求相适应、与由全面建成小康社会向基本实现现代化迈进起步期相协同的水安全保障体系。</w:t>
                  </w:r>
                </w:p>
                <w:p w14:paraId="5127FD3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2.节水型生产和生活方式初步建立，用水效率和效益显著提高，全社会节水意识明显增强，新时代节水型社会基本建成。全市用水总量控制在35.48亿m</w:t>
                  </w:r>
                  <w:r>
                    <w:rPr>
                      <w:rFonts w:hint="default" w:ascii="Times New Roman" w:hAnsi="Times New Roman" w:eastAsia="宋体" w:cs="Times New Roman"/>
                      <w:snapToGrid w:val="0"/>
                      <w:color w:val="auto"/>
                      <w:kern w:val="0"/>
                      <w:sz w:val="21"/>
                      <w:szCs w:val="21"/>
                      <w:vertAlign w:val="superscript"/>
                      <w:lang w:val="en-US" w:eastAsia="zh-CN" w:bidi="ar"/>
                    </w:rPr>
                    <w:t>3</w:t>
                  </w:r>
                  <w:r>
                    <w:rPr>
                      <w:rFonts w:hint="default" w:ascii="Times New Roman" w:hAnsi="Times New Roman" w:eastAsia="宋体" w:cs="Times New Roman"/>
                      <w:snapToGrid w:val="0"/>
                      <w:color w:val="auto"/>
                      <w:kern w:val="0"/>
                      <w:sz w:val="21"/>
                      <w:szCs w:val="21"/>
                      <w:lang w:val="en-US" w:eastAsia="zh-CN" w:bidi="ar"/>
                    </w:rPr>
                    <w:t>以内，万元GDP用水量较2020年下降10%，万元工业增加值用水量较2020年下降10%，农田灌溉水有效利用系数提高到0.55以上。</w:t>
                  </w:r>
                </w:p>
                <w:p w14:paraId="07ACC494">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3.万元工业增加值用水量≤30</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立方米/万元</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w:t>
                  </w:r>
                </w:p>
                <w:p w14:paraId="7C2E05FC">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4.2025年底前，全市单位地区生产总值能源消耗较2020年下降14%，能源消费总量得到合理控制。</w:t>
                  </w:r>
                </w:p>
                <w:p w14:paraId="5B61E1FD">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5.单位GDP能源消耗累计下降23.6%，不低于省级下达目标。</w:t>
                  </w:r>
                </w:p>
                <w:p w14:paraId="49FCCDE7">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6.对照国家有关高耗能行业重点领域能效标杆水平，实施钢铁、有色金属、冶炼等17个高耗能行业节能降碳改造升级，加快提升重点行业、企业能效水平。</w:t>
                  </w:r>
                </w:p>
                <w:p w14:paraId="415E4DBD">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7.加强节能监察和探索用能预算管理，实施电机、变压器等重点用能设备能效提升三年行动，推广先进节能技术。</w:t>
                  </w:r>
                </w:p>
                <w:p w14:paraId="43946210">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8.到2025年，钢铁行业全面完成超低排放改造。</w:t>
                  </w:r>
                </w:p>
                <w:p w14:paraId="1A0FE19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9.加快推进有色、化工、印染、烟草等行业清洁生产和工业废水资源化利用。</w:t>
                  </w:r>
                </w:p>
                <w:p w14:paraId="5C36F9DA">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10.到2025年，全市新建大型及以上数据中心绿色低碳等级达到4A以上，电源使用效率</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PUE</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达到1.3以下，逐步组织电源使用效率超过1.5的数据中心进行节能降碳改造。</w:t>
                  </w:r>
                </w:p>
                <w:p w14:paraId="0B00005D">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11.“十四五”期间，全市规模以上工业单位增加值能耗下降14.5%，万元工业增加值用水量下降12%。</w:t>
                  </w:r>
                </w:p>
                <w:p w14:paraId="544E0FAE">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12.到2025年，通过实施节能降碳提升工程，钢铁、电解铝、水泥、平板玻璃、炼油、乙烯、合成氨、电石等重点行业产能和数据中心达到能效标杆水平的比例超过30%。</w:t>
                  </w:r>
                </w:p>
                <w:p w14:paraId="2ECE0AE0">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13.公共机构单位建筑面积碳排放量比2020年下降7%。</w:t>
                  </w:r>
                </w:p>
                <w:p w14:paraId="06E1D3B7">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14.非化石能源消费占一次能源消费比重达到40%以上，完成省级下达目标。</w:t>
                  </w:r>
                </w:p>
                <w:p w14:paraId="65B46599">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15.单位GDP二氧化碳排放累计下降23%，不低于省级下达目标。</w:t>
                  </w:r>
                </w:p>
                <w:p w14:paraId="2C1B4A3A">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16.严把新上项目的碳排放关，严格环境影响评价审批，加强固定资产投资项目节能审查，推动新建“两高一低”项目能效水平应提尽提。</w:t>
                  </w:r>
                </w:p>
                <w:p w14:paraId="313B355C">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5AF58E6B">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18.加快淘汰落后和低端低效产能退出。</w:t>
                  </w:r>
                </w:p>
                <w:p w14:paraId="15F13603">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19.指导金融机构加强“两高一低”项目贷前审核。</w:t>
                  </w:r>
                </w:p>
              </w:tc>
              <w:tc>
                <w:tcPr>
                  <w:tcW w:w="1811" w:type="pct"/>
                  <w:vAlign w:val="center"/>
                </w:tcPr>
                <w:p w14:paraId="5DB044F6">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1、5、6、7、8、9、10、11、12、13、15、16、17、18、19项目不涉及；</w:t>
                  </w:r>
                  <w:r>
                    <w:rPr>
                      <w:rFonts w:hint="default" w:ascii="Times New Roman" w:hAnsi="Times New Roman" w:eastAsia="宋体" w:cs="Times New Roman"/>
                      <w:snapToGrid w:val="0"/>
                      <w:color w:val="auto"/>
                      <w:kern w:val="0"/>
                      <w:sz w:val="21"/>
                      <w:szCs w:val="21"/>
                      <w:lang w:val="en-US" w:eastAsia="zh-CN" w:bidi="ar"/>
                    </w:rPr>
                    <w:t>2、3项目</w:t>
                  </w:r>
                  <w:r>
                    <w:rPr>
                      <w:rFonts w:hint="eastAsia" w:ascii="Times New Roman" w:hAnsi="Times New Roman" w:eastAsia="宋体" w:cs="Times New Roman"/>
                      <w:snapToGrid w:val="0"/>
                      <w:color w:val="auto"/>
                      <w:kern w:val="0"/>
                      <w:sz w:val="21"/>
                      <w:szCs w:val="21"/>
                      <w:lang w:val="en-US" w:eastAsia="zh-CN" w:bidi="ar"/>
                    </w:rPr>
                    <w:t>为精神病院</w:t>
                  </w:r>
                  <w:r>
                    <w:rPr>
                      <w:rFonts w:hint="default" w:ascii="Times New Roman" w:hAnsi="Times New Roman" w:eastAsia="宋体" w:cs="Times New Roman"/>
                      <w:snapToGrid w:val="0"/>
                      <w:color w:val="auto"/>
                      <w:kern w:val="0"/>
                      <w:sz w:val="21"/>
                      <w:szCs w:val="21"/>
                      <w:lang w:val="en-US" w:eastAsia="zh-CN" w:bidi="ar"/>
                    </w:rPr>
                    <w:t>用水量较小；4.项目不涉及燃料使用，仅使用电作为能源，能耗较低。</w:t>
                  </w:r>
                </w:p>
              </w:tc>
              <w:tc>
                <w:tcPr>
                  <w:tcW w:w="349" w:type="pct"/>
                  <w:vAlign w:val="center"/>
                </w:tcPr>
                <w:p w14:paraId="0A1BFE81">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72D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68BE5869">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重点管控单元生态环境准入清单</w:t>
                  </w:r>
                </w:p>
              </w:tc>
            </w:tr>
            <w:tr w14:paraId="4746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91" w:type="pct"/>
                  <w:gridSpan w:val="2"/>
                  <w:vAlign w:val="center"/>
                </w:tcPr>
                <w:p w14:paraId="28B57780">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类别</w:t>
                  </w:r>
                </w:p>
              </w:tc>
              <w:tc>
                <w:tcPr>
                  <w:tcW w:w="1947" w:type="pct"/>
                  <w:vAlign w:val="center"/>
                </w:tcPr>
                <w:p w14:paraId="6F9B0B37">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内容要求</w:t>
                  </w:r>
                </w:p>
              </w:tc>
              <w:tc>
                <w:tcPr>
                  <w:tcW w:w="1811" w:type="pct"/>
                  <w:vAlign w:val="center"/>
                </w:tcPr>
                <w:p w14:paraId="45FE8AD6">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项目情况</w:t>
                  </w:r>
                </w:p>
              </w:tc>
              <w:tc>
                <w:tcPr>
                  <w:tcW w:w="349" w:type="pct"/>
                  <w:vAlign w:val="center"/>
                </w:tcPr>
                <w:p w14:paraId="72ADA663">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pacing w:val="0"/>
                      <w:sz w:val="21"/>
                      <w:szCs w:val="21"/>
                      <w:vertAlign w:val="baseline"/>
                      <w:lang w:val="en-US" w:eastAsia="zh-CN"/>
                    </w:rPr>
                  </w:pPr>
                  <w:r>
                    <w:rPr>
                      <w:rFonts w:hint="default" w:ascii="Times New Roman" w:hAnsi="Times New Roman" w:eastAsia="宋体" w:cs="Times New Roman"/>
                      <w:b/>
                      <w:bCs/>
                      <w:color w:val="auto"/>
                      <w:spacing w:val="0"/>
                      <w:sz w:val="21"/>
                      <w:szCs w:val="21"/>
                      <w:vertAlign w:val="baseline"/>
                      <w:lang w:val="en-US" w:eastAsia="zh-CN"/>
                    </w:rPr>
                    <w:t>符合性</w:t>
                  </w:r>
                </w:p>
              </w:tc>
            </w:tr>
            <w:tr w14:paraId="59C1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14:paraId="0083490E">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寻甸回族彝族自治县乡镇生活污染重点管控单元</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ZH53012920005</w:t>
                  </w:r>
                </w:p>
              </w:tc>
              <w:tc>
                <w:tcPr>
                  <w:tcW w:w="467" w:type="pct"/>
                  <w:vAlign w:val="center"/>
                </w:tcPr>
                <w:p w14:paraId="7E626A42">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空间布局约束</w:t>
                  </w:r>
                </w:p>
              </w:tc>
              <w:tc>
                <w:tcPr>
                  <w:tcW w:w="1947" w:type="pct"/>
                  <w:vAlign w:val="center"/>
                </w:tcPr>
                <w:p w14:paraId="4CCE8FFB">
                  <w:pPr>
                    <w:keepNext w:val="0"/>
                    <w:keepLines w:val="0"/>
                    <w:widowControl/>
                    <w:suppressLineNumbers w:val="0"/>
                    <w:kinsoku/>
                    <w:wordWrap w:val="0"/>
                    <w:overflowPunct/>
                    <w:topLinePunct/>
                    <w:autoSpaceDE/>
                    <w:bidi w:val="0"/>
                    <w:jc w:val="left"/>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引导人口和产业向城镇开发区集聚，向文化汇聚地和休闲中心发展。</w:t>
                  </w:r>
                </w:p>
              </w:tc>
              <w:tc>
                <w:tcPr>
                  <w:tcW w:w="1811" w:type="pct"/>
                  <w:vAlign w:val="center"/>
                </w:tcPr>
                <w:p w14:paraId="66532AC8">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eastAsia" w:ascii="Times New Roman" w:hAnsi="Times New Roman" w:eastAsia="宋体" w:cs="Times New Roman"/>
                      <w:color w:val="auto"/>
                      <w:lang w:val="en-US" w:eastAsia="zh-CN"/>
                    </w:rPr>
                    <w:t>本</w:t>
                  </w:r>
                  <w:r>
                    <w:rPr>
                      <w:rFonts w:hint="eastAsia" w:ascii="Times New Roman" w:hAnsi="Times New Roman" w:eastAsia="宋体" w:cs="Times New Roman"/>
                      <w:snapToGrid w:val="0"/>
                      <w:color w:val="auto"/>
                      <w:kern w:val="0"/>
                      <w:sz w:val="21"/>
                      <w:szCs w:val="21"/>
                      <w:lang w:val="en-US" w:eastAsia="zh-CN" w:bidi="ar"/>
                    </w:rPr>
                    <w:t>项目位于昆明市寻甸回族彝族自治县倘甸镇白章村委会芭蕉树村108号，在倘甸镇镇区开发边界内。</w:t>
                  </w:r>
                </w:p>
              </w:tc>
              <w:tc>
                <w:tcPr>
                  <w:tcW w:w="349" w:type="pct"/>
                  <w:vAlign w:val="center"/>
                </w:tcPr>
                <w:p w14:paraId="63FDBB3B">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D25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14:paraId="51086BA3">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p>
              </w:tc>
              <w:tc>
                <w:tcPr>
                  <w:tcW w:w="467" w:type="pct"/>
                  <w:vAlign w:val="center"/>
                </w:tcPr>
                <w:p w14:paraId="0DC9EAC0">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污染物排放</w:t>
                  </w:r>
                </w:p>
              </w:tc>
              <w:tc>
                <w:tcPr>
                  <w:tcW w:w="1947" w:type="pct"/>
                  <w:vAlign w:val="center"/>
                </w:tcPr>
                <w:p w14:paraId="21FDEF8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1.完善生活污水收集处理系统，因地制宜，梯次推进农村生活污水治理工作，减少生活污水直接进入城区河道及湖库。</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2.到2025年农村生活污水治理率达74%。</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3.城市污水管网尚未配套的地区，房地产开发项目应自行建设污水处理设施，污水处理后达标排放。</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4.按国家、省、市相关标准要求建设、改造、提升满足实际需求的环卫基础设施。</w:t>
                  </w:r>
                </w:p>
              </w:tc>
              <w:tc>
                <w:tcPr>
                  <w:tcW w:w="1811" w:type="pct"/>
                  <w:vAlign w:val="center"/>
                </w:tcPr>
                <w:p w14:paraId="5971A84A">
                  <w:pPr>
                    <w:keepNext w:val="0"/>
                    <w:keepLines w:val="0"/>
                    <w:widowControl/>
                    <w:suppressLineNumbers w:val="0"/>
                    <w:kinsoku/>
                    <w:wordWrap w:val="0"/>
                    <w:overflowPunct/>
                    <w:topLinePunct/>
                    <w:autoSpaceDE/>
                    <w:bidi w:val="0"/>
                    <w:jc w:val="left"/>
                    <w:rPr>
                      <w:rFonts w:hint="default" w:ascii="Times New Roman" w:hAnsi="Times New Roman" w:eastAsia="宋体" w:cs="Times New Roman"/>
                      <w:snapToGrid w:val="0"/>
                      <w:color w:val="auto"/>
                      <w:kern w:val="0"/>
                      <w:sz w:val="21"/>
                      <w:szCs w:val="21"/>
                      <w:lang w:val="en-US" w:eastAsia="zh-CN" w:bidi="ar"/>
                    </w:rPr>
                  </w:pPr>
                  <w:r>
                    <w:rPr>
                      <w:rFonts w:hint="eastAsia" w:cs="Times New Roman"/>
                      <w:snapToGrid w:val="0"/>
                      <w:color w:val="auto"/>
                      <w:kern w:val="0"/>
                      <w:sz w:val="21"/>
                      <w:szCs w:val="21"/>
                      <w:lang w:val="en-US" w:eastAsia="zh-CN" w:bidi="ar"/>
                    </w:rPr>
                    <w:t>项目实行雨污分流，生活污水及医疗废水收集至化粪池处理后，进入院内污水处理站处理，处理达标后排入市政管网进入倘甸镇污水处理厂。</w:t>
                  </w:r>
                </w:p>
              </w:tc>
              <w:tc>
                <w:tcPr>
                  <w:tcW w:w="349" w:type="pct"/>
                  <w:vAlign w:val="center"/>
                </w:tcPr>
                <w:p w14:paraId="52C2BB6D">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134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423" w:type="pct"/>
                  <w:vMerge w:val="continue"/>
                  <w:vAlign w:val="center"/>
                </w:tcPr>
                <w:p w14:paraId="0AE1B61B">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p>
              </w:tc>
              <w:tc>
                <w:tcPr>
                  <w:tcW w:w="467" w:type="pct"/>
                  <w:vAlign w:val="center"/>
                </w:tcPr>
                <w:p w14:paraId="5A6BEB52">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环境风险防控</w:t>
                  </w:r>
                </w:p>
              </w:tc>
              <w:tc>
                <w:tcPr>
                  <w:tcW w:w="1947" w:type="pct"/>
                  <w:vAlign w:val="center"/>
                </w:tcPr>
                <w:p w14:paraId="6710D514">
                  <w:pPr>
                    <w:keepNext w:val="0"/>
                    <w:keepLines w:val="0"/>
                    <w:widowControl/>
                    <w:suppressLineNumbers w:val="0"/>
                    <w:kinsoku/>
                    <w:wordWrap w:val="0"/>
                    <w:overflowPunct/>
                    <w:topLinePunct/>
                    <w:autoSpaceDE/>
                    <w:bidi w:val="0"/>
                    <w:jc w:val="left"/>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建立健全突发环境事件预警应急机制，定期组织开展预案演练。</w:t>
                  </w:r>
                </w:p>
              </w:tc>
              <w:tc>
                <w:tcPr>
                  <w:tcW w:w="1811" w:type="pct"/>
                  <w:vAlign w:val="center"/>
                </w:tcPr>
                <w:p w14:paraId="27BDCCB9">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eastAsia" w:ascii="Times New Roman" w:hAnsi="Times New Roman" w:eastAsia="宋体" w:cs="Times New Roman"/>
                      <w:b w:val="0"/>
                      <w:bCs/>
                      <w:color w:val="auto"/>
                      <w:spacing w:val="0"/>
                      <w:sz w:val="21"/>
                      <w:szCs w:val="21"/>
                      <w:vertAlign w:val="baseline"/>
                      <w:lang w:val="en-US" w:eastAsia="zh-CN"/>
                    </w:rPr>
                    <w:t>本评价提出：项目搬迁完成后，建设单位应按《关于印发&lt;企业事业单位突发环境事件应急预案管理办法</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试行</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&gt;的通知》及时编制突发环境事件应急预案并报送当地生态环境部门备案，应急预案发布实施后及时公示并开展演练。</w:t>
                  </w:r>
                </w:p>
              </w:tc>
              <w:tc>
                <w:tcPr>
                  <w:tcW w:w="349" w:type="pct"/>
                  <w:vAlign w:val="center"/>
                </w:tcPr>
                <w:p w14:paraId="0E630226">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bl>
          <w:p w14:paraId="43DF7D35">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sz w:val="24"/>
                <w:szCs w:val="24"/>
                <w:lang w:val="en-US" w:eastAsia="zh-CN"/>
              </w:rPr>
            </w:pPr>
          </w:p>
          <w:p w14:paraId="5ABFB761">
            <w:pPr>
              <w:numPr>
                <w:ilvl w:val="0"/>
                <w:numId w:val="0"/>
              </w:numPr>
              <w:adjustRightInd w:val="0"/>
              <w:snapToGrid w:val="0"/>
              <w:spacing w:line="360" w:lineRule="auto"/>
              <w:ind w:firstLine="482" w:firstLineChars="200"/>
              <w:rPr>
                <w:rFonts w:hint="eastAsia" w:ascii="Times New Roman" w:hAnsi="Times New Roman" w:cs="Times New Roman"/>
                <w:color w:val="auto"/>
                <w:sz w:val="24"/>
                <w:lang w:val="en-US" w:eastAsia="zh-CN"/>
              </w:rPr>
            </w:pPr>
            <w:r>
              <w:rPr>
                <w:rFonts w:hint="eastAsia" w:cs="Times New Roman"/>
                <w:b/>
                <w:bCs/>
                <w:color w:val="auto"/>
                <w:sz w:val="24"/>
                <w:lang w:val="en-US" w:eastAsia="zh-CN"/>
              </w:rPr>
              <w:t>3、</w:t>
            </w:r>
            <w:r>
              <w:rPr>
                <w:rFonts w:hint="eastAsia"/>
                <w:b/>
                <w:bCs/>
                <w:color w:val="auto"/>
                <w:sz w:val="24"/>
                <w:szCs w:val="24"/>
                <w:lang w:val="en-US" w:eastAsia="zh-CN"/>
              </w:rPr>
              <w:t>与《昆明市大气污染防治条例》相符性分析</w:t>
            </w:r>
          </w:p>
          <w:p w14:paraId="0F55E83B">
            <w:pPr>
              <w:numPr>
                <w:ilvl w:val="0"/>
                <w:numId w:val="0"/>
              </w:numPr>
              <w:adjustRightInd w:val="0"/>
              <w:snapToGrid w:val="0"/>
              <w:spacing w:line="360" w:lineRule="auto"/>
              <w:ind w:firstLine="480" w:firstLineChars="200"/>
              <w:rPr>
                <w:rFonts w:hint="eastAsia" w:cs="Times New Roman"/>
                <w:color w:val="auto"/>
                <w:sz w:val="24"/>
                <w:szCs w:val="24"/>
                <w:lang w:val="en-US" w:eastAsia="zh-CN"/>
              </w:rPr>
            </w:pPr>
            <w:r>
              <w:rPr>
                <w:rFonts w:hint="eastAsia" w:ascii="Times New Roman" w:hAnsi="Times New Roman" w:cs="Times New Roman"/>
                <w:color w:val="auto"/>
                <w:sz w:val="24"/>
                <w:lang w:val="en-US" w:eastAsia="zh-CN"/>
              </w:rPr>
              <w:t>根据《昆明市大气污染防</w:t>
            </w:r>
            <w:r>
              <w:rPr>
                <w:rFonts w:hint="eastAsia" w:ascii="Times New Roman" w:hAnsi="Times New Roman" w:cs="Times New Roman"/>
                <w:color w:val="auto"/>
                <w:sz w:val="24"/>
                <w:szCs w:val="24"/>
                <w:lang w:val="en-US" w:eastAsia="zh-CN"/>
              </w:rPr>
              <w:t>治条例》要求“</w:t>
            </w:r>
            <w:r>
              <w:rPr>
                <w:rFonts w:hint="default" w:ascii="Times New Roman" w:hAnsi="Times New Roman" w:cs="Times New Roman"/>
                <w:color w:val="auto"/>
                <w:sz w:val="24"/>
                <w:szCs w:val="24"/>
                <w:lang w:val="en-US" w:eastAsia="zh-CN"/>
              </w:rPr>
              <w:t>企业事业单位和其他生产经营者在生产经营活动中产生恶臭气体的，应当安装净化装置或者采取其他措施防止恶臭气体排放。</w:t>
            </w:r>
            <w:r>
              <w:rPr>
                <w:rFonts w:hint="eastAsia"/>
                <w:color w:val="auto"/>
                <w:sz w:val="24"/>
                <w:szCs w:val="24"/>
                <w:lang w:val="en-US" w:eastAsia="zh-CN"/>
              </w:rPr>
              <w:t>”项目产生的恶臭主要来自于污水处理设施、垃圾收集设施，项目污水处理设施池体均为地埋式，污水处理设备为箱式，产生的恶臭量很少，生活垃圾收集设施为带盖的中型垃圾桶，通过垃圾袋分散收集打包后投入垃圾收集桶，生活垃圾日产日清，故项目建设运营符合</w:t>
            </w:r>
            <w:r>
              <w:rPr>
                <w:rFonts w:hint="eastAsia" w:ascii="Times New Roman" w:hAnsi="Times New Roman" w:cs="Times New Roman"/>
                <w:color w:val="auto"/>
                <w:sz w:val="24"/>
                <w:szCs w:val="24"/>
                <w:lang w:val="en-US" w:eastAsia="zh-CN"/>
              </w:rPr>
              <w:t>《昆明市大气污染防治条例》要求</w:t>
            </w:r>
            <w:r>
              <w:rPr>
                <w:rFonts w:hint="eastAsia" w:cs="Times New Roman"/>
                <w:color w:val="auto"/>
                <w:sz w:val="24"/>
                <w:szCs w:val="24"/>
                <w:lang w:val="en-US" w:eastAsia="zh-CN"/>
              </w:rPr>
              <w:t>。</w:t>
            </w:r>
          </w:p>
          <w:p w14:paraId="467971E1">
            <w:pPr>
              <w:pStyle w:val="33"/>
              <w:bidi w:val="0"/>
              <w:rPr>
                <w:rFonts w:hint="default" w:ascii="Times New Roman" w:hAnsi="Times New Roman"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与《昆明市医疗废物管理规定》相符性分析</w:t>
            </w:r>
          </w:p>
          <w:p w14:paraId="6016994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w:t>
            </w:r>
            <w:r>
              <w:rPr>
                <w:rFonts w:hint="eastAsia" w:ascii="Times New Roman" w:hAnsi="Times New Roman" w:cs="Times New Roman"/>
                <w:color w:val="auto"/>
                <w:sz w:val="24"/>
                <w:lang w:val="en-US" w:eastAsia="zh-CN"/>
              </w:rPr>
              <w:t>《昆明市医疗废物管理规定》</w:t>
            </w:r>
            <w:r>
              <w:rPr>
                <w:rFonts w:hint="default" w:ascii="Times New Roman" w:hAnsi="Times New Roman" w:cs="Times New Roman"/>
                <w:color w:val="auto"/>
                <w:sz w:val="24"/>
                <w:szCs w:val="24"/>
              </w:rPr>
              <w:t>中的要求对比</w:t>
            </w:r>
            <w:r>
              <w:rPr>
                <w:rFonts w:hint="eastAsia" w:ascii="Times New Roman" w:hAnsi="Times New Roman" w:cs="Times New Roman"/>
                <w:color w:val="auto"/>
                <w:sz w:val="24"/>
                <w:szCs w:val="24"/>
                <w:lang w:eastAsia="zh-CN"/>
              </w:rPr>
              <w:t>分析</w:t>
            </w:r>
            <w:r>
              <w:rPr>
                <w:rFonts w:hint="eastAsia" w:ascii="Times New Roman" w:hAnsi="Times New Roman" w:cs="Times New Roman"/>
                <w:color w:val="auto"/>
                <w:sz w:val="24"/>
                <w:szCs w:val="24"/>
                <w:lang w:val="en-US" w:eastAsia="zh-CN"/>
              </w:rPr>
              <w:t>如下</w:t>
            </w:r>
            <w:r>
              <w:rPr>
                <w:rFonts w:hint="default" w:ascii="Times New Roman" w:hAnsi="Times New Roman" w:cs="Times New Roman"/>
                <w:color w:val="auto"/>
                <w:sz w:val="24"/>
                <w:szCs w:val="24"/>
              </w:rPr>
              <w:t>。</w:t>
            </w:r>
          </w:p>
          <w:p w14:paraId="759A94C7">
            <w:pPr>
              <w:snapToGrid w:val="0"/>
              <w:spacing w:line="240" w:lineRule="auto"/>
              <w:jc w:val="center"/>
              <w:rPr>
                <w:rFonts w:hint="default" w:ascii="Times New Roman" w:hAnsi="Times New Roman" w:cs="Times New Roman"/>
                <w:b/>
                <w:bCs w:val="0"/>
                <w:color w:val="auto"/>
                <w:kern w:val="0"/>
                <w:sz w:val="24"/>
                <w:szCs w:val="24"/>
              </w:rPr>
            </w:pPr>
            <w:r>
              <w:rPr>
                <w:rFonts w:hint="default" w:ascii="Times New Roman" w:hAnsi="Times New Roman" w:cs="Times New Roman"/>
                <w:b/>
                <w:bCs w:val="0"/>
                <w:color w:val="auto"/>
                <w:kern w:val="0"/>
                <w:sz w:val="24"/>
                <w:szCs w:val="24"/>
              </w:rPr>
              <w:t>表</w:t>
            </w:r>
            <w:r>
              <w:rPr>
                <w:rFonts w:hint="eastAsia" w:ascii="Times New Roman" w:hAnsi="Times New Roman" w:cs="Times New Roman"/>
                <w:b/>
                <w:bCs w:val="0"/>
                <w:color w:val="auto"/>
                <w:kern w:val="0"/>
                <w:sz w:val="24"/>
                <w:szCs w:val="24"/>
                <w:lang w:val="en-US" w:eastAsia="zh-CN"/>
              </w:rPr>
              <w:t>1</w:t>
            </w:r>
            <w:r>
              <w:rPr>
                <w:rFonts w:hint="default" w:ascii="Times New Roman" w:hAnsi="Times New Roman" w:cs="Times New Roman"/>
                <w:b/>
                <w:bCs w:val="0"/>
                <w:color w:val="auto"/>
                <w:kern w:val="0"/>
                <w:sz w:val="24"/>
                <w:szCs w:val="24"/>
              </w:rPr>
              <w:t>-</w:t>
            </w:r>
            <w:r>
              <w:rPr>
                <w:rFonts w:hint="eastAsia" w:cs="Times New Roman"/>
                <w:b/>
                <w:bCs w:val="0"/>
                <w:color w:val="auto"/>
                <w:kern w:val="0"/>
                <w:sz w:val="24"/>
                <w:szCs w:val="24"/>
                <w:lang w:val="en-US" w:eastAsia="zh-CN"/>
              </w:rPr>
              <w:t>5</w:t>
            </w:r>
            <w:r>
              <w:rPr>
                <w:rFonts w:hint="default" w:ascii="Times New Roman" w:hAnsi="Times New Roman" w:cs="Times New Roman"/>
                <w:b/>
                <w:bCs w:val="0"/>
                <w:color w:val="auto"/>
                <w:kern w:val="0"/>
                <w:sz w:val="24"/>
                <w:szCs w:val="24"/>
              </w:rPr>
              <w:t xml:space="preserve">  项目与</w:t>
            </w:r>
            <w:r>
              <w:rPr>
                <w:rFonts w:hint="eastAsia" w:ascii="Times New Roman" w:hAnsi="Times New Roman" w:cs="Times New Roman"/>
                <w:b/>
                <w:bCs w:val="0"/>
                <w:color w:val="auto"/>
                <w:sz w:val="24"/>
                <w:lang w:val="en-US" w:eastAsia="zh-CN"/>
              </w:rPr>
              <w:t>《昆明市医疗废物管理规定》</w:t>
            </w:r>
            <w:r>
              <w:rPr>
                <w:rFonts w:hint="default" w:ascii="Times New Roman" w:hAnsi="Times New Roman" w:cs="Times New Roman"/>
                <w:b/>
                <w:bCs w:val="0"/>
                <w:color w:val="auto"/>
                <w:kern w:val="0"/>
                <w:sz w:val="24"/>
                <w:szCs w:val="24"/>
              </w:rPr>
              <w:t>的分析一览表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3"/>
              <w:gridCol w:w="2959"/>
              <w:gridCol w:w="820"/>
            </w:tblGrid>
            <w:tr w14:paraId="008C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530" w:type="pct"/>
                  <w:noWrap w:val="0"/>
                  <w:vAlign w:val="center"/>
                </w:tcPr>
                <w:p w14:paraId="2497BAD2">
                  <w:pPr>
                    <w:jc w:val="center"/>
                    <w:rPr>
                      <w:rFonts w:hint="default" w:ascii="Times New Roman" w:hAnsi="Times New Roman" w:cs="Times New Roman"/>
                      <w:b/>
                      <w:color w:val="auto"/>
                      <w:sz w:val="21"/>
                      <w:szCs w:val="21"/>
                    </w:rPr>
                  </w:pPr>
                  <w:r>
                    <w:rPr>
                      <w:rFonts w:hint="default" w:ascii="Times New Roman" w:hAnsi="Times New Roman" w:cs="Times New Roman"/>
                      <w:b/>
                      <w:bCs w:val="0"/>
                      <w:color w:val="auto"/>
                      <w:sz w:val="21"/>
                      <w:szCs w:val="21"/>
                      <w:lang w:val="en-US" w:eastAsia="zh-CN"/>
                    </w:rPr>
                    <w:t>昆明市医疗废物管理规定</w:t>
                  </w:r>
                </w:p>
              </w:tc>
              <w:tc>
                <w:tcPr>
                  <w:tcW w:w="1933" w:type="pct"/>
                  <w:noWrap w:val="0"/>
                  <w:vAlign w:val="center"/>
                </w:tcPr>
                <w:p w14:paraId="77355207">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w:t>
                  </w:r>
                </w:p>
              </w:tc>
              <w:tc>
                <w:tcPr>
                  <w:tcW w:w="535" w:type="pct"/>
                  <w:noWrap w:val="0"/>
                  <w:vAlign w:val="center"/>
                </w:tcPr>
                <w:p w14:paraId="5943AF15">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符合性</w:t>
                  </w:r>
                </w:p>
              </w:tc>
            </w:tr>
            <w:tr w14:paraId="4528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530" w:type="pct"/>
                  <w:noWrap w:val="0"/>
                  <w:vAlign w:val="center"/>
                </w:tcPr>
                <w:p w14:paraId="5C94C42B">
                  <w:pPr>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医疗卫生机构和医疗废物集中处置单位，应当确定医疗废物管理第一责任人，明确专门机构或者配备专兼职人员负责医疗废物的管理工作，并建立登记制度。</w:t>
                  </w:r>
                </w:p>
              </w:tc>
              <w:tc>
                <w:tcPr>
                  <w:tcW w:w="1933" w:type="pct"/>
                  <w:noWrap w:val="0"/>
                  <w:vAlign w:val="center"/>
                </w:tcPr>
                <w:p w14:paraId="68B48A78">
                  <w:pPr>
                    <w:jc w:val="left"/>
                    <w:rPr>
                      <w:rFonts w:hint="default" w:ascii="Times New Roman" w:hAnsi="Times New Roman" w:eastAsia="宋体" w:cs="Times New Roman"/>
                      <w:color w:val="auto"/>
                      <w:sz w:val="21"/>
                      <w:szCs w:val="21"/>
                      <w:highlight w:val="yellow"/>
                      <w:lang w:eastAsia="zh-CN"/>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val="en-US" w:eastAsia="zh-CN"/>
                    </w:rPr>
                    <w:t>确定了</w:t>
                  </w:r>
                  <w:r>
                    <w:rPr>
                      <w:rFonts w:hint="default" w:ascii="Times New Roman" w:hAnsi="Times New Roman" w:eastAsia="Songti SC Regular" w:cs="Times New Roman"/>
                      <w:color w:val="auto"/>
                      <w:highlight w:val="none"/>
                      <w:lang w:val="en-US" w:eastAsia="zh-Hans"/>
                    </w:rPr>
                    <w:t>医疗废物管理第一责任人</w:t>
                  </w:r>
                  <w:r>
                    <w:rPr>
                      <w:rFonts w:hint="default" w:ascii="Times New Roman" w:hAnsi="Times New Roman" w:eastAsia="Songti SC Regular" w:cs="Times New Roman"/>
                      <w:color w:val="auto"/>
                      <w:highlight w:val="none"/>
                      <w:lang w:val="en-US" w:eastAsia="zh-CN"/>
                    </w:rPr>
                    <w:t>，配备员工兼职负责</w:t>
                  </w:r>
                  <w:r>
                    <w:rPr>
                      <w:rFonts w:hint="default" w:ascii="Times New Roman" w:hAnsi="Times New Roman" w:eastAsia="Songti SC Regular" w:cs="Times New Roman"/>
                      <w:color w:val="auto"/>
                      <w:highlight w:val="none"/>
                      <w:lang w:val="en-US" w:eastAsia="zh-Hans"/>
                    </w:rPr>
                    <w:t>医疗废物的管理工作，并建立</w:t>
                  </w:r>
                  <w:r>
                    <w:rPr>
                      <w:rFonts w:hint="default" w:ascii="Times New Roman" w:hAnsi="Times New Roman" w:eastAsia="Songti SC Regular" w:cs="Times New Roman"/>
                      <w:color w:val="auto"/>
                      <w:highlight w:val="none"/>
                      <w:lang w:val="en-US" w:eastAsia="zh-CN"/>
                    </w:rPr>
                    <w:t>了</w:t>
                  </w:r>
                  <w:r>
                    <w:rPr>
                      <w:rFonts w:hint="default" w:ascii="Times New Roman" w:hAnsi="Times New Roman" w:eastAsia="Songti SC Regular" w:cs="Times New Roman"/>
                      <w:color w:val="auto"/>
                      <w:highlight w:val="none"/>
                      <w:lang w:val="en-US" w:eastAsia="zh-Hans"/>
                    </w:rPr>
                    <w:t>登记制度。</w:t>
                  </w:r>
                </w:p>
              </w:tc>
              <w:tc>
                <w:tcPr>
                  <w:tcW w:w="535" w:type="pct"/>
                  <w:noWrap w:val="0"/>
                  <w:vAlign w:val="center"/>
                </w:tcPr>
                <w:p w14:paraId="7857A422">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6276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2530" w:type="pct"/>
                  <w:noWrap w:val="0"/>
                  <w:vAlign w:val="center"/>
                </w:tcPr>
                <w:p w14:paraId="08AF0151">
                  <w:pPr>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医疗卫生机构和医疗废物集中处置单位应当组织本单位从事医疗废物收集、运送、贮存、处置等工作的人员和管理人员进行环保、卫生、安全以及紧急处理等专业知识、技术培训。</w:t>
                  </w:r>
                </w:p>
              </w:tc>
              <w:tc>
                <w:tcPr>
                  <w:tcW w:w="1933" w:type="pct"/>
                  <w:noWrap w:val="0"/>
                  <w:vAlign w:val="center"/>
                </w:tcPr>
                <w:p w14:paraId="044DD9CB">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建设单位会定期对</w:t>
                  </w:r>
                  <w:r>
                    <w:rPr>
                      <w:rFonts w:hint="default" w:ascii="Times New Roman" w:hAnsi="Times New Roman" w:eastAsia="Songti SC Regular" w:cs="Times New Roman"/>
                      <w:color w:val="auto"/>
                      <w:highlight w:val="none"/>
                      <w:lang w:val="en-US" w:eastAsia="zh-Hans"/>
                    </w:rPr>
                    <w:t>从事医疗废物收集、运送、贮存、处置等工作的人员和管理人员</w:t>
                  </w:r>
                  <w:r>
                    <w:rPr>
                      <w:rFonts w:hint="eastAsia" w:eastAsia="Songti SC Regular" w:cs="Times New Roman"/>
                      <w:color w:val="auto"/>
                      <w:highlight w:val="none"/>
                      <w:lang w:val="en-US" w:eastAsia="zh-CN"/>
                    </w:rPr>
                    <w:t>进</w:t>
                  </w:r>
                  <w:r>
                    <w:rPr>
                      <w:rFonts w:hint="default" w:ascii="Times New Roman" w:hAnsi="Times New Roman" w:eastAsia="Songti SC Regular" w:cs="Times New Roman"/>
                      <w:color w:val="auto"/>
                      <w:highlight w:val="none"/>
                      <w:lang w:val="en-US" w:eastAsia="zh-Hans"/>
                    </w:rPr>
                    <w:t>行环保、卫生、安全以及紧急处理等专业知识、技术培训。</w:t>
                  </w:r>
                </w:p>
              </w:tc>
              <w:tc>
                <w:tcPr>
                  <w:tcW w:w="535" w:type="pct"/>
                  <w:noWrap w:val="0"/>
                  <w:vAlign w:val="center"/>
                </w:tcPr>
                <w:p w14:paraId="52A533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11E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530" w:type="pct"/>
                  <w:noWrap w:val="0"/>
                  <w:vAlign w:val="center"/>
                </w:tcPr>
                <w:p w14:paraId="3DF9F4F8">
                  <w:p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医疗卫生机构分类收集、运送、暂时贮存医疗废物，应当执行卫生部《医疗卫生机构医疗废物管理办法》和国家相关技术标准，并符合下列要求：</w:t>
                  </w:r>
                  <w:r>
                    <w:rPr>
                      <w:rFonts w:hint="default" w:ascii="Times New Roman" w:hAnsi="Times New Roman" w:eastAsia="Songti SC Regular" w:cs="Times New Roman"/>
                      <w:color w:val="auto"/>
                      <w:lang w:val="en-US" w:eastAsia="zh-Hans"/>
                    </w:rPr>
                    <w:cr/>
                  </w:r>
                  <w:r>
                    <w:rPr>
                      <w:rFonts w:hint="default" w:ascii="Times New Roman" w:hAnsi="Times New Roman" w:eastAsia="Songti SC Regular" w:cs="Times New Roman"/>
                      <w:color w:val="auto"/>
                      <w:lang w:val="en-US" w:eastAsia="zh-CN"/>
                    </w:rPr>
                    <w:t>（一）</w:t>
                  </w:r>
                  <w:r>
                    <w:rPr>
                      <w:rFonts w:hint="default" w:ascii="Times New Roman" w:hAnsi="Times New Roman" w:eastAsia="Songti SC Regular" w:cs="Times New Roman"/>
                      <w:color w:val="auto"/>
                      <w:lang w:val="en-US" w:eastAsia="zh-Hans"/>
                    </w:rPr>
                    <w:t>使用从质量技术监督机构检验合格的生产企业采购的医疗废物专用包装物、容器；</w:t>
                  </w:r>
                </w:p>
                <w:p w14:paraId="078F6FA6">
                  <w:pPr>
                    <w:numPr>
                      <w:ilvl w:val="0"/>
                      <w:numId w:val="3"/>
                    </w:num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医疗废物专用容器完整密封并及时消毒，备用容器多于医疗废物实际产量；</w:t>
                  </w:r>
                </w:p>
                <w:p w14:paraId="23D1C295">
                  <w:pPr>
                    <w:numPr>
                      <w:ilvl w:val="0"/>
                      <w:numId w:val="3"/>
                    </w:numPr>
                    <w:ind w:left="0" w:leftChars="0" w:firstLine="0" w:firstLineChars="0"/>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医疗废物专用包装物、容器的性能与盛装的医疗废物类别相适应；</w:t>
                  </w:r>
                </w:p>
                <w:p w14:paraId="75ED7231">
                  <w:pPr>
                    <w:numPr>
                      <w:ilvl w:val="0"/>
                      <w:numId w:val="0"/>
                    </w:numPr>
                    <w:ind w:leftChars="0"/>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（四）对隔离的传染病人和疑似传染病病人产生的医疗废物，先行就地规范消毒，再予贮存。</w:t>
                  </w:r>
                </w:p>
              </w:tc>
              <w:tc>
                <w:tcPr>
                  <w:tcW w:w="1933" w:type="pct"/>
                  <w:noWrap w:val="0"/>
                  <w:vAlign w:val="center"/>
                </w:tcPr>
                <w:p w14:paraId="0CA70401">
                  <w:pPr>
                    <w:jc w:val="left"/>
                    <w:rPr>
                      <w:rFonts w:hint="default" w:ascii="Times New Roman" w:hAnsi="Times New Roman" w:eastAsia="Songti SC Regular"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val="en-US" w:eastAsia="zh-CN"/>
                    </w:rPr>
                    <w:t>医疗废物</w:t>
                  </w:r>
                  <w:r>
                    <w:rPr>
                      <w:rFonts w:hint="default" w:ascii="Times New Roman" w:hAnsi="Times New Roman" w:eastAsia="Songti SC Regular" w:cs="Times New Roman"/>
                      <w:color w:val="auto"/>
                      <w:highlight w:val="none"/>
                      <w:lang w:val="en-US" w:eastAsia="zh-Hans"/>
                    </w:rPr>
                    <w:t>收集、运送、</w:t>
                  </w:r>
                  <w:r>
                    <w:rPr>
                      <w:rFonts w:hint="default" w:ascii="Times New Roman" w:hAnsi="Times New Roman" w:eastAsia="Songti SC Regular" w:cs="Times New Roman"/>
                      <w:color w:val="auto"/>
                      <w:highlight w:val="none"/>
                      <w:lang w:val="en-US" w:eastAsia="zh-CN"/>
                    </w:rPr>
                    <w:t>暂存符合</w:t>
                  </w:r>
                  <w:r>
                    <w:rPr>
                      <w:rFonts w:hint="default" w:ascii="Times New Roman" w:hAnsi="Times New Roman" w:eastAsia="Songti SC Regular" w:cs="Times New Roman"/>
                      <w:color w:val="auto"/>
                      <w:highlight w:val="none"/>
                      <w:lang w:val="en-US" w:eastAsia="zh-Hans"/>
                    </w:rPr>
                    <w:t>卫生部《医疗卫生机构医疗废物管理办法》和国家相关技术标准</w:t>
                  </w:r>
                  <w:r>
                    <w:rPr>
                      <w:rFonts w:hint="default" w:ascii="Times New Roman" w:hAnsi="Times New Roman" w:eastAsia="Songti SC Regular" w:cs="Times New Roman"/>
                      <w:color w:val="auto"/>
                      <w:highlight w:val="none"/>
                      <w:lang w:val="en-US" w:eastAsia="zh-CN"/>
                    </w:rPr>
                    <w:t>。项目使用的</w:t>
                  </w:r>
                  <w:r>
                    <w:rPr>
                      <w:rFonts w:hint="default" w:ascii="Times New Roman" w:hAnsi="Times New Roman" w:eastAsia="Songti SC Regular" w:cs="Times New Roman"/>
                      <w:color w:val="auto"/>
                      <w:highlight w:val="none"/>
                      <w:lang w:val="en-US" w:eastAsia="zh-Hans"/>
                    </w:rPr>
                    <w:t>医疗废物专用包装物、容器</w:t>
                  </w:r>
                  <w:r>
                    <w:rPr>
                      <w:rFonts w:hint="default" w:ascii="Times New Roman" w:hAnsi="Times New Roman" w:eastAsia="Songti SC Regular" w:cs="Times New Roman"/>
                      <w:color w:val="auto"/>
                      <w:highlight w:val="none"/>
                      <w:lang w:val="en-US" w:eastAsia="zh-CN"/>
                    </w:rPr>
                    <w:t>采购自</w:t>
                  </w:r>
                  <w:r>
                    <w:rPr>
                      <w:rFonts w:hint="default" w:ascii="Times New Roman" w:hAnsi="Times New Roman" w:eastAsia="Songti SC Regular" w:cs="Times New Roman"/>
                      <w:color w:val="auto"/>
                      <w:highlight w:val="none"/>
                      <w:lang w:val="en-US" w:eastAsia="zh-Hans"/>
                    </w:rPr>
                    <w:t>质量技术监督机构检验合格的生产企业</w:t>
                  </w:r>
                  <w:r>
                    <w:rPr>
                      <w:rFonts w:hint="default" w:ascii="Times New Roman" w:hAnsi="Times New Roman" w:eastAsia="Songti SC Regular" w:cs="Times New Roman"/>
                      <w:color w:val="auto"/>
                      <w:highlight w:val="none"/>
                      <w:lang w:val="en-US" w:eastAsia="zh-CN"/>
                    </w:rPr>
                    <w:t>；项目医疗废物收集桶均带盖，并定时对医疗废物收集桶进行消毒，备用的医疗废物收集桶</w:t>
                  </w:r>
                  <w:r>
                    <w:rPr>
                      <w:rFonts w:hint="default" w:ascii="Times New Roman" w:hAnsi="Times New Roman" w:eastAsia="Songti SC Regular" w:cs="Times New Roman"/>
                      <w:color w:val="auto"/>
                      <w:highlight w:val="none"/>
                      <w:lang w:val="en-US" w:eastAsia="zh-Hans"/>
                    </w:rPr>
                    <w:t>多于</w:t>
                  </w:r>
                  <w:r>
                    <w:rPr>
                      <w:rFonts w:hint="default" w:ascii="Times New Roman" w:hAnsi="Times New Roman" w:eastAsia="Songti SC Regular" w:cs="Times New Roman"/>
                      <w:color w:val="auto"/>
                      <w:highlight w:val="none"/>
                      <w:lang w:val="en-US" w:eastAsia="zh-CN"/>
                    </w:rPr>
                    <w:t>项目</w:t>
                  </w:r>
                  <w:r>
                    <w:rPr>
                      <w:rFonts w:hint="default" w:ascii="Times New Roman" w:hAnsi="Times New Roman" w:eastAsia="Songti SC Regular" w:cs="Times New Roman"/>
                      <w:color w:val="auto"/>
                      <w:highlight w:val="none"/>
                      <w:lang w:val="en-US" w:eastAsia="zh-Hans"/>
                    </w:rPr>
                    <w:t>医疗废物</w:t>
                  </w:r>
                  <w:r>
                    <w:rPr>
                      <w:rFonts w:hint="default" w:ascii="Times New Roman" w:hAnsi="Times New Roman" w:eastAsia="Songti SC Regular" w:cs="Times New Roman"/>
                      <w:color w:val="auto"/>
                      <w:highlight w:val="none"/>
                      <w:lang w:val="en-US" w:eastAsia="zh-CN"/>
                    </w:rPr>
                    <w:t>的</w:t>
                  </w:r>
                  <w:r>
                    <w:rPr>
                      <w:rFonts w:hint="default" w:ascii="Times New Roman" w:hAnsi="Times New Roman" w:eastAsia="Songti SC Regular" w:cs="Times New Roman"/>
                      <w:color w:val="auto"/>
                      <w:highlight w:val="none"/>
                      <w:lang w:val="en-US" w:eastAsia="zh-Hans"/>
                    </w:rPr>
                    <w:t>实际产量</w:t>
                  </w:r>
                  <w:r>
                    <w:rPr>
                      <w:rFonts w:hint="default" w:ascii="Times New Roman" w:hAnsi="Times New Roman" w:eastAsia="Songti SC Regular" w:cs="Times New Roman"/>
                      <w:color w:val="auto"/>
                      <w:highlight w:val="none"/>
                      <w:lang w:val="en-US" w:eastAsia="zh-CN"/>
                    </w:rPr>
                    <w:t>；项目使用的是符合规定的黄色医疗废物收集桶，其性能与医疗废物类别相适；项目不涉及传染病患者医疗废物。</w:t>
                  </w:r>
                </w:p>
              </w:tc>
              <w:tc>
                <w:tcPr>
                  <w:tcW w:w="535" w:type="pct"/>
                  <w:noWrap w:val="0"/>
                  <w:vAlign w:val="center"/>
                </w:tcPr>
                <w:p w14:paraId="3BD28366">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25CD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4F776044">
                  <w:pPr>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医疗卫生机构产生的医疗废物应当委托取得危险废物经营许可证的单位集中处置。禁止无危险废物经营许可证的单位或者个人收集、运送、贮存，处置医疗废物。</w:t>
                  </w:r>
                </w:p>
              </w:tc>
              <w:tc>
                <w:tcPr>
                  <w:tcW w:w="1933" w:type="pct"/>
                  <w:noWrap w:val="0"/>
                  <w:vAlign w:val="center"/>
                </w:tcPr>
                <w:p w14:paraId="5A68B9C3">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项目产生的医疗废物委托</w:t>
                  </w:r>
                  <w:r>
                    <w:rPr>
                      <w:rFonts w:hint="eastAsia" w:cs="Times New Roman"/>
                      <w:color w:val="auto"/>
                      <w:sz w:val="21"/>
                      <w:szCs w:val="21"/>
                      <w:highlight w:val="none"/>
                      <w:lang w:val="en-US" w:eastAsia="zh-CN"/>
                    </w:rPr>
                    <w:t>有资质的单位进行清运处置。</w:t>
                  </w:r>
                </w:p>
              </w:tc>
              <w:tc>
                <w:tcPr>
                  <w:tcW w:w="535" w:type="pct"/>
                  <w:noWrap w:val="0"/>
                  <w:vAlign w:val="center"/>
                </w:tcPr>
                <w:p w14:paraId="2DD557A8">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5C3C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52091074">
                  <w:pPr>
                    <w:jc w:val="left"/>
                    <w:rPr>
                      <w:rFonts w:hint="default" w:ascii="Times New Roman" w:hAnsi="Times New Roman" w:eastAsia="Songti SC Regular" w:cs="Times New Roman"/>
                      <w:color w:val="auto"/>
                      <w:sz w:val="21"/>
                      <w:szCs w:val="21"/>
                      <w:lang w:eastAsia="zh-CN"/>
                    </w:rPr>
                  </w:pPr>
                  <w:r>
                    <w:rPr>
                      <w:rFonts w:hint="default" w:ascii="Times New Roman" w:hAnsi="Times New Roman" w:eastAsia="Songti SC Regular" w:cs="Times New Roman"/>
                      <w:color w:val="auto"/>
                      <w:lang w:val="en-US" w:eastAsia="zh-Hans"/>
                    </w:rPr>
                    <w:t>医疗卫生机构委托医疗废物集中处置单位处置医疗废物，应当签订医疗废物处置协议</w:t>
                  </w:r>
                  <w:r>
                    <w:rPr>
                      <w:rFonts w:hint="default" w:ascii="Times New Roman" w:hAnsi="Times New Roman" w:eastAsia="Songti SC Regular" w:cs="Times New Roman"/>
                      <w:color w:val="auto"/>
                      <w:lang w:val="en-US" w:eastAsia="zh-CN"/>
                    </w:rPr>
                    <w:t>。</w:t>
                  </w:r>
                </w:p>
              </w:tc>
              <w:tc>
                <w:tcPr>
                  <w:tcW w:w="1933" w:type="pct"/>
                  <w:noWrap w:val="0"/>
                  <w:vAlign w:val="center"/>
                </w:tcPr>
                <w:p w14:paraId="41160B8E">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建设完成后，应与有资质的单位签订医废处置协议后方可运行</w:t>
                  </w:r>
                  <w:r>
                    <w:rPr>
                      <w:rFonts w:hint="default" w:ascii="Times New Roman" w:hAnsi="Times New Roman" w:cs="Times New Roman"/>
                      <w:color w:val="auto"/>
                      <w:sz w:val="21"/>
                      <w:szCs w:val="21"/>
                      <w:highlight w:val="none"/>
                      <w:lang w:val="en-US" w:eastAsia="zh-CN"/>
                    </w:rPr>
                    <w:t>。</w:t>
                  </w:r>
                </w:p>
              </w:tc>
              <w:tc>
                <w:tcPr>
                  <w:tcW w:w="535" w:type="pct"/>
                  <w:noWrap w:val="0"/>
                  <w:vAlign w:val="center"/>
                </w:tcPr>
                <w:p w14:paraId="71089F4F">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305A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365F88F9">
                  <w:p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医疗卫生机构在每次转移医疗废物时，应当与医疗废物集中处置单位办理交运手续，填写医疗废物转移联单，并各自保存五年。</w:t>
                  </w:r>
                </w:p>
              </w:tc>
              <w:tc>
                <w:tcPr>
                  <w:tcW w:w="1933" w:type="pct"/>
                  <w:noWrap w:val="0"/>
                  <w:vAlign w:val="center"/>
                </w:tcPr>
                <w:p w14:paraId="1AFFA8B4">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项目在</w:t>
                  </w:r>
                  <w:r>
                    <w:rPr>
                      <w:rFonts w:hint="default" w:ascii="Times New Roman" w:hAnsi="Times New Roman" w:eastAsia="Songti SC Regular" w:cs="Times New Roman"/>
                      <w:color w:val="auto"/>
                      <w:highlight w:val="none"/>
                      <w:lang w:val="en-US" w:eastAsia="zh-Hans"/>
                    </w:rPr>
                    <w:t>每次转移医疗废物时，</w:t>
                  </w:r>
                  <w:r>
                    <w:rPr>
                      <w:rFonts w:hint="default" w:ascii="Times New Roman" w:hAnsi="Times New Roman" w:cs="Times New Roman"/>
                      <w:color w:val="auto"/>
                      <w:sz w:val="21"/>
                      <w:szCs w:val="21"/>
                      <w:highlight w:val="none"/>
                      <w:lang w:val="en-US" w:eastAsia="zh-CN"/>
                    </w:rPr>
                    <w:t>与</w:t>
                  </w:r>
                  <w:r>
                    <w:rPr>
                      <w:rFonts w:hint="eastAsia" w:cs="Times New Roman"/>
                      <w:color w:val="auto"/>
                      <w:sz w:val="21"/>
                      <w:szCs w:val="21"/>
                      <w:highlight w:val="none"/>
                      <w:lang w:val="en-US" w:eastAsia="zh-CN"/>
                    </w:rPr>
                    <w:t>相关单位</w:t>
                  </w:r>
                  <w:r>
                    <w:rPr>
                      <w:rFonts w:hint="default" w:ascii="Times New Roman" w:hAnsi="Times New Roman" w:cs="Times New Roman"/>
                      <w:color w:val="auto"/>
                      <w:sz w:val="21"/>
                      <w:szCs w:val="21"/>
                      <w:highlight w:val="none"/>
                      <w:lang w:val="en-US" w:eastAsia="zh-CN"/>
                    </w:rPr>
                    <w:t>会办理交运手续，填写医疗废物转移联单，并且建设单位保存有近五年内的医疗废物转移联单。</w:t>
                  </w:r>
                </w:p>
              </w:tc>
              <w:tc>
                <w:tcPr>
                  <w:tcW w:w="535" w:type="pct"/>
                  <w:noWrap w:val="0"/>
                  <w:vAlign w:val="center"/>
                </w:tcPr>
                <w:p w14:paraId="05E715A7">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7D8C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09099D19">
                  <w:p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医疗废物集中处置单位应当至少每2日到医疗卫生机构收集、运送一次医疗废物，并按照国家规定的卫生，环境保护标准和规范收集、贮存、处置医疗废物。</w:t>
                  </w:r>
                </w:p>
              </w:tc>
              <w:tc>
                <w:tcPr>
                  <w:tcW w:w="1933" w:type="pct"/>
                  <w:noWrap w:val="0"/>
                  <w:vAlign w:val="center"/>
                </w:tcPr>
                <w:p w14:paraId="3ECEF3C7">
                  <w:pPr>
                    <w:jc w:val="left"/>
                    <w:rPr>
                      <w:rFonts w:hint="default" w:ascii="Times New Roman" w:hAnsi="Times New Roman" w:cs="Times New Roman"/>
                      <w:color w:val="auto"/>
                      <w:sz w:val="21"/>
                      <w:szCs w:val="21"/>
                      <w:highlight w:val="yellow"/>
                      <w:lang w:val="en-US" w:eastAsia="zh-CN"/>
                    </w:rPr>
                  </w:pPr>
                  <w:r>
                    <w:rPr>
                      <w:rFonts w:hint="eastAsia" w:cs="Times New Roman"/>
                      <w:color w:val="auto"/>
                      <w:sz w:val="21"/>
                      <w:szCs w:val="21"/>
                      <w:highlight w:val="none"/>
                      <w:lang w:val="en-US" w:eastAsia="zh-CN"/>
                    </w:rPr>
                    <w:t>本项目要求相关单位至少</w:t>
                  </w:r>
                  <w:r>
                    <w:rPr>
                      <w:rFonts w:hint="default" w:ascii="Times New Roman" w:hAnsi="Times New Roman" w:eastAsia="Songti SC Regular" w:cs="Times New Roman"/>
                      <w:color w:val="auto"/>
                      <w:highlight w:val="none"/>
                      <w:lang w:val="en-US" w:eastAsia="zh-Hans"/>
                    </w:rPr>
                    <w:t>每2日到</w:t>
                  </w:r>
                  <w:r>
                    <w:rPr>
                      <w:rFonts w:hint="default" w:ascii="Times New Roman" w:hAnsi="Times New Roman" w:eastAsia="Songti SC Regular" w:cs="Times New Roman"/>
                      <w:color w:val="auto"/>
                      <w:highlight w:val="none"/>
                      <w:lang w:val="en-US" w:eastAsia="zh-CN"/>
                    </w:rPr>
                    <w:t>本院</w:t>
                  </w:r>
                  <w:r>
                    <w:rPr>
                      <w:rFonts w:hint="default" w:ascii="Times New Roman" w:hAnsi="Times New Roman" w:eastAsia="Songti SC Regular" w:cs="Times New Roman"/>
                      <w:color w:val="auto"/>
                      <w:highlight w:val="none"/>
                      <w:lang w:val="en-US" w:eastAsia="zh-Hans"/>
                    </w:rPr>
                    <w:t>收集、运送一次医疗废物，并</w:t>
                  </w:r>
                  <w:r>
                    <w:rPr>
                      <w:rFonts w:hint="default" w:ascii="Times New Roman" w:hAnsi="Times New Roman" w:eastAsia="Songti SC Regular" w:cs="Times New Roman"/>
                      <w:color w:val="auto"/>
                      <w:highlight w:val="none"/>
                      <w:lang w:val="en-US" w:eastAsia="zh-CN"/>
                    </w:rPr>
                    <w:t>且</w:t>
                  </w:r>
                  <w:r>
                    <w:rPr>
                      <w:rFonts w:hint="default" w:ascii="Times New Roman" w:hAnsi="Times New Roman" w:eastAsia="Songti SC Regular" w:cs="Times New Roman"/>
                      <w:color w:val="auto"/>
                      <w:highlight w:val="none"/>
                      <w:lang w:val="en-US" w:eastAsia="zh-Hans"/>
                    </w:rPr>
                    <w:t>按照国家规定的卫生，环境保护标准和规范收集、贮存、处置医疗废物。</w:t>
                  </w:r>
                </w:p>
              </w:tc>
              <w:tc>
                <w:tcPr>
                  <w:tcW w:w="535" w:type="pct"/>
                  <w:noWrap w:val="0"/>
                  <w:vAlign w:val="center"/>
                </w:tcPr>
                <w:p w14:paraId="77D7FD85">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4275F0C4">
            <w:pPr>
              <w:widowControl/>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根据上表分析，本项目与《</w:t>
            </w:r>
            <w:r>
              <w:rPr>
                <w:rFonts w:hint="eastAsia" w:ascii="Times New Roman" w:hAnsi="Times New Roman" w:cs="Times New Roman"/>
                <w:color w:val="auto"/>
                <w:sz w:val="24"/>
                <w:lang w:val="en-US" w:eastAsia="zh-CN"/>
              </w:rPr>
              <w:t>昆明市医疗废物管理规定</w:t>
            </w:r>
            <w:r>
              <w:rPr>
                <w:rFonts w:hint="default" w:ascii="Times New Roman" w:hAnsi="Times New Roman" w:cs="Times New Roman"/>
                <w:b w:val="0"/>
                <w:color w:val="auto"/>
                <w:sz w:val="24"/>
                <w:szCs w:val="24"/>
              </w:rPr>
              <w:t>》中的要求相符。</w:t>
            </w:r>
          </w:p>
          <w:p w14:paraId="768FC002">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sz w:val="24"/>
                <w:szCs w:val="24"/>
                <w:lang w:val="en-US" w:eastAsia="zh-CN"/>
              </w:rPr>
              <w:t>与《医疗机构废弃物综合治理工作方案》</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国卫医发</w:t>
            </w:r>
            <w:r>
              <w:rPr>
                <w:rFonts w:hint="eastAsia" w:cs="Times New Roman"/>
                <w:b/>
                <w:bCs/>
                <w:color w:val="auto"/>
                <w:sz w:val="24"/>
                <w:szCs w:val="24"/>
                <w:lang w:val="en-US" w:eastAsia="zh-CN"/>
              </w:rPr>
              <w:t>〔2020〕3号）</w:t>
            </w:r>
            <w:r>
              <w:rPr>
                <w:rFonts w:hint="default" w:ascii="Times New Roman" w:hAnsi="Times New Roman" w:eastAsia="宋体" w:cs="Times New Roman"/>
                <w:b/>
                <w:bCs/>
                <w:color w:val="auto"/>
                <w:sz w:val="24"/>
                <w:szCs w:val="24"/>
                <w:lang w:val="en-US" w:eastAsia="zh-CN"/>
              </w:rPr>
              <w:t>符合性分析</w:t>
            </w:r>
          </w:p>
          <w:p w14:paraId="1009E2BE">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根据《医疗机构废弃物综合治理工作方案》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国卫医发</w:t>
            </w:r>
            <w:r>
              <w:rPr>
                <w:rFonts w:hint="eastAsia" w:cs="Times New Roman"/>
                <w:b w:val="0"/>
                <w:bCs w:val="0"/>
                <w:color w:val="auto"/>
                <w:sz w:val="24"/>
                <w:szCs w:val="24"/>
                <w:lang w:val="en-US" w:eastAsia="zh-CN"/>
              </w:rPr>
              <w:t>〔2020〕3号）</w:t>
            </w:r>
            <w:r>
              <w:rPr>
                <w:rFonts w:hint="default" w:ascii="Times New Roman" w:hAnsi="Times New Roman" w:eastAsia="宋体" w:cs="Times New Roman"/>
                <w:b w:val="0"/>
                <w:bCs w:val="0"/>
                <w:color w:val="auto"/>
                <w:sz w:val="24"/>
                <w:szCs w:val="24"/>
                <w:lang w:val="en-US" w:eastAsia="zh-CN"/>
              </w:rPr>
              <w:t>中要求</w:t>
            </w:r>
            <w:r>
              <w:rPr>
                <w:rFonts w:hint="eastAsia"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lang w:val="en-US" w:eastAsia="zh-CN"/>
              </w:rPr>
              <w:t>做好医疗机构内部废弃物分类和管理</w:t>
            </w:r>
            <w:r>
              <w:rPr>
                <w:rFonts w:hint="eastAsia"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lang w:val="en-US" w:eastAsia="zh-CN"/>
              </w:rPr>
              <w:t>加强源头管理。医疗机构废弃物分为医疗废物、生活垃圾和输液瓶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袋</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。通过规范分类和清晰流程，确保医疗机构废弃物应分尽分和可追溯</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和</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二、做好医疗废物处置</w:t>
            </w:r>
            <w:r>
              <w:rPr>
                <w:rFonts w:hint="eastAsia" w:ascii="Times New Roman" w:hAnsi="Times New Roman" w:eastAsia="宋体"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进一步明确处置要求。医疗机构按照《医疗废物分类目录》等要求制定具体的分类收集清单。严格落实危险废物申报登记和管理计划备案要求，依法向生态环境部门申报医疗废物的种类、产生量、流向、</w:t>
            </w:r>
            <w:r>
              <w:rPr>
                <w:rFonts w:hint="eastAsia" w:cs="Times New Roman"/>
                <w:b w:val="0"/>
                <w:bCs w:val="0"/>
                <w:color w:val="auto"/>
                <w:sz w:val="24"/>
                <w:szCs w:val="24"/>
                <w:lang w:val="en-US" w:eastAsia="zh-CN"/>
              </w:rPr>
              <w:t>贮存</w:t>
            </w:r>
            <w:r>
              <w:rPr>
                <w:rFonts w:hint="default" w:ascii="Times New Roman" w:hAnsi="Times New Roman" w:eastAsia="宋体" w:cs="Times New Roman"/>
                <w:b w:val="0"/>
                <w:bCs w:val="0"/>
                <w:color w:val="auto"/>
                <w:sz w:val="24"/>
                <w:szCs w:val="24"/>
                <w:lang w:val="en-US" w:eastAsia="zh-CN"/>
              </w:rPr>
              <w:t>和处置等情况。严禁混合医疗废物、生活垃圾和输液瓶</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袋</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，严禁混放各类医疗废物。规范医疗废物贮存场所</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设施</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管理，不得露天存放。及时告知并将医疗废物交由持有危险废物经营许可证的集中处置单位，执行转移联单并做好交接登记，资料保存不少于3年。的确不具备医疗废物集中处置条件的地区，医疗机构应当使用符合条件的设施自行处置”。</w:t>
            </w:r>
          </w:p>
          <w:p w14:paraId="47E27E5D">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本项目运营期产生的医疗废物严格按照相关要求进行分类收集，医疗废物交有资质的单位进行处理，生活垃圾由当地环</w:t>
            </w:r>
            <w:r>
              <w:rPr>
                <w:rFonts w:hint="eastAsia" w:cs="Times New Roman"/>
                <w:b w:val="0"/>
                <w:bCs w:val="0"/>
                <w:color w:val="auto"/>
                <w:sz w:val="24"/>
                <w:szCs w:val="24"/>
                <w:highlight w:val="none"/>
                <w:lang w:val="en-US" w:eastAsia="zh-CN"/>
              </w:rPr>
              <w:t>卫</w:t>
            </w:r>
            <w:r>
              <w:rPr>
                <w:rFonts w:hint="default" w:ascii="Times New Roman" w:hAnsi="Times New Roman" w:eastAsia="宋体" w:cs="Times New Roman"/>
                <w:b w:val="0"/>
                <w:bCs w:val="0"/>
                <w:color w:val="auto"/>
                <w:sz w:val="24"/>
                <w:szCs w:val="24"/>
                <w:highlight w:val="none"/>
                <w:lang w:val="en-US" w:eastAsia="zh-CN"/>
              </w:rPr>
              <w:t>部门清运处理</w:t>
            </w:r>
            <w:r>
              <w:rPr>
                <w:rFonts w:hint="eastAsia" w:cs="Times New Roman"/>
                <w:b w:val="0"/>
                <w:bCs w:val="0"/>
                <w:color w:val="auto"/>
                <w:sz w:val="24"/>
                <w:szCs w:val="24"/>
                <w:highlight w:val="none"/>
                <w:lang w:val="en-US" w:eastAsia="zh-CN"/>
              </w:rPr>
              <w:t>，水处理固废</w:t>
            </w:r>
            <w:r>
              <w:rPr>
                <w:rFonts w:hint="default" w:ascii="Times New Roman" w:hAnsi="Times New Roman" w:eastAsia="宋体" w:cs="Times New Roman"/>
                <w:b w:val="0"/>
                <w:bCs w:val="0"/>
                <w:color w:val="auto"/>
                <w:sz w:val="24"/>
                <w:szCs w:val="24"/>
                <w:highlight w:val="none"/>
                <w:lang w:val="en-US" w:eastAsia="zh-CN"/>
              </w:rPr>
              <w:t>危险废物收集后交由有资质的单位进行处理</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医院设置有专门的医疗废物暂存间，与生活垃圾等其他垃圾完全分隔开。同时设置医疗废物及其他危险废物管理台账，明确记录产生量、处置量和去向等相关信息。</w:t>
            </w:r>
          </w:p>
          <w:p w14:paraId="1DEEFA84">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综上，本项目符合《医疗机构废弃物综合治理工作方案》</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国卫医发</w:t>
            </w:r>
            <w:r>
              <w:rPr>
                <w:rFonts w:hint="eastAsia" w:cs="Times New Roman"/>
                <w:b w:val="0"/>
                <w:bCs w:val="0"/>
                <w:color w:val="auto"/>
                <w:sz w:val="24"/>
                <w:szCs w:val="24"/>
                <w:highlight w:val="none"/>
                <w:lang w:val="en-US" w:eastAsia="zh-CN"/>
              </w:rPr>
              <w:t>〔2020〕3号）</w:t>
            </w:r>
            <w:r>
              <w:rPr>
                <w:rFonts w:hint="default" w:ascii="Times New Roman" w:hAnsi="Times New Roman" w:eastAsia="宋体" w:cs="Times New Roman"/>
                <w:b w:val="0"/>
                <w:bCs w:val="0"/>
                <w:color w:val="auto"/>
                <w:sz w:val="24"/>
                <w:szCs w:val="24"/>
                <w:highlight w:val="none"/>
                <w:lang w:val="en-US" w:eastAsia="zh-CN"/>
              </w:rPr>
              <w:t>中相关要求。</w:t>
            </w:r>
          </w:p>
          <w:p w14:paraId="423D85CE">
            <w:pPr>
              <w:pStyle w:val="12"/>
              <w:keepNext w:val="0"/>
              <w:keepLines w:val="0"/>
              <w:pageBreakBefore w:val="0"/>
              <w:widowControl w:val="0"/>
              <w:numPr>
                <w:ilvl w:val="0"/>
                <w:numId w:val="4"/>
              </w:numPr>
              <w:kinsoku/>
              <w:wordWrap/>
              <w:overflowPunct/>
              <w:topLinePunct w:val="0"/>
              <w:autoSpaceDE/>
              <w:autoSpaceDN/>
              <w:bidi w:val="0"/>
              <w:adjustRightInd/>
              <w:snapToGrid/>
              <w:ind w:firstLine="482" w:firstLineChars="200"/>
              <w:jc w:val="left"/>
              <w:textAlignment w:val="auto"/>
              <w:rPr>
                <w:rFonts w:hint="eastAsia"/>
                <w:b/>
                <w:bCs/>
                <w:color w:val="auto"/>
                <w:lang w:val="en-US" w:eastAsia="zh-CN"/>
              </w:rPr>
            </w:pPr>
            <w:r>
              <w:rPr>
                <w:rFonts w:hint="eastAsia" w:cs="Times New Roman"/>
                <w:b/>
                <w:bCs/>
                <w:color w:val="auto"/>
                <w:sz w:val="24"/>
                <w:szCs w:val="24"/>
                <w:highlight w:val="none"/>
                <w:lang w:val="en-US" w:eastAsia="zh-CN"/>
              </w:rPr>
              <w:t>项目</w:t>
            </w:r>
            <w:r>
              <w:rPr>
                <w:rFonts w:hint="eastAsia"/>
                <w:b/>
                <w:bCs/>
                <w:color w:val="auto"/>
                <w:lang w:val="en-US" w:eastAsia="zh-CN"/>
              </w:rPr>
              <w:t>与《医疗废物管理条例（2011修订）》相符性分析</w:t>
            </w:r>
          </w:p>
          <w:p w14:paraId="31CB3362">
            <w:pPr>
              <w:keepNext w:val="0"/>
              <w:keepLines w:val="0"/>
              <w:widowControl/>
              <w:suppressLineNumbers w:val="0"/>
              <w:ind w:left="0" w:leftChars="0" w:right="0" w:rightChars="0" w:firstLine="0" w:firstLineChars="0"/>
              <w:jc w:val="center"/>
              <w:rPr>
                <w:rFonts w:hint="eastAsia"/>
                <w:b/>
                <w:bCs/>
                <w:color w:val="auto"/>
                <w:sz w:val="21"/>
                <w:szCs w:val="21"/>
                <w:lang w:val="en-US" w:eastAsia="zh-CN"/>
              </w:rPr>
            </w:pPr>
            <w:r>
              <w:rPr>
                <w:rFonts w:hint="eastAsia"/>
                <w:b/>
                <w:bCs/>
                <w:color w:val="auto"/>
                <w:sz w:val="21"/>
                <w:szCs w:val="21"/>
                <w:lang w:val="en-US" w:eastAsia="zh-CN"/>
              </w:rPr>
              <w:t>表1-6  项目与《医疗废物管理条例》（2011 修订）的符合性分析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6"/>
              <w:gridCol w:w="2596"/>
              <w:gridCol w:w="713"/>
            </w:tblGrid>
            <w:tr w14:paraId="34CE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2" w:type="dxa"/>
                  <w:vAlign w:val="center"/>
                </w:tcPr>
                <w:p w14:paraId="4004EAB3">
                  <w:pPr>
                    <w:keepNext w:val="0"/>
                    <w:keepLines w:val="0"/>
                    <w:widowControl/>
                    <w:suppressLineNumbers w:val="0"/>
                    <w:ind w:left="0" w:leftChars="0" w:right="0" w:rightChars="0" w:firstLine="0" w:firstLineChars="0"/>
                    <w:jc w:val="center"/>
                    <w:rPr>
                      <w:rFonts w:hint="default"/>
                      <w:b w:val="0"/>
                      <w:bCs w:val="0"/>
                      <w:color w:val="auto"/>
                      <w:sz w:val="21"/>
                      <w:szCs w:val="21"/>
                      <w:vertAlign w:val="baseline"/>
                      <w:lang w:val="en-US" w:eastAsia="zh-CN"/>
                    </w:rPr>
                  </w:pPr>
                  <w:r>
                    <w:rPr>
                      <w:rFonts w:hint="eastAsia"/>
                      <w:b/>
                      <w:bCs/>
                      <w:color w:val="auto"/>
                      <w:sz w:val="21"/>
                      <w:szCs w:val="21"/>
                      <w:lang w:val="en-US" w:eastAsia="zh-CN"/>
                    </w:rPr>
                    <w:t>《医疗废物管理条例》（2011修订）相关要求</w:t>
                  </w:r>
                </w:p>
              </w:tc>
              <w:tc>
                <w:tcPr>
                  <w:tcW w:w="2599" w:type="dxa"/>
                  <w:vAlign w:val="center"/>
                </w:tcPr>
                <w:p w14:paraId="52754BE2">
                  <w:pPr>
                    <w:keepNext w:val="0"/>
                    <w:keepLines w:val="0"/>
                    <w:widowControl/>
                    <w:suppressLineNumbers w:val="0"/>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项目情况</w:t>
                  </w:r>
                </w:p>
              </w:tc>
              <w:tc>
                <w:tcPr>
                  <w:tcW w:w="714" w:type="dxa"/>
                  <w:vAlign w:val="center"/>
                </w:tcPr>
                <w:p w14:paraId="7783EC65">
                  <w:pPr>
                    <w:keepNext w:val="0"/>
                    <w:keepLines w:val="0"/>
                    <w:widowControl/>
                    <w:suppressLineNumbers w:val="0"/>
                    <w:ind w:left="0" w:leftChars="0" w:right="0" w:rightChars="0" w:firstLine="0" w:firstLineChars="0"/>
                    <w:jc w:val="center"/>
                    <w:rPr>
                      <w:rFonts w:hint="default"/>
                      <w:b w:val="0"/>
                      <w:bCs w:val="0"/>
                      <w:color w:val="auto"/>
                      <w:sz w:val="21"/>
                      <w:szCs w:val="21"/>
                      <w:vertAlign w:val="baseline"/>
                      <w:lang w:val="en-US" w:eastAsia="zh-CN"/>
                    </w:rPr>
                  </w:pPr>
                  <w:r>
                    <w:rPr>
                      <w:rFonts w:hint="eastAsia"/>
                      <w:b/>
                      <w:bCs/>
                      <w:color w:val="auto"/>
                      <w:sz w:val="21"/>
                      <w:szCs w:val="21"/>
                      <w:vertAlign w:val="baseline"/>
                      <w:lang w:val="en-US" w:eastAsia="zh-CN"/>
                    </w:rPr>
                    <w:t>符合性</w:t>
                  </w:r>
                </w:p>
              </w:tc>
            </w:tr>
            <w:tr w14:paraId="42CA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2" w:type="dxa"/>
                </w:tcPr>
                <w:p w14:paraId="6EA9C727">
                  <w:pPr>
                    <w:keepNext w:val="0"/>
                    <w:keepLines w:val="0"/>
                    <w:widowControl/>
                    <w:suppressLineNumbers w:val="0"/>
                    <w:jc w:val="left"/>
                    <w:rPr>
                      <w:rFonts w:hint="default"/>
                      <w:b/>
                      <w:bCs/>
                      <w:color w:val="auto"/>
                      <w:sz w:val="21"/>
                      <w:szCs w:val="21"/>
                      <w:vertAlign w:val="baseline"/>
                      <w:lang w:val="en-US" w:eastAsia="zh-CN"/>
                    </w:rPr>
                  </w:pPr>
                  <w:r>
                    <w:rPr>
                      <w:rFonts w:hint="default"/>
                      <w:b/>
                      <w:bCs/>
                      <w:color w:val="auto"/>
                      <w:sz w:val="21"/>
                      <w:szCs w:val="21"/>
                      <w:vertAlign w:val="baseline"/>
                      <w:lang w:val="en-US" w:eastAsia="zh-CN"/>
                    </w:rPr>
                    <w:t>医疗废物管理的一般规定</w:t>
                  </w:r>
                </w:p>
                <w:p w14:paraId="341380E9">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第七条</w:t>
                  </w:r>
                </w:p>
                <w:p w14:paraId="5AA16B3A">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医疗卫生机构和医疗废物集中处置单位，应当建立、健全医疗废物管理责任制，其法定代表人为第一责任人，切实履行职责，防止因医疗废物导致传染病传播和环境污染事故。</w:t>
                  </w:r>
                </w:p>
                <w:p w14:paraId="62C35D84">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第十一条</w:t>
                  </w:r>
                </w:p>
                <w:p w14:paraId="1ABD9497">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医疗卫生机构和医疗废物集中处置单位，应当依照《中华人民共和国固体废物污染环境防治法》的规定，执行危险废物转移联单管理制度。</w:t>
                  </w:r>
                </w:p>
                <w:p w14:paraId="42517402">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第十二条</w:t>
                  </w:r>
                </w:p>
                <w:p w14:paraId="1E709700">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医疗卫生机构和医疗废物集中处置单位，应当对医疗废物进行登记。登记资料至少保存3年。</w:t>
                  </w:r>
                </w:p>
                <w:p w14:paraId="784B8E3D">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第十三条</w:t>
                  </w:r>
                </w:p>
                <w:p w14:paraId="0502C5D2">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和医疗废物集中处置单位，应当采取有效措施，防止医疗废物流失、泄漏扩散。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p w14:paraId="6C02CC39">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第十四条</w:t>
                  </w:r>
                </w:p>
                <w:p w14:paraId="1CDE2278">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禁止任何单位和个人转让、买卖医疗废物。禁止在运送过程中丢弃医疗废物;禁止在非贮存地点倾倒、堆放医疗废物或者将医疗废物混入其他废物和生活垃圾。</w:t>
                  </w:r>
                </w:p>
              </w:tc>
              <w:tc>
                <w:tcPr>
                  <w:tcW w:w="2599" w:type="dxa"/>
                </w:tcPr>
                <w:p w14:paraId="51153349">
                  <w:pPr>
                    <w:keepNext w:val="0"/>
                    <w:keepLines w:val="0"/>
                    <w:widowControl/>
                    <w:numPr>
                      <w:ilvl w:val="0"/>
                      <w:numId w:val="0"/>
                    </w:numPr>
                    <w:suppressLineNumbers w:val="0"/>
                    <w:jc w:val="left"/>
                    <w:rPr>
                      <w:rFonts w:hint="default"/>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1.</w:t>
                  </w:r>
                  <w:r>
                    <w:rPr>
                      <w:rFonts w:hint="default"/>
                      <w:b w:val="0"/>
                      <w:bCs w:val="0"/>
                      <w:color w:val="auto"/>
                      <w:sz w:val="21"/>
                      <w:szCs w:val="21"/>
                      <w:vertAlign w:val="baseline"/>
                      <w:lang w:val="en-US" w:eastAsia="zh-CN"/>
                    </w:rPr>
                    <w:t>建设单位已建立、健全医疗废物管理责任制。</w:t>
                  </w:r>
                </w:p>
                <w:p w14:paraId="484F938D">
                  <w:pPr>
                    <w:keepNext w:val="0"/>
                    <w:keepLines w:val="0"/>
                    <w:widowControl/>
                    <w:numPr>
                      <w:ilvl w:val="0"/>
                      <w:numId w:val="0"/>
                    </w:numPr>
                    <w:suppressLineNumbers w:val="0"/>
                    <w:ind w:left="0" w:leftChars="0" w:firstLine="0" w:firstLineChars="0"/>
                    <w:jc w:val="left"/>
                    <w:rPr>
                      <w:rFonts w:hint="default"/>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2.</w:t>
                  </w:r>
                  <w:r>
                    <w:rPr>
                      <w:rFonts w:hint="default"/>
                      <w:b w:val="0"/>
                      <w:bCs w:val="0"/>
                      <w:color w:val="auto"/>
                      <w:sz w:val="21"/>
                      <w:szCs w:val="21"/>
                      <w:vertAlign w:val="baseline"/>
                      <w:lang w:val="en-US" w:eastAsia="zh-CN"/>
                    </w:rPr>
                    <w:t>本项目属于医疗废物产生单位，已依照《中华人民共和国固体废物污染环境防治法》的规定，执行危险废物转移联单管理制度。</w:t>
                  </w:r>
                </w:p>
                <w:p w14:paraId="628BC81D">
                  <w:pPr>
                    <w:keepNext w:val="0"/>
                    <w:keepLines w:val="0"/>
                    <w:widowControl/>
                    <w:numPr>
                      <w:ilvl w:val="0"/>
                      <w:numId w:val="0"/>
                    </w:numPr>
                    <w:suppressLineNumbers w:val="0"/>
                    <w:ind w:left="0" w:leftChars="0" w:firstLine="0" w:firstLineChars="0"/>
                    <w:jc w:val="left"/>
                    <w:rPr>
                      <w:rFonts w:hint="default"/>
                      <w:b w:val="0"/>
                      <w:bCs w:val="0"/>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3.</w:t>
                  </w:r>
                  <w:r>
                    <w:rPr>
                      <w:rFonts w:hint="default"/>
                      <w:b w:val="0"/>
                      <w:bCs w:val="0"/>
                      <w:color w:val="auto"/>
                      <w:sz w:val="21"/>
                      <w:szCs w:val="21"/>
                      <w:vertAlign w:val="baseline"/>
                      <w:lang w:val="en-US" w:eastAsia="zh-CN"/>
                    </w:rPr>
                    <w:t>本项目属于医疗废物产生单位，已建立医疗废物管理台账，对医疗废物进行登记，台账至少保存5年。</w:t>
                  </w:r>
                </w:p>
                <w:p w14:paraId="3C6DF0C3">
                  <w:pPr>
                    <w:keepNext w:val="0"/>
                    <w:keepLines w:val="0"/>
                    <w:widowControl/>
                    <w:numPr>
                      <w:ilvl w:val="0"/>
                      <w:numId w:val="0"/>
                    </w:numPr>
                    <w:suppressLineNumbers w:val="0"/>
                    <w:ind w:leftChars="0"/>
                    <w:jc w:val="left"/>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r>
                    <w:rPr>
                      <w:rFonts w:hint="default"/>
                      <w:b w:val="0"/>
                      <w:bCs w:val="0"/>
                      <w:color w:val="auto"/>
                      <w:sz w:val="21"/>
                      <w:szCs w:val="21"/>
                      <w:vertAlign w:val="baseline"/>
                      <w:lang w:val="en-US" w:eastAsia="zh-CN"/>
                    </w:rPr>
                    <w:t>本项目属于医疗废物产生单位，已规范建设医疗废物暂存间，采取有效防渗措施，防止医疗废物流失、泄漏、扩散。</w:t>
                  </w:r>
                </w:p>
                <w:p w14:paraId="050DE147">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5</w:t>
                  </w: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建设单位已与持有危险废物经营许可证的</w:t>
                  </w:r>
                  <w:r>
                    <w:rPr>
                      <w:rFonts w:hint="eastAsia" w:cs="Times New Roman"/>
                      <w:color w:val="auto"/>
                      <w:sz w:val="21"/>
                      <w:szCs w:val="21"/>
                      <w:lang w:val="en-US" w:eastAsia="zh-CN"/>
                    </w:rPr>
                    <w:t>西畴铂鑫医疗废物处理有限公司签订</w:t>
                  </w:r>
                  <w:r>
                    <w:rPr>
                      <w:rFonts w:hint="default"/>
                      <w:b w:val="0"/>
                      <w:bCs w:val="0"/>
                      <w:color w:val="auto"/>
                      <w:sz w:val="21"/>
                      <w:szCs w:val="21"/>
                      <w:vertAlign w:val="baseline"/>
                      <w:lang w:val="en-US" w:eastAsia="zh-CN"/>
                    </w:rPr>
                    <w:t>医疗废物处置协议，委托该公司清运处置项目产生的医疗废物，规范处置医疗废物。</w:t>
                  </w:r>
                </w:p>
              </w:tc>
              <w:tc>
                <w:tcPr>
                  <w:tcW w:w="714" w:type="dxa"/>
                  <w:vAlign w:val="center"/>
                </w:tcPr>
                <w:p w14:paraId="78DFDB4F">
                  <w:pPr>
                    <w:keepNext w:val="0"/>
                    <w:keepLines w:val="0"/>
                    <w:widowControl/>
                    <w:suppressLineNumbers w:val="0"/>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4299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2" w:type="dxa"/>
                </w:tcPr>
                <w:p w14:paraId="2940A84D">
                  <w:pPr>
                    <w:keepNext w:val="0"/>
                    <w:keepLines w:val="0"/>
                    <w:widowControl/>
                    <w:suppressLineNumbers w:val="0"/>
                    <w:jc w:val="left"/>
                    <w:rPr>
                      <w:rFonts w:hint="default"/>
                      <w:b/>
                      <w:bCs/>
                      <w:color w:val="auto"/>
                      <w:sz w:val="21"/>
                      <w:szCs w:val="21"/>
                      <w:vertAlign w:val="baseline"/>
                      <w:lang w:val="en-US" w:eastAsia="zh-CN"/>
                    </w:rPr>
                  </w:pPr>
                  <w:r>
                    <w:rPr>
                      <w:rFonts w:hint="default"/>
                      <w:b/>
                      <w:bCs/>
                      <w:color w:val="auto"/>
                      <w:sz w:val="21"/>
                      <w:szCs w:val="21"/>
                      <w:vertAlign w:val="baseline"/>
                      <w:lang w:val="en-US" w:eastAsia="zh-CN"/>
                    </w:rPr>
                    <w:t>医疗卫生机构对医疗废物的管理</w:t>
                  </w:r>
                </w:p>
                <w:p w14:paraId="335AAB85">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第十六条</w:t>
                  </w:r>
                </w:p>
                <w:p w14:paraId="0113D577">
                  <w:pPr>
                    <w:keepNext w:val="0"/>
                    <w:keepLines w:val="0"/>
                    <w:widowControl/>
                    <w:suppressLineNumbers w:val="0"/>
                    <w:jc w:val="left"/>
                    <w:rPr>
                      <w:rFonts w:hint="eastAsia"/>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应当及时收集本单位产生的医疗废物，并按照类别分置于防渗漏、防锐器穿透的专用包装物或者密闭的容器内。医疗废物专用包装物、容器，应当有明显的警示标识和警示说明。医疗废物专用包装物、容器的标准和警示标识的规定，由国务院卫生行政主管部门和环境保护行政主管部门</w:t>
                  </w:r>
                  <w:r>
                    <w:rPr>
                      <w:rFonts w:hint="eastAsia"/>
                      <w:b w:val="0"/>
                      <w:bCs w:val="0"/>
                      <w:color w:val="auto"/>
                      <w:sz w:val="21"/>
                      <w:szCs w:val="21"/>
                      <w:vertAlign w:val="baseline"/>
                      <w:lang w:val="en-US" w:eastAsia="zh-CN"/>
                    </w:rPr>
                    <w:t>共同制定。</w:t>
                  </w:r>
                </w:p>
                <w:p w14:paraId="3CBD8E06">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第十七条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防鼠、防蚊蝇、防蟑螂、防盗以及预防儿童接触等安全措施。医疗废物的暂时贮存设施、设备应当定期消毒和清洁。</w:t>
                  </w:r>
                </w:p>
                <w:p w14:paraId="222F4AE5">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第十八条</w:t>
                  </w:r>
                </w:p>
                <w:p w14:paraId="7532B51F">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卫生机构应当使用防渗漏、防遗撒的专用运送工具，按照本单位确定的内部医疗废物运送时间、路线，将医疗废物收集、运送至暂时贮存地点。运送工具使用后应当在医疗卫生机构内指定的地点及时消毒和清洁。</w:t>
                  </w:r>
                </w:p>
                <w:p w14:paraId="260336A6">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第十九条</w:t>
                  </w:r>
                </w:p>
                <w:p w14:paraId="41D7D01A">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卫生机构应当根据就近集中处置的原则，及时将医疗废物交由医疗废物集中处置单位处置。医疗废物中病原体的培养基、标本和菌种、毒种保存液等高危险废物，在交医疗废物集中处置单位处置前应当就地消毒。</w:t>
                  </w:r>
                </w:p>
                <w:p w14:paraId="55E3B576">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第二十条</w:t>
                  </w:r>
                </w:p>
                <w:p w14:paraId="5E8C70E9">
                  <w:pPr>
                    <w:keepNext w:val="0"/>
                    <w:keepLines w:val="0"/>
                    <w:widowControl/>
                    <w:suppressLineNumbers w:val="0"/>
                    <w:jc w:val="left"/>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医疗卫生机构产生的污水、传染病病人或者疑似传染病病人的排泄物，应当按照国家规定严格消毒；达到国家规定的排放标准后，方可排入污水处理系统。</w:t>
                  </w:r>
                </w:p>
              </w:tc>
              <w:tc>
                <w:tcPr>
                  <w:tcW w:w="2599" w:type="dxa"/>
                </w:tcPr>
                <w:p w14:paraId="2B798F1F">
                  <w:pPr>
                    <w:keepNext w:val="0"/>
                    <w:keepLines w:val="0"/>
                    <w:widowControl/>
                    <w:suppressLineNumbers w:val="0"/>
                    <w:jc w:val="left"/>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r>
                    <w:rPr>
                      <w:rFonts w:hint="default"/>
                      <w:b w:val="0"/>
                      <w:bCs w:val="0"/>
                      <w:color w:val="auto"/>
                      <w:sz w:val="21"/>
                      <w:szCs w:val="21"/>
                      <w:vertAlign w:val="baseline"/>
                      <w:lang w:val="en-US" w:eastAsia="zh-CN"/>
                    </w:rPr>
                    <w:t>本项目加强医疗废物管理，已及时收集医疗废物，并按照类别分置于防渗漏、防锐器穿透的专用包装物或者密闭的容器内。医疗废物专用包装物、容器，粘贴有明显的警示标识和警示说明</w:t>
                  </w:r>
                  <w:r>
                    <w:rPr>
                      <w:rFonts w:hint="eastAsia"/>
                      <w:b w:val="0"/>
                      <w:bCs w:val="0"/>
                      <w:color w:val="auto"/>
                      <w:sz w:val="21"/>
                      <w:szCs w:val="21"/>
                      <w:vertAlign w:val="baseline"/>
                      <w:lang w:val="en-US" w:eastAsia="zh-CN"/>
                    </w:rPr>
                    <w:t>。</w:t>
                  </w:r>
                </w:p>
                <w:p w14:paraId="203D07CD">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2</w:t>
                  </w: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现有院区已规范建设医疗废物暂存间，设置标识标牌，本扩建项目可依托使用。医疗废物暂存时间不超过48h，日常进行消毒、清洁工作。</w:t>
                  </w:r>
                </w:p>
                <w:p w14:paraId="55B2886E">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3</w:t>
                  </w: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项目使用防渗漏、防遗撒的专用运送工具运送医疗废物至专门的医疗废物暂存间贮存。运送工具使用后及时消毒和清洁。</w:t>
                  </w:r>
                </w:p>
                <w:p w14:paraId="080BCC01">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4</w:t>
                  </w: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建设单位</w:t>
                  </w:r>
                  <w:r>
                    <w:rPr>
                      <w:rFonts w:hint="default"/>
                      <w:b w:val="0"/>
                      <w:bCs w:val="0"/>
                      <w:color w:val="auto"/>
                      <w:sz w:val="21"/>
                      <w:szCs w:val="21"/>
                      <w:highlight w:val="none"/>
                      <w:vertAlign w:val="baseline"/>
                      <w:lang w:val="en-US" w:eastAsia="zh-CN"/>
                    </w:rPr>
                    <w:t>已与持有危险废物经营许可证的</w:t>
                  </w:r>
                  <w:r>
                    <w:rPr>
                      <w:rFonts w:hint="eastAsia" w:cs="Times New Roman"/>
                      <w:color w:val="auto"/>
                      <w:sz w:val="21"/>
                      <w:szCs w:val="21"/>
                      <w:highlight w:val="none"/>
                      <w:lang w:val="en-US" w:eastAsia="zh-CN"/>
                    </w:rPr>
                    <w:t>西畴铂鑫医疗废物处理有限公司</w:t>
                  </w:r>
                  <w:r>
                    <w:rPr>
                      <w:rFonts w:hint="default"/>
                      <w:b w:val="0"/>
                      <w:bCs w:val="0"/>
                      <w:color w:val="auto"/>
                      <w:sz w:val="21"/>
                      <w:szCs w:val="21"/>
                      <w:vertAlign w:val="baseline"/>
                      <w:lang w:val="en-US" w:eastAsia="zh-CN"/>
                    </w:rPr>
                    <w:t>签订医疗废物处置协议，委托该公司清运处置项目产生的医疗废物，规范处置医疗废物。</w:t>
                  </w:r>
                </w:p>
                <w:p w14:paraId="5B06E46D">
                  <w:pPr>
                    <w:keepNext w:val="0"/>
                    <w:keepLines w:val="0"/>
                    <w:widowControl/>
                    <w:suppressLineNumbers w:val="0"/>
                    <w:jc w:val="left"/>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5</w:t>
                  </w: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项目不设置传染科，生活废水、医疗废水经污水处理站处理、消毒后</w:t>
                  </w:r>
                  <w:r>
                    <w:rPr>
                      <w:rFonts w:hint="default" w:ascii="Times New Roman" w:hAnsi="Times New Roman" w:cs="Times New Roman"/>
                      <w:color w:val="auto"/>
                      <w:sz w:val="21"/>
                      <w:szCs w:val="21"/>
                      <w:highlight w:val="none"/>
                      <w:lang w:val="en-US" w:eastAsia="zh-CN"/>
                    </w:rPr>
                    <w:t>，排入市政污水管网，最终排入倘甸镇污水处理厂。</w:t>
                  </w:r>
                </w:p>
              </w:tc>
              <w:tc>
                <w:tcPr>
                  <w:tcW w:w="714" w:type="dxa"/>
                  <w:vAlign w:val="center"/>
                </w:tcPr>
                <w:p w14:paraId="785D1A1A">
                  <w:pPr>
                    <w:keepNext w:val="0"/>
                    <w:keepLines w:val="0"/>
                    <w:widowControl/>
                    <w:suppressLineNumbers w:val="0"/>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bl>
          <w:p w14:paraId="0A3DAB18">
            <w:pPr>
              <w:pStyle w:val="12"/>
              <w:bidi w:val="0"/>
              <w:rPr>
                <w:rFonts w:hint="default"/>
                <w:color w:val="auto"/>
                <w:lang w:val="en-US" w:eastAsia="zh-CN"/>
              </w:rPr>
            </w:pPr>
            <w:r>
              <w:rPr>
                <w:rFonts w:hint="default"/>
                <w:color w:val="auto"/>
                <w:lang w:val="en-US" w:eastAsia="zh-CN"/>
              </w:rPr>
              <w:t>根据以上分析，项目符合《医疗废物管理条例》(2011修订)中的相关要求。</w:t>
            </w:r>
          </w:p>
          <w:p w14:paraId="1DF2E5D8">
            <w:pPr>
              <w:keepNext w:val="0"/>
              <w:keepLines w:val="0"/>
              <w:widowControl/>
              <w:suppressLineNumbers w:val="0"/>
              <w:spacing w:line="360" w:lineRule="auto"/>
              <w:ind w:firstLine="482" w:firstLineChars="200"/>
              <w:jc w:val="left"/>
              <w:rPr>
                <w:rFonts w:hint="default"/>
                <w:b/>
                <w:bCs/>
                <w:color w:val="auto"/>
                <w:sz w:val="24"/>
                <w:szCs w:val="24"/>
                <w:lang w:val="en-US" w:eastAsia="zh-CN"/>
              </w:rPr>
            </w:pPr>
            <w:r>
              <w:rPr>
                <w:rFonts w:hint="eastAsia"/>
                <w:b/>
                <w:bCs/>
                <w:color w:val="auto"/>
                <w:sz w:val="24"/>
                <w:szCs w:val="24"/>
                <w:lang w:val="en-US" w:eastAsia="zh-CN"/>
              </w:rPr>
              <w:t>7、</w:t>
            </w:r>
            <w:r>
              <w:rPr>
                <w:rFonts w:hint="eastAsia" w:ascii="宋体" w:hAnsi="宋体" w:eastAsia="宋体" w:cs="宋体"/>
                <w:b/>
                <w:bCs/>
                <w:color w:val="auto"/>
                <w:kern w:val="0"/>
                <w:sz w:val="24"/>
                <w:szCs w:val="24"/>
                <w:lang w:val="en-US" w:eastAsia="zh-CN" w:bidi="ar"/>
              </w:rPr>
              <w:t>项目与《医疗卫生机构废物管理办法》的符合性分析</w:t>
            </w:r>
          </w:p>
          <w:p w14:paraId="020FE52B">
            <w:pPr>
              <w:keepNext w:val="0"/>
              <w:keepLines w:val="0"/>
              <w:widowControl/>
              <w:suppressLineNumbers w:val="0"/>
              <w:ind w:left="0" w:leftChars="0" w:right="0" w:rightChars="0" w:firstLine="0" w:firstLineChars="0"/>
              <w:jc w:val="center"/>
              <w:rPr>
                <w:color w:val="auto"/>
                <w:sz w:val="21"/>
                <w:szCs w:val="21"/>
              </w:rPr>
            </w:pPr>
            <w:r>
              <w:rPr>
                <w:rFonts w:hint="eastAsia"/>
                <w:b/>
                <w:bCs/>
                <w:color w:val="auto"/>
                <w:sz w:val="21"/>
                <w:szCs w:val="21"/>
                <w:lang w:val="en-US" w:eastAsia="zh-CN"/>
              </w:rPr>
              <w:t xml:space="preserve">表1-7  </w:t>
            </w:r>
            <w:r>
              <w:rPr>
                <w:rFonts w:hint="eastAsia" w:ascii="宋体" w:hAnsi="宋体" w:eastAsia="宋体" w:cs="宋体"/>
                <w:b/>
                <w:bCs/>
                <w:color w:val="auto"/>
                <w:kern w:val="0"/>
                <w:sz w:val="21"/>
                <w:szCs w:val="21"/>
                <w:lang w:val="en-US" w:eastAsia="zh-CN" w:bidi="ar"/>
              </w:rPr>
              <w:t>项目与《医疗卫生机构废物管理办法》的符合性分析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4"/>
              <w:gridCol w:w="3540"/>
              <w:gridCol w:w="661"/>
            </w:tblGrid>
            <w:tr w14:paraId="47D2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9" w:type="dxa"/>
                </w:tcPr>
                <w:p w14:paraId="643B5D95">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eastAsia" w:ascii="宋体" w:hAnsi="宋体" w:eastAsia="宋体" w:cs="宋体"/>
                      <w:b/>
                      <w:bCs/>
                      <w:color w:val="auto"/>
                      <w:kern w:val="0"/>
                      <w:sz w:val="21"/>
                      <w:szCs w:val="21"/>
                      <w:lang w:val="en-US" w:eastAsia="zh-CN" w:bidi="ar"/>
                    </w:rPr>
                    <w:t>《医疗卫生机构废物管理办法》相关要求</w:t>
                  </w:r>
                </w:p>
              </w:tc>
              <w:tc>
                <w:tcPr>
                  <w:tcW w:w="3545" w:type="dxa"/>
                </w:tcPr>
                <w:p w14:paraId="00146D52">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项目情况</w:t>
                  </w:r>
                </w:p>
              </w:tc>
              <w:tc>
                <w:tcPr>
                  <w:tcW w:w="661" w:type="dxa"/>
                </w:tcPr>
                <w:p w14:paraId="6EE2898F">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hint="eastAsia"/>
                      <w:b/>
                      <w:bCs/>
                      <w:color w:val="auto"/>
                      <w:sz w:val="21"/>
                      <w:szCs w:val="21"/>
                      <w:vertAlign w:val="baseline"/>
                      <w:lang w:val="en-US" w:eastAsia="zh-CN"/>
                    </w:rPr>
                    <w:t>符合性</w:t>
                  </w:r>
                </w:p>
              </w:tc>
            </w:tr>
            <w:tr w14:paraId="6553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9" w:type="dxa"/>
                  <w:vAlign w:val="center"/>
                </w:tcPr>
                <w:p w14:paraId="5D759E78">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医疗卫生机构应当根据医疗废物分类收集、运送、暂时贮存及机构内处置过程中所需要的专业技术、职业卫生安全防护和紧急处理知识等，制定相关工作人员的培训计划并组织实施。</w:t>
                  </w:r>
                </w:p>
              </w:tc>
              <w:tc>
                <w:tcPr>
                  <w:tcW w:w="3545" w:type="dxa"/>
                  <w:vAlign w:val="center"/>
                </w:tcPr>
                <w:p w14:paraId="681C499B">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定期组织医疗废物管理人员进行环保、卫生、安全以及紧急处理等专业知识、技术培训。</w:t>
                  </w:r>
                </w:p>
              </w:tc>
              <w:tc>
                <w:tcPr>
                  <w:tcW w:w="661" w:type="dxa"/>
                  <w:vAlign w:val="center"/>
                </w:tcPr>
                <w:p w14:paraId="6169B2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02AB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9" w:type="dxa"/>
                  <w:vAlign w:val="center"/>
                </w:tcPr>
                <w:p w14:paraId="61C12C03">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医疗卫生机构应当根据《医疗废物分类目录》，对医疗废物实施分类管理。</w:t>
                  </w:r>
                </w:p>
              </w:tc>
              <w:tc>
                <w:tcPr>
                  <w:tcW w:w="3545" w:type="dxa"/>
                  <w:vAlign w:val="center"/>
                </w:tcPr>
                <w:p w14:paraId="6A8BAA9C">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已建有医疗废物暂存间，医疗废物暂存间已按不同类别医疗废物进行分区暂存、分类管理。</w:t>
                  </w:r>
                </w:p>
              </w:tc>
              <w:tc>
                <w:tcPr>
                  <w:tcW w:w="661" w:type="dxa"/>
                  <w:vAlign w:val="center"/>
                </w:tcPr>
                <w:p w14:paraId="6D5999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1F5E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9" w:type="dxa"/>
                  <w:vAlign w:val="center"/>
                </w:tcPr>
                <w:p w14:paraId="7A570307">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医疗卫生机构内医疗废物产生地点应当有医疗废物分类收集方法的示意图或者文字说明。</w:t>
                  </w:r>
                </w:p>
              </w:tc>
              <w:tc>
                <w:tcPr>
                  <w:tcW w:w="3545" w:type="dxa"/>
                  <w:vAlign w:val="center"/>
                </w:tcPr>
                <w:p w14:paraId="563F3F49">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本</w:t>
                  </w:r>
                  <w:r>
                    <w:rPr>
                      <w:rFonts w:hint="eastAsia"/>
                      <w:b w:val="0"/>
                      <w:bCs w:val="0"/>
                      <w:color w:val="auto"/>
                      <w:sz w:val="21"/>
                      <w:szCs w:val="21"/>
                      <w:vertAlign w:val="baseline"/>
                      <w:lang w:val="en-US" w:eastAsia="zh-CN"/>
                    </w:rPr>
                    <w:t>精神病</w:t>
                  </w:r>
                  <w:r>
                    <w:rPr>
                      <w:rFonts w:hint="default"/>
                      <w:b w:val="0"/>
                      <w:bCs w:val="0"/>
                      <w:color w:val="auto"/>
                      <w:sz w:val="21"/>
                      <w:szCs w:val="21"/>
                      <w:vertAlign w:val="baseline"/>
                      <w:lang w:val="en-US" w:eastAsia="zh-CN"/>
                    </w:rPr>
                    <w:t>院针对医疗废物产生地点</w:t>
                  </w:r>
                  <w:r>
                    <w:rPr>
                      <w:rFonts w:hint="eastAsia"/>
                      <w:b w:val="0"/>
                      <w:bCs w:val="0"/>
                      <w:color w:val="auto"/>
                      <w:sz w:val="21"/>
                      <w:szCs w:val="21"/>
                      <w:vertAlign w:val="baseline"/>
                      <w:lang w:val="en-US" w:eastAsia="zh-CN"/>
                    </w:rPr>
                    <w:t>拟</w:t>
                  </w:r>
                  <w:r>
                    <w:rPr>
                      <w:rFonts w:hint="default"/>
                      <w:b w:val="0"/>
                      <w:bCs w:val="0"/>
                      <w:color w:val="auto"/>
                      <w:sz w:val="21"/>
                      <w:szCs w:val="21"/>
                      <w:vertAlign w:val="baseline"/>
                      <w:lang w:val="en-US" w:eastAsia="zh-CN"/>
                    </w:rPr>
                    <w:t>设置有医疗废物分类收集方法的示意图及文字说明。</w:t>
                  </w:r>
                </w:p>
              </w:tc>
              <w:tc>
                <w:tcPr>
                  <w:tcW w:w="661" w:type="dxa"/>
                  <w:vAlign w:val="center"/>
                </w:tcPr>
                <w:p w14:paraId="72F341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5A04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9" w:type="dxa"/>
                  <w:vAlign w:val="center"/>
                </w:tcPr>
                <w:p w14:paraId="503DA28F">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盛装医疗废物的每个包装物、容器外表面应当有警示标识，在每个包装物、容器上应当系中文标签，中文标签的内容应当包括:医疗废物产生单位、产生日期、类别及需要的特别</w:t>
                  </w:r>
                  <w:r>
                    <w:rPr>
                      <w:rFonts w:hint="eastAsia"/>
                      <w:b w:val="0"/>
                      <w:bCs w:val="0"/>
                      <w:color w:val="auto"/>
                      <w:sz w:val="21"/>
                      <w:szCs w:val="21"/>
                      <w:vertAlign w:val="baseline"/>
                      <w:lang w:val="en-US" w:eastAsia="zh-CN"/>
                    </w:rPr>
                    <w:t>说明等。</w:t>
                  </w:r>
                </w:p>
              </w:tc>
              <w:tc>
                <w:tcPr>
                  <w:tcW w:w="3545" w:type="dxa"/>
                  <w:vAlign w:val="center"/>
                </w:tcPr>
                <w:p w14:paraId="16437C4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本</w:t>
                  </w:r>
                  <w:r>
                    <w:rPr>
                      <w:rFonts w:hint="eastAsia"/>
                      <w:b w:val="0"/>
                      <w:bCs w:val="0"/>
                      <w:color w:val="auto"/>
                      <w:sz w:val="21"/>
                      <w:szCs w:val="21"/>
                      <w:vertAlign w:val="baseline"/>
                      <w:lang w:val="en-US" w:eastAsia="zh-CN"/>
                    </w:rPr>
                    <w:t>精神病</w:t>
                  </w:r>
                  <w:r>
                    <w:rPr>
                      <w:rFonts w:hint="default"/>
                      <w:b w:val="0"/>
                      <w:bCs w:val="0"/>
                      <w:color w:val="auto"/>
                      <w:sz w:val="21"/>
                      <w:szCs w:val="21"/>
                      <w:vertAlign w:val="baseline"/>
                      <w:lang w:val="en-US" w:eastAsia="zh-CN"/>
                    </w:rPr>
                    <w:t>院</w:t>
                  </w:r>
                  <w:r>
                    <w:rPr>
                      <w:rFonts w:hint="eastAsia"/>
                      <w:b w:val="0"/>
                      <w:bCs w:val="0"/>
                      <w:color w:val="auto"/>
                      <w:sz w:val="21"/>
                      <w:szCs w:val="21"/>
                      <w:vertAlign w:val="baseline"/>
                      <w:lang w:val="en-US" w:eastAsia="zh-CN"/>
                    </w:rPr>
                    <w:t>拟设置</w:t>
                  </w:r>
                  <w:r>
                    <w:rPr>
                      <w:rFonts w:hint="default"/>
                      <w:b w:val="0"/>
                      <w:bCs w:val="0"/>
                      <w:color w:val="auto"/>
                      <w:sz w:val="21"/>
                      <w:szCs w:val="21"/>
                      <w:vertAlign w:val="baseline"/>
                      <w:lang w:val="en-US" w:eastAsia="zh-CN"/>
                    </w:rPr>
                    <w:t>专门暂存医疗废物的暂存间，暂存间内盛装医疗废物的每个包装物、容器外表面有警示标识，在每个包装物、容器上系有中文标签，中文标签的内容包括</w:t>
                  </w: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医疗废</w:t>
                  </w:r>
                  <w:r>
                    <w:rPr>
                      <w:rFonts w:hint="eastAsia"/>
                      <w:b w:val="0"/>
                      <w:bCs w:val="0"/>
                      <w:color w:val="auto"/>
                      <w:sz w:val="21"/>
                      <w:szCs w:val="21"/>
                      <w:vertAlign w:val="baseline"/>
                      <w:lang w:val="en-US" w:eastAsia="zh-CN"/>
                    </w:rPr>
                    <w:t>物产生单位、产生日期、类别及</w:t>
                  </w:r>
                  <w:r>
                    <w:rPr>
                      <w:rFonts w:hint="default"/>
                      <w:b w:val="0"/>
                      <w:bCs w:val="0"/>
                      <w:color w:val="auto"/>
                      <w:sz w:val="21"/>
                      <w:szCs w:val="21"/>
                      <w:vertAlign w:val="baseline"/>
                      <w:lang w:val="en-US" w:eastAsia="zh-CN"/>
                    </w:rPr>
                    <w:t>需要的特别</w:t>
                  </w:r>
                  <w:r>
                    <w:rPr>
                      <w:rFonts w:hint="eastAsia"/>
                      <w:b w:val="0"/>
                      <w:bCs w:val="0"/>
                      <w:color w:val="auto"/>
                      <w:sz w:val="21"/>
                      <w:szCs w:val="21"/>
                      <w:vertAlign w:val="baseline"/>
                      <w:lang w:val="en-US" w:eastAsia="zh-CN"/>
                    </w:rPr>
                    <w:t>说明等。</w:t>
                  </w:r>
                </w:p>
              </w:tc>
              <w:tc>
                <w:tcPr>
                  <w:tcW w:w="661" w:type="dxa"/>
                  <w:vAlign w:val="center"/>
                </w:tcPr>
                <w:p w14:paraId="61842D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bl>
          <w:p w14:paraId="417E014E">
            <w:pPr>
              <w:keepNext w:val="0"/>
              <w:keepLines w:val="0"/>
              <w:widowControl/>
              <w:suppressLineNumbers w:val="0"/>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根据以上分析，项目符合《医疗卫生机构废物管理办法》中的相关要求。</w:t>
            </w:r>
          </w:p>
          <w:p w14:paraId="6AA63F0B">
            <w:pPr>
              <w:keepNext w:val="0"/>
              <w:keepLines w:val="0"/>
              <w:widowControl/>
              <w:suppressLineNumbers w:val="0"/>
              <w:spacing w:line="360" w:lineRule="auto"/>
              <w:ind w:firstLine="482" w:firstLineChars="200"/>
              <w:jc w:val="left"/>
              <w:rPr>
                <w:color w:val="auto"/>
                <w:sz w:val="24"/>
                <w:szCs w:val="24"/>
              </w:rPr>
            </w:pPr>
            <w:r>
              <w:rPr>
                <w:rFonts w:hint="eastAsia" w:ascii="Times New Roman" w:hAnsi="Times New Roman" w:eastAsia="宋体" w:cs="Times New Roman"/>
                <w:b/>
                <w:bCs/>
                <w:color w:val="auto"/>
                <w:kern w:val="0"/>
                <w:sz w:val="24"/>
                <w:szCs w:val="24"/>
                <w:lang w:val="en-US" w:eastAsia="zh-CN" w:bidi="ar"/>
              </w:rPr>
              <w:t>8</w:t>
            </w:r>
            <w:r>
              <w:rPr>
                <w:rFonts w:hint="eastAsia" w:ascii="宋体" w:hAnsi="宋体" w:eastAsia="宋体" w:cs="宋体"/>
                <w:b/>
                <w:bCs/>
                <w:color w:val="auto"/>
                <w:kern w:val="0"/>
                <w:sz w:val="24"/>
                <w:szCs w:val="24"/>
                <w:lang w:val="en-US" w:eastAsia="zh-CN" w:bidi="ar"/>
              </w:rPr>
              <w:t>、项目与《医疗废物处理处置污染控制标准》（</w:t>
            </w:r>
            <w:r>
              <w:rPr>
                <w:rFonts w:hint="default" w:ascii="Times New Roman" w:hAnsi="Times New Roman" w:eastAsia="宋体" w:cs="Times New Roman"/>
                <w:b/>
                <w:bCs/>
                <w:color w:val="auto"/>
                <w:kern w:val="0"/>
                <w:sz w:val="24"/>
                <w:szCs w:val="24"/>
                <w:lang w:val="en-US" w:eastAsia="zh-CN" w:bidi="ar"/>
              </w:rPr>
              <w:t>GB39707-2020</w:t>
            </w:r>
            <w:r>
              <w:rPr>
                <w:rFonts w:hint="eastAsia" w:ascii="宋体" w:hAnsi="宋体" w:eastAsia="宋体" w:cs="宋体"/>
                <w:b/>
                <w:bCs/>
                <w:color w:val="auto"/>
                <w:kern w:val="0"/>
                <w:sz w:val="24"/>
                <w:szCs w:val="24"/>
                <w:lang w:val="en-US" w:eastAsia="zh-CN" w:bidi="ar"/>
              </w:rPr>
              <w:t>）相符性分析</w:t>
            </w:r>
          </w:p>
          <w:p w14:paraId="06BC37AC">
            <w:pPr>
              <w:pStyle w:val="12"/>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jc w:val="center"/>
              <w:textAlignment w:val="auto"/>
              <w:rPr>
                <w:rFonts w:hint="default"/>
                <w:b/>
                <w:bCs/>
                <w:color w:val="auto"/>
                <w:sz w:val="21"/>
                <w:szCs w:val="21"/>
                <w:lang w:val="en-US" w:eastAsia="zh-CN"/>
              </w:rPr>
            </w:pPr>
            <w:r>
              <w:rPr>
                <w:rFonts w:hint="eastAsia" w:ascii="宋体" w:hAnsi="宋体" w:eastAsia="宋体" w:cs="宋体"/>
                <w:b/>
                <w:bCs/>
                <w:color w:val="auto"/>
                <w:kern w:val="0"/>
                <w:sz w:val="21"/>
                <w:szCs w:val="21"/>
                <w:lang w:val="en-US" w:eastAsia="zh-CN" w:bidi="ar"/>
              </w:rPr>
              <w:t>表1-8  项目与《医疗废物处理处置污染控制标准》相符性分析一览表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2"/>
              <w:gridCol w:w="2966"/>
              <w:gridCol w:w="847"/>
            </w:tblGrid>
            <w:tr w14:paraId="089B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2686DC03">
                  <w:pPr>
                    <w:bidi w:val="0"/>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医疗废物处理处置污染控制标准相关要求</w:t>
                  </w:r>
                </w:p>
              </w:tc>
              <w:tc>
                <w:tcPr>
                  <w:tcW w:w="2970" w:type="dxa"/>
                  <w:vAlign w:val="center"/>
                </w:tcPr>
                <w:p w14:paraId="68C5AD9E">
                  <w:pPr>
                    <w:bidi w:val="0"/>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本项目情况</w:t>
                  </w:r>
                </w:p>
              </w:tc>
              <w:tc>
                <w:tcPr>
                  <w:tcW w:w="848" w:type="dxa"/>
                  <w:vAlign w:val="center"/>
                </w:tcPr>
                <w:p w14:paraId="3116909F">
                  <w:pPr>
                    <w:bidi w:val="0"/>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符合性</w:t>
                  </w:r>
                </w:p>
              </w:tc>
            </w:tr>
            <w:tr w14:paraId="7485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440211EC">
                  <w:pPr>
                    <w:bidi w:val="0"/>
                    <w:jc w:val="both"/>
                    <w:rPr>
                      <w:rFonts w:hint="eastAsia"/>
                      <w:color w:val="auto"/>
                      <w:lang w:val="en-US" w:eastAsia="zh-CN"/>
                    </w:rPr>
                  </w:pPr>
                  <w:r>
                    <w:rPr>
                      <w:rFonts w:hint="eastAsia"/>
                      <w:color w:val="auto"/>
                      <w:lang w:val="en-US" w:eastAsia="zh-CN"/>
                    </w:rPr>
                    <w:t>医疗废物处置污染控制标准医疗废物处理处置单位收集的医疗废物包装应符合HJ421的要求。</w:t>
                  </w:r>
                </w:p>
              </w:tc>
              <w:tc>
                <w:tcPr>
                  <w:tcW w:w="2970" w:type="dxa"/>
                  <w:vAlign w:val="center"/>
                </w:tcPr>
                <w:p w14:paraId="7B66B6F2">
                  <w:pPr>
                    <w:bidi w:val="0"/>
                    <w:jc w:val="both"/>
                    <w:rPr>
                      <w:rFonts w:hint="eastAsia"/>
                      <w:color w:val="auto"/>
                      <w:lang w:val="en-US" w:eastAsia="zh-CN"/>
                    </w:rPr>
                  </w:pPr>
                  <w:r>
                    <w:rPr>
                      <w:rFonts w:hint="eastAsia"/>
                      <w:color w:val="auto"/>
                      <w:lang w:val="en-US" w:eastAsia="zh-CN"/>
                    </w:rPr>
                    <w:t>本医院医疗废物的包装容器符合《医疗废物专用包装袋、容器和警示标志标准》中的相关技术要求(淡黄色、大小适中、一定数量等)。</w:t>
                  </w:r>
                </w:p>
              </w:tc>
              <w:tc>
                <w:tcPr>
                  <w:tcW w:w="848" w:type="dxa"/>
                  <w:vAlign w:val="center"/>
                </w:tcPr>
                <w:p w14:paraId="075A03FE">
                  <w:pPr>
                    <w:bidi w:val="0"/>
                    <w:ind w:left="0" w:leftChars="0" w:right="0" w:rightChars="0" w:firstLine="0" w:firstLineChars="0"/>
                    <w:jc w:val="center"/>
                    <w:rPr>
                      <w:rFonts w:hint="eastAsia"/>
                      <w:color w:val="auto"/>
                      <w:lang w:val="en-US" w:eastAsia="zh-CN"/>
                    </w:rPr>
                  </w:pPr>
                  <w:r>
                    <w:rPr>
                      <w:rFonts w:hint="eastAsia"/>
                      <w:b w:val="0"/>
                      <w:bCs w:val="0"/>
                      <w:color w:val="auto"/>
                      <w:sz w:val="21"/>
                      <w:szCs w:val="21"/>
                      <w:vertAlign w:val="baseline"/>
                      <w:lang w:val="en-US" w:eastAsia="zh-CN"/>
                    </w:rPr>
                    <w:t>符合</w:t>
                  </w:r>
                </w:p>
              </w:tc>
            </w:tr>
            <w:tr w14:paraId="6737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6336A6C7">
                  <w:pPr>
                    <w:bidi w:val="0"/>
                    <w:jc w:val="both"/>
                    <w:rPr>
                      <w:rFonts w:hint="eastAsia"/>
                      <w:color w:val="auto"/>
                      <w:lang w:val="en-US" w:eastAsia="zh-CN"/>
                    </w:rPr>
                  </w:pPr>
                  <w:r>
                    <w:rPr>
                      <w:rFonts w:hint="eastAsia"/>
                      <w:color w:val="auto"/>
                      <w:lang w:val="en-US" w:eastAsia="zh-CN"/>
                    </w:rPr>
                    <w:t>医疗废物处理处置单位应设置感染性、损伤性等废物的贮存设施，贮存设施内应设置不同类别的医疗废物的贮存区。</w:t>
                  </w:r>
                </w:p>
              </w:tc>
              <w:tc>
                <w:tcPr>
                  <w:tcW w:w="2970" w:type="dxa"/>
                  <w:vAlign w:val="center"/>
                </w:tcPr>
                <w:p w14:paraId="071C91DD">
                  <w:pPr>
                    <w:bidi w:val="0"/>
                    <w:jc w:val="both"/>
                    <w:rPr>
                      <w:rFonts w:hint="eastAsia"/>
                      <w:color w:val="auto"/>
                      <w:lang w:val="en-US" w:eastAsia="zh-CN"/>
                    </w:rPr>
                  </w:pPr>
                  <w:r>
                    <w:rPr>
                      <w:rFonts w:hint="eastAsia"/>
                      <w:color w:val="auto"/>
                      <w:lang w:val="en-US" w:eastAsia="zh-CN"/>
                    </w:rPr>
                    <w:t>拟建的医疗废物暂存间，应按不同类别医疗废物进行分区暂存。</w:t>
                  </w:r>
                </w:p>
              </w:tc>
              <w:tc>
                <w:tcPr>
                  <w:tcW w:w="848" w:type="dxa"/>
                  <w:vAlign w:val="center"/>
                </w:tcPr>
                <w:p w14:paraId="7F8F7FF5">
                  <w:pPr>
                    <w:bidi w:val="0"/>
                    <w:ind w:left="0" w:leftChars="0" w:right="0" w:rightChars="0" w:firstLine="0" w:firstLineChars="0"/>
                    <w:jc w:val="center"/>
                    <w:rPr>
                      <w:rFonts w:hint="eastAsia"/>
                      <w:color w:val="auto"/>
                      <w:lang w:val="en-US" w:eastAsia="zh-CN"/>
                    </w:rPr>
                  </w:pPr>
                  <w:r>
                    <w:rPr>
                      <w:rFonts w:hint="eastAsia"/>
                      <w:b w:val="0"/>
                      <w:bCs w:val="0"/>
                      <w:color w:val="auto"/>
                      <w:sz w:val="21"/>
                      <w:szCs w:val="21"/>
                      <w:vertAlign w:val="baseline"/>
                      <w:lang w:val="en-US" w:eastAsia="zh-CN"/>
                    </w:rPr>
                    <w:t>符合</w:t>
                  </w:r>
                </w:p>
              </w:tc>
            </w:tr>
            <w:tr w14:paraId="1017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4789FBDD">
                  <w:pPr>
                    <w:bidi w:val="0"/>
                    <w:jc w:val="both"/>
                    <w:rPr>
                      <w:rFonts w:hint="eastAsia"/>
                      <w:color w:val="auto"/>
                      <w:lang w:val="en-US" w:eastAsia="zh-CN"/>
                    </w:rPr>
                  </w:pPr>
                  <w:r>
                    <w:rPr>
                      <w:rFonts w:hint="eastAsia"/>
                      <w:color w:val="auto"/>
                      <w:lang w:val="en-US" w:eastAsia="zh-CN"/>
                    </w:rPr>
                    <w:t>贮存设施应设置废水收集设施，收集的废水应导入废水处理设施。</w:t>
                  </w:r>
                </w:p>
              </w:tc>
              <w:tc>
                <w:tcPr>
                  <w:tcW w:w="2970" w:type="dxa"/>
                  <w:vAlign w:val="center"/>
                </w:tcPr>
                <w:p w14:paraId="3AA06DBC">
                  <w:pPr>
                    <w:bidi w:val="0"/>
                    <w:jc w:val="both"/>
                    <w:rPr>
                      <w:rFonts w:hint="eastAsia"/>
                      <w:color w:val="auto"/>
                      <w:lang w:val="en-US" w:eastAsia="zh-CN"/>
                    </w:rPr>
                  </w:pPr>
                  <w:r>
                    <w:rPr>
                      <w:rFonts w:hint="eastAsia"/>
                      <w:color w:val="auto"/>
                      <w:lang w:val="en-US" w:eastAsia="zh-CN"/>
                    </w:rPr>
                    <w:t>医疗废物暂存间已设置收集管，引入建的污水处理设施处理。已建成的医疗废物暂存间地面已按要求做了防渗措施。</w:t>
                  </w:r>
                </w:p>
              </w:tc>
              <w:tc>
                <w:tcPr>
                  <w:tcW w:w="848" w:type="dxa"/>
                  <w:vAlign w:val="center"/>
                </w:tcPr>
                <w:p w14:paraId="3305F105">
                  <w:pPr>
                    <w:bidi w:val="0"/>
                    <w:ind w:left="0" w:leftChars="0" w:right="0" w:rightChars="0" w:firstLine="0" w:firstLineChars="0"/>
                    <w:jc w:val="center"/>
                    <w:rPr>
                      <w:rFonts w:hint="eastAsia"/>
                      <w:color w:val="auto"/>
                      <w:lang w:val="en-US" w:eastAsia="zh-CN"/>
                    </w:rPr>
                  </w:pPr>
                  <w:r>
                    <w:rPr>
                      <w:rFonts w:hint="eastAsia"/>
                      <w:b w:val="0"/>
                      <w:bCs w:val="0"/>
                      <w:color w:val="auto"/>
                      <w:sz w:val="21"/>
                      <w:szCs w:val="21"/>
                      <w:vertAlign w:val="baseline"/>
                      <w:lang w:val="en-US" w:eastAsia="zh-CN"/>
                    </w:rPr>
                    <w:t>符合</w:t>
                  </w:r>
                </w:p>
              </w:tc>
            </w:tr>
            <w:tr w14:paraId="10C9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08688557">
                  <w:pPr>
                    <w:bidi w:val="0"/>
                    <w:jc w:val="both"/>
                    <w:rPr>
                      <w:rFonts w:hint="eastAsia"/>
                      <w:color w:val="auto"/>
                      <w:lang w:val="en-US" w:eastAsia="zh-CN"/>
                    </w:rPr>
                  </w:pPr>
                  <w:r>
                    <w:rPr>
                      <w:rFonts w:hint="eastAsia"/>
                      <w:color w:val="auto"/>
                      <w:lang w:val="en-US" w:eastAsia="zh-CN"/>
                    </w:rPr>
                    <w:t>贮存设施地面防渗应满足国家和地方有关重点污染源防渗要求。</w:t>
                  </w:r>
                </w:p>
              </w:tc>
              <w:tc>
                <w:tcPr>
                  <w:tcW w:w="2970" w:type="dxa"/>
                  <w:vAlign w:val="center"/>
                </w:tcPr>
                <w:p w14:paraId="7EA5B390">
                  <w:pPr>
                    <w:bidi w:val="0"/>
                    <w:jc w:val="both"/>
                    <w:rPr>
                      <w:rFonts w:hint="eastAsia"/>
                      <w:color w:val="auto"/>
                      <w:lang w:val="en-US" w:eastAsia="zh-CN"/>
                    </w:rPr>
                  </w:pPr>
                  <w:r>
                    <w:rPr>
                      <w:rFonts w:hint="eastAsia"/>
                      <w:color w:val="auto"/>
                      <w:lang w:val="en-US" w:eastAsia="zh-CN"/>
                    </w:rPr>
                    <w:t>建成的医疗废物暂存间地面已按要求做了防渗措施。</w:t>
                  </w:r>
                </w:p>
              </w:tc>
              <w:tc>
                <w:tcPr>
                  <w:tcW w:w="848" w:type="dxa"/>
                  <w:vAlign w:val="center"/>
                </w:tcPr>
                <w:p w14:paraId="08C777DD">
                  <w:pPr>
                    <w:bidi w:val="0"/>
                    <w:ind w:left="0" w:leftChars="0" w:right="0" w:rightChars="0" w:firstLine="0" w:firstLineChars="0"/>
                    <w:jc w:val="center"/>
                    <w:rPr>
                      <w:rFonts w:hint="eastAsia"/>
                      <w:color w:val="auto"/>
                      <w:lang w:val="en-US" w:eastAsia="zh-CN"/>
                    </w:rPr>
                  </w:pPr>
                  <w:r>
                    <w:rPr>
                      <w:rFonts w:hint="eastAsia"/>
                      <w:b w:val="0"/>
                      <w:bCs w:val="0"/>
                      <w:color w:val="auto"/>
                      <w:sz w:val="21"/>
                      <w:szCs w:val="21"/>
                      <w:vertAlign w:val="baseline"/>
                      <w:lang w:val="en-US" w:eastAsia="zh-CN"/>
                    </w:rPr>
                    <w:t>符合</w:t>
                  </w:r>
                </w:p>
              </w:tc>
            </w:tr>
          </w:tbl>
          <w:p w14:paraId="16A6724F">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根据以上分析，项目符合《医疗废物处理处置污染控制标准》中的相关要求。</w:t>
            </w:r>
          </w:p>
          <w:p w14:paraId="7EE1F329">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b/>
                <w:bCs/>
                <w:color w:val="auto"/>
                <w:lang w:val="en-US" w:eastAsia="zh-CN"/>
              </w:rPr>
            </w:pPr>
            <w:r>
              <w:rPr>
                <w:rFonts w:hint="eastAsia"/>
                <w:b/>
                <w:bCs/>
                <w:color w:val="auto"/>
                <w:lang w:val="en-US" w:eastAsia="zh-CN"/>
              </w:rPr>
              <w:t>9、项目与“关于加快补齐医疗机构污水处理设施短板 提高污染治理能力的通知”环办水体[2021]19号符合性分析</w:t>
            </w:r>
          </w:p>
          <w:p w14:paraId="7097A04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bCs/>
                <w:color w:val="auto"/>
                <w:sz w:val="21"/>
                <w:szCs w:val="21"/>
                <w:lang w:val="en-US" w:eastAsia="zh-CN"/>
              </w:rPr>
            </w:pPr>
            <w:r>
              <w:rPr>
                <w:rFonts w:hint="eastAsia" w:ascii="宋体" w:hAnsi="宋体" w:eastAsia="宋体" w:cs="宋体"/>
                <w:b/>
                <w:bCs/>
                <w:color w:val="auto"/>
                <w:kern w:val="0"/>
                <w:sz w:val="21"/>
                <w:szCs w:val="21"/>
                <w:lang w:val="en-US" w:eastAsia="zh-CN" w:bidi="ar"/>
              </w:rPr>
              <w:t>表1-9  项目与“</w:t>
            </w:r>
            <w:r>
              <w:rPr>
                <w:rFonts w:hint="eastAsia"/>
                <w:b/>
                <w:bCs/>
                <w:color w:val="auto"/>
                <w:sz w:val="21"/>
                <w:szCs w:val="21"/>
                <w:lang w:val="en-US" w:eastAsia="zh-CN"/>
              </w:rPr>
              <w:t>关于加快补齐医疗机构污水处理设施短板 提高污染治理能力的通知</w:t>
            </w:r>
            <w:r>
              <w:rPr>
                <w:rFonts w:hint="eastAsia" w:ascii="宋体" w:hAnsi="宋体" w:eastAsia="宋体" w:cs="宋体"/>
                <w:b/>
                <w:bCs/>
                <w:color w:val="auto"/>
                <w:kern w:val="0"/>
                <w:sz w:val="21"/>
                <w:szCs w:val="21"/>
                <w:lang w:val="en-US" w:eastAsia="zh-CN" w:bidi="ar"/>
              </w:rPr>
              <w:t>”相符性分析一览表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1"/>
              <w:gridCol w:w="2967"/>
              <w:gridCol w:w="847"/>
            </w:tblGrid>
            <w:tr w14:paraId="5CBD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tcPr>
                <w:p w14:paraId="36D26E39">
                  <w:pPr>
                    <w:bidi w:val="0"/>
                    <w:ind w:left="0" w:leftChars="0" w:right="0" w:rightChars="0" w:firstLine="0" w:firstLineChars="0"/>
                    <w:jc w:val="center"/>
                    <w:rPr>
                      <w:rFonts w:hint="default"/>
                      <w:b/>
                      <w:bCs/>
                      <w:color w:val="auto"/>
                      <w:sz w:val="21"/>
                      <w:szCs w:val="21"/>
                      <w:lang w:val="en-US" w:eastAsia="zh-CN"/>
                    </w:rPr>
                  </w:pPr>
                  <w:r>
                    <w:rPr>
                      <w:rFonts w:hint="eastAsia"/>
                      <w:b/>
                      <w:bCs/>
                      <w:color w:val="auto"/>
                      <w:lang w:val="en-US" w:eastAsia="zh-CN"/>
                    </w:rPr>
                    <w:t>关于加快补齐医疗机构污水处理设施短板 提高污染治理能力的通知</w:t>
                  </w:r>
                  <w:r>
                    <w:rPr>
                      <w:rFonts w:hint="eastAsia"/>
                      <w:b/>
                      <w:bCs/>
                      <w:color w:val="auto"/>
                      <w:sz w:val="21"/>
                      <w:szCs w:val="21"/>
                      <w:lang w:val="en-US" w:eastAsia="zh-CN"/>
                    </w:rPr>
                    <w:t>相关要求</w:t>
                  </w:r>
                </w:p>
              </w:tc>
              <w:tc>
                <w:tcPr>
                  <w:tcW w:w="2970" w:type="dxa"/>
                </w:tcPr>
                <w:p w14:paraId="74E671AA">
                  <w:pPr>
                    <w:bidi w:val="0"/>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本项目情况</w:t>
                  </w:r>
                </w:p>
              </w:tc>
              <w:tc>
                <w:tcPr>
                  <w:tcW w:w="848" w:type="dxa"/>
                </w:tcPr>
                <w:p w14:paraId="38C4E5B7">
                  <w:pPr>
                    <w:bidi w:val="0"/>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符合性</w:t>
                  </w:r>
                </w:p>
              </w:tc>
            </w:tr>
            <w:tr w14:paraId="7877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11240E17">
                  <w:pPr>
                    <w:bidi w:val="0"/>
                    <w:jc w:val="both"/>
                    <w:rPr>
                      <w:rFonts w:hint="eastAsia"/>
                      <w:color w:val="auto"/>
                      <w:lang w:val="en-US" w:eastAsia="zh-CN"/>
                    </w:rPr>
                  </w:pPr>
                  <w:r>
                    <w:rPr>
                      <w:rFonts w:hint="eastAsia"/>
                      <w:color w:val="auto"/>
                      <w:lang w:val="en-US" w:eastAsia="zh-CN"/>
                    </w:rPr>
                    <w:t>按照“谁污染，谁治理”的原则，传染病医疗机构、20张床位及以上的医疗机构，应按照《医疗机构水污染物排放标准》(GB18466)相关规定，并参照《医院污水处理工程技术规范》(HJ2029，以下简称《规范》)要求，科学确定污水处理设施的规模、工艺，确保出水达标排放。20张床位以下的医疗机构污水经消毒处理后方可排放。</w:t>
                  </w:r>
                </w:p>
              </w:tc>
              <w:tc>
                <w:tcPr>
                  <w:tcW w:w="2970" w:type="dxa"/>
                  <w:vAlign w:val="center"/>
                </w:tcPr>
                <w:p w14:paraId="1A2EA2A7">
                  <w:pPr>
                    <w:bidi w:val="0"/>
                    <w:jc w:val="both"/>
                    <w:rPr>
                      <w:rFonts w:hint="eastAsia"/>
                      <w:color w:val="auto"/>
                      <w:lang w:val="en-US" w:eastAsia="zh-CN"/>
                    </w:rPr>
                  </w:pPr>
                  <w:r>
                    <w:rPr>
                      <w:rFonts w:hint="eastAsia"/>
                      <w:color w:val="auto"/>
                      <w:sz w:val="21"/>
                      <w:szCs w:val="21"/>
                      <w:lang w:val="en-US" w:eastAsia="zh-CN"/>
                    </w:rPr>
                    <w:t>项目全院共有108张床位，</w:t>
                  </w:r>
                  <w:r>
                    <w:rPr>
                      <w:rFonts w:hint="eastAsia" w:cs="Times New Roman"/>
                      <w:color w:val="auto"/>
                      <w:sz w:val="21"/>
                      <w:szCs w:val="21"/>
                      <w:lang w:val="en-US" w:eastAsia="zh-CN"/>
                    </w:rPr>
                    <w:t>利用原项目污水处理设备，处理能力为15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val="en-US" w:eastAsia="zh-CN"/>
                    </w:rPr>
                    <w:t>d，在原设备基础上新增1套污水处理设备，</w:t>
                  </w:r>
                  <w:r>
                    <w:rPr>
                      <w:rFonts w:hint="eastAsia" w:cs="Times New Roman"/>
                      <w:color w:val="auto"/>
                      <w:sz w:val="21"/>
                      <w:szCs w:val="21"/>
                      <w:lang w:val="en-US" w:eastAsia="zh-CN"/>
                    </w:rPr>
                    <w:t>处理能力为35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val="en-US" w:eastAsia="zh-CN"/>
                    </w:rPr>
                    <w:t>d</w:t>
                  </w:r>
                  <w:r>
                    <w:rPr>
                      <w:rFonts w:hint="eastAsia" w:cs="Times New Roman"/>
                      <w:color w:val="auto"/>
                      <w:sz w:val="21"/>
                      <w:szCs w:val="21"/>
                      <w:lang w:val="en-US" w:eastAsia="zh-CN"/>
                    </w:rPr>
                    <w:t>，两套设备并列运行，总处理能力为50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val="en-US" w:eastAsia="zh-CN"/>
                    </w:rPr>
                    <w:t>d</w:t>
                  </w:r>
                  <w:r>
                    <w:rPr>
                      <w:rFonts w:hint="eastAsia" w:cs="Times New Roman"/>
                      <w:color w:val="auto"/>
                      <w:sz w:val="21"/>
                      <w:szCs w:val="21"/>
                      <w:lang w:val="en-US" w:eastAsia="zh-CN"/>
                    </w:rPr>
                    <w:t>。</w:t>
                  </w:r>
                  <w:r>
                    <w:rPr>
                      <w:rFonts w:hint="eastAsia"/>
                      <w:color w:val="auto"/>
                      <w:lang w:val="en-US" w:eastAsia="zh-CN"/>
                    </w:rPr>
                    <w:t>处理工艺采用二级生化处理+消毒工艺，出水水质满足《医疗机构水污染物排放标准》(GB18466-2005)表2预处理标准，</w:t>
                  </w:r>
                  <w:r>
                    <w:rPr>
                      <w:rFonts w:hint="default" w:ascii="Times New Roman" w:hAnsi="Times New Roman" w:cs="Times New Roman"/>
                      <w:color w:val="auto"/>
                      <w:sz w:val="21"/>
                      <w:szCs w:val="21"/>
                      <w:highlight w:val="none"/>
                      <w:lang w:val="en-US" w:eastAsia="zh-CN"/>
                    </w:rPr>
                    <w:t>处理达标后排入市政污水管网，最终排入倘甸镇污水处理厂。</w:t>
                  </w:r>
                </w:p>
              </w:tc>
              <w:tc>
                <w:tcPr>
                  <w:tcW w:w="848" w:type="dxa"/>
                  <w:vAlign w:val="center"/>
                </w:tcPr>
                <w:p w14:paraId="59727E79">
                  <w:pPr>
                    <w:bidi w:val="0"/>
                    <w:ind w:left="0" w:leftChars="0" w:right="0" w:rightChars="0" w:firstLine="0" w:firstLineChars="0"/>
                    <w:jc w:val="center"/>
                    <w:rPr>
                      <w:rFonts w:hint="default"/>
                      <w:color w:val="auto"/>
                      <w:lang w:val="en-US" w:eastAsia="zh-CN"/>
                    </w:rPr>
                  </w:pPr>
                  <w:r>
                    <w:rPr>
                      <w:rFonts w:hint="eastAsia"/>
                      <w:color w:val="auto"/>
                      <w:lang w:val="en-US" w:eastAsia="zh-CN"/>
                    </w:rPr>
                    <w:t>符合</w:t>
                  </w:r>
                </w:p>
              </w:tc>
            </w:tr>
            <w:tr w14:paraId="6D93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71B96CE0">
                  <w:pPr>
                    <w:bidi w:val="0"/>
                    <w:jc w:val="both"/>
                    <w:rPr>
                      <w:rFonts w:hint="eastAsia"/>
                      <w:color w:val="auto"/>
                      <w:lang w:val="en-US" w:eastAsia="zh-CN"/>
                    </w:rPr>
                  </w:pPr>
                  <w:r>
                    <w:rPr>
                      <w:rFonts w:hint="eastAsia"/>
                      <w:color w:val="auto"/>
                      <w:lang w:val="en-US" w:eastAsia="zh-CN"/>
                    </w:rPr>
                    <w:t>医疗机构要按照排污许可证规定和有关标准规范，依法开展自行监测。属于重点排污单位的，依法安装使用自动监测设备，并与当地生态环境部门联网；鼓励有条件的非重点排污单位安装使用自动监测设备，并与当地生态环境部门联网。医疗机构可以委托第三方开展设施运行维护和监测。</w:t>
                  </w:r>
                </w:p>
              </w:tc>
              <w:tc>
                <w:tcPr>
                  <w:tcW w:w="2970" w:type="dxa"/>
                  <w:vAlign w:val="center"/>
                </w:tcPr>
                <w:p w14:paraId="46274636">
                  <w:pPr>
                    <w:bidi w:val="0"/>
                    <w:jc w:val="both"/>
                    <w:rPr>
                      <w:rFonts w:hint="default"/>
                      <w:color w:val="auto"/>
                      <w:lang w:val="en-US" w:eastAsia="zh-CN"/>
                    </w:rPr>
                  </w:pPr>
                  <w:r>
                    <w:rPr>
                      <w:rFonts w:hint="eastAsia"/>
                      <w:color w:val="auto"/>
                      <w:lang w:val="en-US" w:eastAsia="zh-CN"/>
                    </w:rPr>
                    <w:t>根据《固定污染源排污许可分类管理名录》(2019年版)项目为简化管理。建设单位需按《排污许可证申请与核发技术规范 医疗机构》（HJ1105-2020）申请排污许可证，并按要求开展自行监测。</w:t>
                  </w:r>
                </w:p>
              </w:tc>
              <w:tc>
                <w:tcPr>
                  <w:tcW w:w="848" w:type="dxa"/>
                  <w:vAlign w:val="center"/>
                </w:tcPr>
                <w:p w14:paraId="4C995E34">
                  <w:pPr>
                    <w:bidi w:val="0"/>
                    <w:ind w:left="0" w:leftChars="0" w:right="0" w:rightChars="0" w:firstLine="0" w:firstLineChars="0"/>
                    <w:jc w:val="center"/>
                    <w:rPr>
                      <w:rFonts w:hint="eastAsia"/>
                      <w:color w:val="auto"/>
                      <w:lang w:val="en-US" w:eastAsia="zh-CN"/>
                    </w:rPr>
                  </w:pPr>
                  <w:r>
                    <w:rPr>
                      <w:rFonts w:hint="eastAsia"/>
                      <w:color w:val="auto"/>
                      <w:lang w:val="en-US" w:eastAsia="zh-CN"/>
                    </w:rPr>
                    <w:t>符合</w:t>
                  </w:r>
                </w:p>
              </w:tc>
            </w:tr>
            <w:tr w14:paraId="6E99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0CF20BB3">
                  <w:pPr>
                    <w:bidi w:val="0"/>
                    <w:jc w:val="both"/>
                    <w:rPr>
                      <w:rFonts w:hint="eastAsia"/>
                      <w:color w:val="auto"/>
                      <w:lang w:val="en-US" w:eastAsia="zh-CN"/>
                    </w:rPr>
                  </w:pPr>
                  <w:r>
                    <w:rPr>
                      <w:rFonts w:hint="eastAsia"/>
                      <w:color w:val="auto"/>
                      <w:lang w:val="en-US" w:eastAsia="zh-CN"/>
                    </w:rPr>
                    <w:t>位于室内的污水处理工程必须设有强制通风设备，并为工作人员配备工作服、手套、面罩、护目镜、防毒面具以及急救用品。鼓励有条件的医疗机构提高污水处理设施自动化运行水平，减少工作人员直接或间接接触污水的风险。</w:t>
                  </w:r>
                </w:p>
              </w:tc>
              <w:tc>
                <w:tcPr>
                  <w:tcW w:w="2970" w:type="dxa"/>
                  <w:vAlign w:val="center"/>
                </w:tcPr>
                <w:p w14:paraId="30BB6F52">
                  <w:pPr>
                    <w:bidi w:val="0"/>
                    <w:jc w:val="both"/>
                    <w:rPr>
                      <w:rFonts w:hint="eastAsia"/>
                      <w:color w:val="auto"/>
                      <w:lang w:val="en-US" w:eastAsia="zh-CN"/>
                    </w:rPr>
                  </w:pPr>
                  <w:r>
                    <w:rPr>
                      <w:rFonts w:hint="eastAsia"/>
                      <w:color w:val="auto"/>
                      <w:lang w:val="en-US" w:eastAsia="zh-CN"/>
                    </w:rPr>
                    <w:t>本项目污水处理站为地上式一体化设备，污水处理站区域环境通风性较好，同时选用成熟的污水处理工艺，对管理人员加强培训，配备防护用品，减少接触污水风险。</w:t>
                  </w:r>
                </w:p>
              </w:tc>
              <w:tc>
                <w:tcPr>
                  <w:tcW w:w="848" w:type="dxa"/>
                  <w:vAlign w:val="center"/>
                </w:tcPr>
                <w:p w14:paraId="11898096">
                  <w:pPr>
                    <w:bidi w:val="0"/>
                    <w:ind w:left="0" w:leftChars="0" w:right="0" w:rightChars="0" w:firstLine="0" w:firstLineChars="0"/>
                    <w:jc w:val="center"/>
                    <w:rPr>
                      <w:rFonts w:hint="eastAsia"/>
                      <w:color w:val="auto"/>
                      <w:lang w:val="en-US" w:eastAsia="zh-CN"/>
                    </w:rPr>
                  </w:pPr>
                  <w:r>
                    <w:rPr>
                      <w:rFonts w:hint="eastAsia"/>
                      <w:color w:val="auto"/>
                      <w:lang w:val="en-US" w:eastAsia="zh-CN"/>
                    </w:rPr>
                    <w:t>符合</w:t>
                  </w:r>
                </w:p>
              </w:tc>
            </w:tr>
            <w:tr w14:paraId="72E7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7" w:type="dxa"/>
                  <w:vAlign w:val="center"/>
                </w:tcPr>
                <w:p w14:paraId="243A2412">
                  <w:pPr>
                    <w:bidi w:val="0"/>
                    <w:jc w:val="both"/>
                    <w:rPr>
                      <w:rFonts w:hint="eastAsia"/>
                      <w:color w:val="auto"/>
                      <w:lang w:val="en-US" w:eastAsia="zh-CN"/>
                    </w:rPr>
                  </w:pPr>
                  <w:r>
                    <w:rPr>
                      <w:rFonts w:hint="eastAsia"/>
                      <w:color w:val="auto"/>
                    </w:rPr>
                    <w:t>落实载明的各项生态环境管理要求。要将污水处理设施运行维护纳入医疗机构日常管理工作，依法建立健全医疗机构污水处理设施运行台账制度，落实岗位职责，规范记录进出水水量、水质、消毒药剂类型和使用量等信息。</w:t>
                  </w:r>
                </w:p>
              </w:tc>
              <w:tc>
                <w:tcPr>
                  <w:tcW w:w="2970" w:type="dxa"/>
                  <w:vAlign w:val="center"/>
                </w:tcPr>
                <w:p w14:paraId="082C044B">
                  <w:pPr>
                    <w:bidi w:val="0"/>
                    <w:jc w:val="both"/>
                    <w:rPr>
                      <w:rFonts w:hint="eastAsia"/>
                      <w:color w:val="auto"/>
                      <w:lang w:val="en-US" w:eastAsia="zh-CN"/>
                    </w:rPr>
                  </w:pPr>
                  <w:r>
                    <w:rPr>
                      <w:rFonts w:hint="eastAsia"/>
                      <w:color w:val="auto"/>
                      <w:lang w:val="en-US" w:eastAsia="zh-CN"/>
                    </w:rPr>
                    <w:t>已将污水处理设施运行维护纳入医疗机构日常管理工作，建立污水处理设施运行台账，落实岗位职责，规范记录进出水水量、水质、消毒药剂类型和使用量等信息。</w:t>
                  </w:r>
                </w:p>
              </w:tc>
              <w:tc>
                <w:tcPr>
                  <w:tcW w:w="848" w:type="dxa"/>
                  <w:vAlign w:val="center"/>
                </w:tcPr>
                <w:p w14:paraId="1F09E634">
                  <w:pPr>
                    <w:bidi w:val="0"/>
                    <w:ind w:left="0" w:leftChars="0" w:right="0" w:rightChars="0" w:firstLine="0" w:firstLineChars="0"/>
                    <w:jc w:val="center"/>
                    <w:rPr>
                      <w:rFonts w:hint="eastAsia"/>
                      <w:color w:val="auto"/>
                      <w:lang w:val="en-US" w:eastAsia="zh-CN"/>
                    </w:rPr>
                  </w:pPr>
                  <w:r>
                    <w:rPr>
                      <w:rFonts w:hint="eastAsia"/>
                      <w:color w:val="auto"/>
                      <w:lang w:val="en-US" w:eastAsia="zh-CN"/>
                    </w:rPr>
                    <w:t>符合</w:t>
                  </w:r>
                </w:p>
              </w:tc>
            </w:tr>
          </w:tbl>
          <w:p w14:paraId="4AF15AE5">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b w:val="0"/>
                <w:bCs w:val="0"/>
                <w:color w:val="auto"/>
                <w:lang w:val="en-US" w:eastAsia="zh-CN"/>
              </w:rPr>
            </w:pPr>
            <w:r>
              <w:rPr>
                <w:rFonts w:hint="eastAsia"/>
                <w:b w:val="0"/>
                <w:bCs w:val="0"/>
                <w:color w:val="auto"/>
                <w:lang w:val="en-US" w:eastAsia="zh-CN"/>
              </w:rPr>
              <w:t>根据以上分析，项目符合“关于加快补齐医疗机构污水处理设施短板 提高污染治理能力的通知”中的相关要求。</w:t>
            </w:r>
          </w:p>
          <w:p w14:paraId="4490A29F">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10</w:t>
            </w:r>
            <w:r>
              <w:rPr>
                <w:rFonts w:hint="eastAsia" w:ascii="Times New Roman" w:hAnsi="Times New Roman" w:eastAsia="宋体" w:cs="Times New Roman"/>
                <w:b/>
                <w:bCs/>
                <w:color w:val="auto"/>
                <w:sz w:val="24"/>
                <w:szCs w:val="24"/>
                <w:highlight w:val="none"/>
                <w:lang w:val="en-US" w:eastAsia="zh-CN"/>
              </w:rPr>
              <w:t>、选址合理性分析</w:t>
            </w:r>
          </w:p>
          <w:p w14:paraId="4E9ACBF3">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本项目位于</w:t>
            </w:r>
            <w:r>
              <w:rPr>
                <w:rFonts w:hint="eastAsia" w:ascii="宋体" w:hAnsi="宋体" w:eastAsia="宋体" w:cs="宋体"/>
                <w:color w:val="auto"/>
                <w:sz w:val="24"/>
                <w:szCs w:val="24"/>
              </w:rPr>
              <w:t>寻甸回族彝族自治县倘甸镇白章村委会芭蕉树村108号</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项目已签订租赁合同，租赁场地为原寻甸骨伤医院旧址。项目</w:t>
            </w:r>
            <w:r>
              <w:rPr>
                <w:rFonts w:hint="eastAsia" w:ascii="Times New Roman" w:hAnsi="Times New Roman" w:eastAsia="宋体" w:cs="Times New Roman"/>
                <w:b w:val="0"/>
                <w:bCs w:val="0"/>
                <w:color w:val="auto"/>
                <w:sz w:val="24"/>
                <w:szCs w:val="24"/>
                <w:highlight w:val="none"/>
                <w:lang w:val="en-US" w:eastAsia="zh-CN"/>
              </w:rPr>
              <w:t>不涉及自然保护区、风景名胜区、饮用水水源地保护区、世界文化和自然遗产地、森林公园、地质公园、天然林、珍稀濒危野生动植物天然集中分布区等生态环境敏感区。</w:t>
            </w:r>
          </w:p>
          <w:p w14:paraId="6DB0CBC0">
            <w:pPr>
              <w:widowControl/>
              <w:spacing w:line="360" w:lineRule="auto"/>
              <w:ind w:firstLine="480" w:firstLineChars="200"/>
              <w:rPr>
                <w:rFonts w:hint="eastAsia"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项目评价区域没有发现列入国家和省级重点保护的野生动植物及古树名木，也不是国家和云南省重点保护野生动物的栖息地、主要活动区及迁徙通道</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寻甸县自然资源局出具的关于“昆明长慈宁精神病医院迁建项目”是否涉及永久基本农田的说明以及是否涉及生态保护红线、城镇开发边界的情况说明</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可知，</w:t>
            </w:r>
            <w:r>
              <w:rPr>
                <w:rFonts w:hint="eastAsia" w:ascii="Times New Roman" w:hAnsi="Times New Roman" w:eastAsia="宋体" w:cs="Times New Roman"/>
                <w:b w:val="0"/>
                <w:bCs w:val="0"/>
                <w:color w:val="auto"/>
                <w:sz w:val="24"/>
                <w:szCs w:val="24"/>
                <w:highlight w:val="none"/>
                <w:lang w:val="en-US" w:eastAsia="zh-CN"/>
              </w:rPr>
              <w:t>项目不占用</w:t>
            </w:r>
            <w:r>
              <w:rPr>
                <w:rFonts w:hint="eastAsia" w:cs="Times New Roman"/>
                <w:b w:val="0"/>
                <w:bCs w:val="0"/>
                <w:color w:val="auto"/>
                <w:sz w:val="24"/>
                <w:szCs w:val="24"/>
                <w:highlight w:val="none"/>
                <w:lang w:val="en-US" w:eastAsia="zh-CN"/>
              </w:rPr>
              <w:t>永久</w:t>
            </w:r>
            <w:r>
              <w:rPr>
                <w:rFonts w:hint="eastAsia" w:ascii="Times New Roman" w:hAnsi="Times New Roman" w:eastAsia="宋体" w:cs="Times New Roman"/>
                <w:b w:val="0"/>
                <w:bCs w:val="0"/>
                <w:color w:val="auto"/>
                <w:sz w:val="24"/>
                <w:szCs w:val="24"/>
                <w:highlight w:val="none"/>
                <w:lang w:val="en-US" w:eastAsia="zh-CN"/>
              </w:rPr>
              <w:t>基本农田，项目占地不涉及生态</w:t>
            </w:r>
            <w:r>
              <w:rPr>
                <w:rFonts w:hint="eastAsia" w:cs="Times New Roman"/>
                <w:b w:val="0"/>
                <w:bCs w:val="0"/>
                <w:color w:val="auto"/>
                <w:sz w:val="24"/>
                <w:szCs w:val="24"/>
                <w:highlight w:val="none"/>
                <w:lang w:val="en-US" w:eastAsia="zh-CN"/>
              </w:rPr>
              <w:t>保护</w:t>
            </w:r>
            <w:r>
              <w:rPr>
                <w:rFonts w:hint="eastAsia" w:ascii="Times New Roman" w:hAnsi="Times New Roman" w:eastAsia="宋体" w:cs="Times New Roman"/>
                <w:b w:val="0"/>
                <w:bCs w:val="0"/>
                <w:color w:val="auto"/>
                <w:sz w:val="24"/>
                <w:szCs w:val="24"/>
                <w:highlight w:val="none"/>
                <w:lang w:val="en-US" w:eastAsia="zh-CN"/>
              </w:rPr>
              <w:t>红线，</w:t>
            </w:r>
            <w:r>
              <w:rPr>
                <w:rFonts w:hint="eastAsia" w:cs="Times New Roman"/>
                <w:b w:val="0"/>
                <w:bCs w:val="0"/>
                <w:color w:val="auto"/>
                <w:sz w:val="24"/>
                <w:szCs w:val="24"/>
                <w:highlight w:val="none"/>
                <w:lang w:val="en-US" w:eastAsia="zh-CN"/>
              </w:rPr>
              <w:t>在城镇开发边界内。</w:t>
            </w:r>
          </w:p>
          <w:p w14:paraId="223B84E5">
            <w:pPr>
              <w:widowControl/>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项目主要服务范围为倘甸镇，收治的主要是周边的病患，根据调查，倘甸镇目前除本项目外未设置其他精神病医院，项目的建设完善了倘甸镇卫生服务体系结构，</w:t>
            </w:r>
            <w:r>
              <w:rPr>
                <w:rFonts w:hint="default" w:ascii="Times New Roman" w:hAnsi="Times New Roman" w:cs="Times New Roman"/>
                <w:color w:val="auto"/>
                <w:sz w:val="24"/>
                <w:szCs w:val="24"/>
              </w:rPr>
              <w:t>为周边居民提供便利的就医条件，</w:t>
            </w:r>
            <w:r>
              <w:rPr>
                <w:rFonts w:hint="eastAsia" w:ascii="Times New Roman" w:hAnsi="Times New Roman" w:cs="Times New Roman"/>
                <w:color w:val="auto"/>
                <w:sz w:val="24"/>
                <w:szCs w:val="24"/>
                <w:lang w:val="en-US" w:eastAsia="zh-CN"/>
              </w:rPr>
              <w:t>且</w:t>
            </w:r>
            <w:r>
              <w:rPr>
                <w:rFonts w:hint="default" w:ascii="Times New Roman" w:hAnsi="Times New Roman" w:cs="Times New Roman"/>
                <w:color w:val="auto"/>
                <w:sz w:val="24"/>
                <w:szCs w:val="24"/>
              </w:rPr>
              <w:t>本项目</w:t>
            </w:r>
            <w:r>
              <w:rPr>
                <w:rFonts w:hint="eastAsia" w:cs="Times New Roman"/>
                <w:color w:val="auto"/>
                <w:sz w:val="24"/>
                <w:szCs w:val="24"/>
                <w:lang w:eastAsia="zh-CN"/>
              </w:rPr>
              <w:t>建设</w:t>
            </w:r>
            <w:r>
              <w:rPr>
                <w:rFonts w:hint="default" w:ascii="Times New Roman" w:hAnsi="Times New Roman" w:cs="Times New Roman"/>
                <w:color w:val="auto"/>
                <w:sz w:val="24"/>
                <w:szCs w:val="24"/>
              </w:rPr>
              <w:t>条件良好，符合功能区划要求，符合产业政策要求，污染物达标排放，周边环境对医院影响较小，本项目选址可行</w:t>
            </w:r>
            <w:r>
              <w:rPr>
                <w:rFonts w:hint="eastAsia" w:ascii="Times New Roman" w:hAnsi="Times New Roman" w:cs="Times New Roman"/>
                <w:color w:val="auto"/>
                <w:sz w:val="24"/>
                <w:szCs w:val="24"/>
                <w:lang w:eastAsia="zh-CN"/>
              </w:rPr>
              <w:t>。</w:t>
            </w:r>
          </w:p>
          <w:p w14:paraId="37B6C107">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lang w:val="en-US" w:eastAsia="zh-CN"/>
              </w:rPr>
              <w:t>、平面布置合理性分析</w:t>
            </w:r>
          </w:p>
          <w:p w14:paraId="2C516D32">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本项目为精神专科医院，包括</w:t>
            </w:r>
            <w:r>
              <w:rPr>
                <w:rFonts w:hint="eastAsia" w:cs="Times New Roman"/>
                <w:b w:val="0"/>
                <w:bCs w:val="0"/>
                <w:color w:val="auto"/>
                <w:sz w:val="24"/>
                <w:szCs w:val="24"/>
                <w:highlight w:val="none"/>
                <w:lang w:val="en-US" w:eastAsia="zh-CN"/>
              </w:rPr>
              <w:t>综合</w:t>
            </w:r>
            <w:r>
              <w:rPr>
                <w:rFonts w:hint="default" w:ascii="Times New Roman" w:hAnsi="Times New Roman" w:eastAsia="宋体" w:cs="Times New Roman"/>
                <w:b w:val="0"/>
                <w:bCs w:val="0"/>
                <w:color w:val="auto"/>
                <w:sz w:val="24"/>
                <w:szCs w:val="24"/>
                <w:highlight w:val="none"/>
                <w:lang w:val="en-US" w:eastAsia="zh-CN"/>
              </w:rPr>
              <w:t>楼、</w:t>
            </w:r>
            <w:r>
              <w:rPr>
                <w:rFonts w:hint="eastAsia" w:cs="Times New Roman"/>
                <w:b w:val="0"/>
                <w:bCs w:val="0"/>
                <w:color w:val="auto"/>
                <w:sz w:val="24"/>
                <w:szCs w:val="24"/>
                <w:highlight w:val="none"/>
                <w:lang w:val="en-US" w:eastAsia="zh-CN"/>
              </w:rPr>
              <w:t>食堂</w:t>
            </w:r>
            <w:r>
              <w:rPr>
                <w:rFonts w:hint="default" w:ascii="Times New Roman" w:hAnsi="Times New Roman" w:eastAsia="宋体" w:cs="Times New Roman"/>
                <w:b w:val="0"/>
                <w:bCs w:val="0"/>
                <w:color w:val="auto"/>
                <w:sz w:val="24"/>
                <w:szCs w:val="24"/>
                <w:highlight w:val="none"/>
                <w:lang w:val="en-US" w:eastAsia="zh-CN"/>
              </w:rPr>
              <w:t>及其他辅助用房。</w:t>
            </w:r>
            <w:r>
              <w:rPr>
                <w:rFonts w:hint="eastAsia" w:cs="Times New Roman"/>
                <w:b w:val="0"/>
                <w:bCs w:val="0"/>
                <w:color w:val="auto"/>
                <w:sz w:val="24"/>
                <w:szCs w:val="24"/>
                <w:highlight w:val="none"/>
                <w:lang w:val="en-US" w:eastAsia="zh-CN"/>
              </w:rPr>
              <w:t>综合楼位于场地</w:t>
            </w:r>
            <w:r>
              <w:rPr>
                <w:rFonts w:hint="default" w:ascii="Times New Roman" w:hAnsi="Times New Roman" w:eastAsia="宋体" w:cs="Times New Roman"/>
                <w:b w:val="0"/>
                <w:bCs w:val="0"/>
                <w:color w:val="auto"/>
                <w:sz w:val="24"/>
                <w:szCs w:val="24"/>
                <w:highlight w:val="none"/>
                <w:lang w:val="en-US" w:eastAsia="zh-CN"/>
              </w:rPr>
              <w:t>南侧，</w:t>
            </w:r>
            <w:r>
              <w:rPr>
                <w:rFonts w:hint="eastAsia" w:cs="Times New Roman"/>
                <w:b w:val="0"/>
                <w:bCs w:val="0"/>
                <w:color w:val="auto"/>
                <w:sz w:val="24"/>
                <w:szCs w:val="24"/>
                <w:highlight w:val="none"/>
                <w:lang w:val="en-US" w:eastAsia="zh-CN"/>
              </w:rPr>
              <w:t>食堂</w:t>
            </w:r>
            <w:r>
              <w:rPr>
                <w:rFonts w:hint="default" w:ascii="Times New Roman" w:hAnsi="Times New Roman" w:eastAsia="宋体" w:cs="Times New Roman"/>
                <w:b w:val="0"/>
                <w:bCs w:val="0"/>
                <w:color w:val="auto"/>
                <w:sz w:val="24"/>
                <w:szCs w:val="24"/>
                <w:highlight w:val="none"/>
                <w:lang w:val="en-US" w:eastAsia="zh-CN"/>
              </w:rPr>
              <w:t>位于</w:t>
            </w:r>
            <w:r>
              <w:rPr>
                <w:rFonts w:hint="eastAsia" w:cs="Times New Roman"/>
                <w:b w:val="0"/>
                <w:bCs w:val="0"/>
                <w:color w:val="auto"/>
                <w:sz w:val="24"/>
                <w:szCs w:val="24"/>
                <w:highlight w:val="none"/>
                <w:lang w:val="en-US" w:eastAsia="zh-CN"/>
              </w:rPr>
              <w:t>综合楼东北侧；配电房及消防池</w:t>
            </w:r>
            <w:r>
              <w:rPr>
                <w:rFonts w:hint="default" w:ascii="Times New Roman" w:hAnsi="Times New Roman" w:eastAsia="宋体" w:cs="Times New Roman"/>
                <w:b w:val="0"/>
                <w:bCs w:val="0"/>
                <w:color w:val="auto"/>
                <w:sz w:val="24"/>
                <w:szCs w:val="24"/>
                <w:highlight w:val="none"/>
                <w:lang w:val="en-US" w:eastAsia="zh-CN"/>
              </w:rPr>
              <w:t>位于</w:t>
            </w:r>
            <w:r>
              <w:rPr>
                <w:rFonts w:hint="eastAsia" w:cs="Times New Roman"/>
                <w:b w:val="0"/>
                <w:bCs w:val="0"/>
                <w:color w:val="auto"/>
                <w:sz w:val="24"/>
                <w:szCs w:val="24"/>
                <w:highlight w:val="none"/>
                <w:lang w:val="en-US" w:eastAsia="zh-CN"/>
              </w:rPr>
              <w:t>综合</w:t>
            </w:r>
            <w:r>
              <w:rPr>
                <w:rFonts w:hint="default" w:ascii="Times New Roman" w:hAnsi="Times New Roman" w:eastAsia="宋体" w:cs="Times New Roman"/>
                <w:b w:val="0"/>
                <w:bCs w:val="0"/>
                <w:color w:val="auto"/>
                <w:sz w:val="24"/>
                <w:szCs w:val="24"/>
                <w:highlight w:val="none"/>
                <w:lang w:val="en-US" w:eastAsia="zh-CN"/>
              </w:rPr>
              <w:t>楼东侧</w:t>
            </w:r>
            <w:r>
              <w:rPr>
                <w:rFonts w:hint="eastAsia" w:cs="Times New Roman"/>
                <w:b w:val="0"/>
                <w:bCs w:val="0"/>
                <w:color w:val="auto"/>
                <w:sz w:val="24"/>
                <w:szCs w:val="24"/>
                <w:highlight w:val="none"/>
                <w:lang w:val="en-US" w:eastAsia="zh-CN"/>
              </w:rPr>
              <w:t>；活动区域位于食堂北面；活动区域的西南侧为观影棚，东南侧自北向南依次为淋浴房、洗衣房、库房；最北侧为公厕。污水处理站设置在综合楼西南侧，靠近公路便于废水转运。</w:t>
            </w:r>
            <w:r>
              <w:rPr>
                <w:rFonts w:hint="default" w:ascii="Times New Roman" w:hAnsi="Times New Roman" w:eastAsia="宋体" w:cs="Times New Roman"/>
                <w:b w:val="0"/>
                <w:bCs w:val="0"/>
                <w:color w:val="auto"/>
                <w:sz w:val="24"/>
                <w:szCs w:val="24"/>
                <w:highlight w:val="none"/>
                <w:lang w:val="en-US" w:eastAsia="zh-CN"/>
              </w:rPr>
              <w:t>人员活动场地位于院区</w:t>
            </w:r>
            <w:r>
              <w:rPr>
                <w:rFonts w:hint="eastAsia" w:cs="Times New Roman"/>
                <w:b w:val="0"/>
                <w:bCs w:val="0"/>
                <w:color w:val="auto"/>
                <w:sz w:val="24"/>
                <w:szCs w:val="24"/>
                <w:highlight w:val="none"/>
                <w:lang w:val="en-US" w:eastAsia="zh-CN"/>
              </w:rPr>
              <w:t>北</w:t>
            </w:r>
            <w:r>
              <w:rPr>
                <w:rFonts w:hint="default" w:ascii="Times New Roman" w:hAnsi="Times New Roman" w:eastAsia="宋体" w:cs="Times New Roman"/>
                <w:b w:val="0"/>
                <w:bCs w:val="0"/>
                <w:color w:val="auto"/>
                <w:sz w:val="24"/>
                <w:szCs w:val="24"/>
                <w:highlight w:val="none"/>
                <w:lang w:val="en-US" w:eastAsia="zh-CN"/>
              </w:rPr>
              <w:t>部。污水处理设备位于项目院区西南部。</w:t>
            </w:r>
          </w:p>
          <w:p w14:paraId="4AEA4B45">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院内建筑物分区明确，项目位置醒目，方便病人就医，车辆进出便利，形成功能</w:t>
            </w:r>
            <w:r>
              <w:rPr>
                <w:rFonts w:hint="eastAsia" w:cs="Times New Roman"/>
                <w:b w:val="0"/>
                <w:bCs w:val="0"/>
                <w:color w:val="auto"/>
                <w:sz w:val="24"/>
                <w:szCs w:val="24"/>
                <w:highlight w:val="none"/>
                <w:lang w:val="en-US" w:eastAsia="zh-CN"/>
              </w:rPr>
              <w:t>既</w:t>
            </w:r>
            <w:r>
              <w:rPr>
                <w:rFonts w:hint="default" w:ascii="Times New Roman" w:hAnsi="Times New Roman" w:eastAsia="宋体" w:cs="Times New Roman"/>
                <w:b w:val="0"/>
                <w:bCs w:val="0"/>
                <w:color w:val="auto"/>
                <w:sz w:val="24"/>
                <w:szCs w:val="24"/>
                <w:highlight w:val="none"/>
                <w:lang w:val="en-US" w:eastAsia="zh-CN"/>
              </w:rPr>
              <w:t>独立又合理联系的统一整体，平面布局合理</w:t>
            </w:r>
            <w:r>
              <w:rPr>
                <w:rFonts w:hint="eastAsia" w:cs="Times New Roman"/>
                <w:b w:val="0"/>
                <w:bCs w:val="0"/>
                <w:color w:val="auto"/>
                <w:sz w:val="24"/>
                <w:szCs w:val="24"/>
                <w:highlight w:val="none"/>
                <w:lang w:val="en-US" w:eastAsia="zh-CN"/>
              </w:rPr>
              <w:t>，总</w:t>
            </w:r>
            <w:r>
              <w:rPr>
                <w:rFonts w:hint="default" w:ascii="Times New Roman" w:hAnsi="Times New Roman" w:eastAsia="宋体" w:cs="Times New Roman"/>
                <w:b w:val="0"/>
                <w:bCs w:val="0"/>
                <w:color w:val="auto"/>
                <w:sz w:val="24"/>
                <w:szCs w:val="24"/>
                <w:highlight w:val="none"/>
                <w:lang w:val="en-US" w:eastAsia="zh-CN"/>
              </w:rPr>
              <w:t>平面布置图详见</w:t>
            </w:r>
            <w:r>
              <w:rPr>
                <w:rFonts w:hint="eastAsia" w:cs="Times New Roman"/>
                <w:b w:val="0"/>
                <w:bCs w:val="0"/>
                <w:color w:val="auto"/>
                <w:sz w:val="24"/>
                <w:szCs w:val="24"/>
                <w:highlight w:val="none"/>
                <w:lang w:val="en-US" w:eastAsia="zh-CN"/>
              </w:rPr>
              <w:t>（附件4）</w:t>
            </w:r>
            <w:r>
              <w:rPr>
                <w:rFonts w:hint="default" w:ascii="Times New Roman" w:hAnsi="Times New Roman" w:eastAsia="宋体" w:cs="Times New Roman"/>
                <w:b w:val="0"/>
                <w:bCs w:val="0"/>
                <w:color w:val="auto"/>
                <w:sz w:val="24"/>
                <w:szCs w:val="24"/>
                <w:highlight w:val="none"/>
                <w:lang w:val="en-US" w:eastAsia="zh-CN"/>
              </w:rPr>
              <w:t>。</w:t>
            </w:r>
          </w:p>
          <w:p w14:paraId="61185CD9">
            <w:pPr>
              <w:pStyle w:val="29"/>
              <w:rPr>
                <w:rFonts w:hint="default" w:ascii="Times New Roman" w:hAnsi="Times New Roman" w:eastAsia="宋体" w:cs="Times New Roman"/>
                <w:b w:val="0"/>
                <w:bCs w:val="0"/>
                <w:color w:val="auto"/>
                <w:sz w:val="24"/>
                <w:szCs w:val="24"/>
                <w:highlight w:val="none"/>
                <w:lang w:val="en-US" w:eastAsia="zh-CN"/>
              </w:rPr>
            </w:pPr>
          </w:p>
          <w:p w14:paraId="37218684">
            <w:pPr>
              <w:rPr>
                <w:rFonts w:hint="default" w:ascii="Times New Roman" w:hAnsi="Times New Roman" w:eastAsia="宋体" w:cs="Times New Roman"/>
                <w:b w:val="0"/>
                <w:bCs w:val="0"/>
                <w:color w:val="auto"/>
                <w:sz w:val="24"/>
                <w:szCs w:val="24"/>
                <w:highlight w:val="none"/>
                <w:lang w:val="en-US" w:eastAsia="zh-CN"/>
              </w:rPr>
            </w:pPr>
          </w:p>
          <w:p w14:paraId="0AE0B633">
            <w:pPr>
              <w:pStyle w:val="12"/>
              <w:rPr>
                <w:rFonts w:hint="default" w:ascii="Times New Roman" w:hAnsi="Times New Roman" w:eastAsia="宋体" w:cs="Times New Roman"/>
                <w:b w:val="0"/>
                <w:bCs w:val="0"/>
                <w:color w:val="auto"/>
                <w:sz w:val="24"/>
                <w:szCs w:val="24"/>
                <w:highlight w:val="none"/>
                <w:lang w:val="en-US" w:eastAsia="zh-CN"/>
              </w:rPr>
            </w:pPr>
          </w:p>
          <w:p w14:paraId="6002D60F">
            <w:pPr>
              <w:pStyle w:val="29"/>
              <w:rPr>
                <w:rFonts w:hint="default" w:ascii="Times New Roman" w:hAnsi="Times New Roman" w:eastAsia="宋体" w:cs="Times New Roman"/>
                <w:b w:val="0"/>
                <w:bCs w:val="0"/>
                <w:color w:val="auto"/>
                <w:sz w:val="24"/>
                <w:szCs w:val="24"/>
                <w:highlight w:val="none"/>
                <w:lang w:val="en-US" w:eastAsia="zh-CN"/>
              </w:rPr>
            </w:pPr>
          </w:p>
          <w:p w14:paraId="21678E92">
            <w:pPr>
              <w:rPr>
                <w:rFonts w:hint="default" w:ascii="Times New Roman" w:hAnsi="Times New Roman" w:eastAsia="宋体" w:cs="Times New Roman"/>
                <w:b w:val="0"/>
                <w:bCs w:val="0"/>
                <w:color w:val="auto"/>
                <w:sz w:val="24"/>
                <w:szCs w:val="24"/>
                <w:highlight w:val="none"/>
                <w:lang w:val="en-US" w:eastAsia="zh-CN"/>
              </w:rPr>
            </w:pPr>
          </w:p>
          <w:p w14:paraId="77B84BED">
            <w:pPr>
              <w:pStyle w:val="12"/>
              <w:rPr>
                <w:rFonts w:hint="default" w:ascii="Times New Roman" w:hAnsi="Times New Roman" w:eastAsia="宋体" w:cs="Times New Roman"/>
                <w:b w:val="0"/>
                <w:bCs w:val="0"/>
                <w:color w:val="auto"/>
                <w:sz w:val="24"/>
                <w:szCs w:val="24"/>
                <w:highlight w:val="none"/>
                <w:lang w:val="en-US" w:eastAsia="zh-CN"/>
              </w:rPr>
            </w:pPr>
          </w:p>
          <w:p w14:paraId="57A435BD">
            <w:pPr>
              <w:pStyle w:val="29"/>
              <w:rPr>
                <w:rFonts w:hint="default" w:ascii="Times New Roman" w:hAnsi="Times New Roman" w:eastAsia="宋体" w:cs="Times New Roman"/>
                <w:b w:val="0"/>
                <w:bCs w:val="0"/>
                <w:color w:val="auto"/>
                <w:sz w:val="24"/>
                <w:szCs w:val="24"/>
                <w:highlight w:val="none"/>
                <w:lang w:val="en-US" w:eastAsia="zh-CN"/>
              </w:rPr>
            </w:pPr>
          </w:p>
          <w:p w14:paraId="2BDDE0AD">
            <w:pPr>
              <w:rPr>
                <w:rFonts w:hint="default" w:ascii="Times New Roman" w:hAnsi="Times New Roman" w:eastAsia="宋体" w:cs="Times New Roman"/>
                <w:b w:val="0"/>
                <w:bCs w:val="0"/>
                <w:color w:val="auto"/>
                <w:sz w:val="24"/>
                <w:szCs w:val="24"/>
                <w:highlight w:val="none"/>
                <w:lang w:val="en-US" w:eastAsia="zh-CN"/>
              </w:rPr>
            </w:pPr>
          </w:p>
          <w:p w14:paraId="4E8D60C6">
            <w:pPr>
              <w:pStyle w:val="12"/>
              <w:rPr>
                <w:rFonts w:hint="default" w:ascii="Times New Roman" w:hAnsi="Times New Roman" w:eastAsia="宋体" w:cs="Times New Roman"/>
                <w:b w:val="0"/>
                <w:bCs w:val="0"/>
                <w:color w:val="auto"/>
                <w:sz w:val="24"/>
                <w:szCs w:val="24"/>
                <w:highlight w:val="none"/>
                <w:lang w:val="en-US" w:eastAsia="zh-CN"/>
              </w:rPr>
            </w:pPr>
          </w:p>
          <w:p w14:paraId="7DBD94E7">
            <w:pPr>
              <w:pStyle w:val="29"/>
              <w:rPr>
                <w:rFonts w:hint="default" w:ascii="Times New Roman" w:hAnsi="Times New Roman" w:eastAsia="宋体" w:cs="Times New Roman"/>
                <w:b w:val="0"/>
                <w:bCs w:val="0"/>
                <w:color w:val="auto"/>
                <w:sz w:val="24"/>
                <w:szCs w:val="24"/>
                <w:highlight w:val="none"/>
                <w:lang w:val="en-US" w:eastAsia="zh-CN"/>
              </w:rPr>
            </w:pPr>
          </w:p>
          <w:p w14:paraId="731F0FCE">
            <w:pPr>
              <w:rPr>
                <w:rFonts w:hint="default" w:ascii="Times New Roman" w:hAnsi="Times New Roman" w:eastAsia="宋体" w:cs="Times New Roman"/>
                <w:b w:val="0"/>
                <w:bCs w:val="0"/>
                <w:color w:val="auto"/>
                <w:sz w:val="24"/>
                <w:szCs w:val="24"/>
                <w:highlight w:val="none"/>
                <w:lang w:val="en-US" w:eastAsia="zh-CN"/>
              </w:rPr>
            </w:pPr>
          </w:p>
          <w:p w14:paraId="168B155B">
            <w:pPr>
              <w:pStyle w:val="12"/>
              <w:rPr>
                <w:rFonts w:hint="default" w:ascii="Times New Roman" w:hAnsi="Times New Roman" w:eastAsia="宋体" w:cs="Times New Roman"/>
                <w:b w:val="0"/>
                <w:bCs w:val="0"/>
                <w:color w:val="auto"/>
                <w:sz w:val="24"/>
                <w:szCs w:val="24"/>
                <w:highlight w:val="none"/>
                <w:lang w:val="en-US" w:eastAsia="zh-CN"/>
              </w:rPr>
            </w:pPr>
          </w:p>
          <w:p w14:paraId="0A692A2C">
            <w:pPr>
              <w:pStyle w:val="29"/>
              <w:rPr>
                <w:rFonts w:hint="default" w:ascii="Times New Roman" w:hAnsi="Times New Roman" w:eastAsia="宋体" w:cs="Times New Roman"/>
                <w:b w:val="0"/>
                <w:bCs w:val="0"/>
                <w:color w:val="auto"/>
                <w:sz w:val="24"/>
                <w:szCs w:val="24"/>
                <w:highlight w:val="none"/>
                <w:lang w:val="en-US" w:eastAsia="zh-CN"/>
              </w:rPr>
            </w:pPr>
          </w:p>
          <w:p w14:paraId="19651D66">
            <w:pPr>
              <w:rPr>
                <w:rFonts w:hint="eastAsia"/>
                <w:color w:val="auto"/>
                <w:lang w:val="en-US" w:eastAsia="zh-CN"/>
              </w:rPr>
            </w:pPr>
          </w:p>
        </w:tc>
      </w:tr>
    </w:tbl>
    <w:p w14:paraId="0422A7EA">
      <w:pPr>
        <w:rPr>
          <w:color w:val="auto"/>
        </w:rPr>
      </w:pPr>
    </w:p>
    <w:p w14:paraId="76E71621">
      <w:pPr>
        <w:pStyle w:val="22"/>
        <w:keepNext/>
        <w:keepLines w:val="0"/>
        <w:pageBreakBefore/>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rPr>
      </w:pPr>
      <w:bookmarkStart w:id="5" w:name="_Toc4169"/>
      <w:r>
        <w:rPr>
          <w:rFonts w:hint="eastAsia" w:ascii="黑体" w:hAnsi="黑体" w:eastAsia="黑体"/>
          <w:snapToGrid w:val="0"/>
          <w:color w:val="auto"/>
          <w:sz w:val="30"/>
          <w:szCs w:val="30"/>
        </w:rPr>
        <w:t>二、建设项目工程分析</w:t>
      </w:r>
      <w:bookmarkEnd w:id="5"/>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546"/>
      </w:tblGrid>
      <w:tr w14:paraId="33323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514" w:type="dxa"/>
            <w:noWrap w:val="0"/>
            <w:vAlign w:val="center"/>
          </w:tcPr>
          <w:p w14:paraId="26608D89">
            <w:pPr>
              <w:pStyle w:val="22"/>
              <w:adjustRightInd w:val="0"/>
              <w:snapToGrid w:val="0"/>
              <w:spacing w:before="0" w:beforeAutospacing="0" w:after="0" w:afterAutospacing="0" w:line="360" w:lineRule="auto"/>
              <w:jc w:val="center"/>
              <w:rPr>
                <w:rFonts w:cs="宋体"/>
                <w:b/>
                <w:bCs/>
                <w:color w:val="auto"/>
                <w:sz w:val="24"/>
                <w:szCs w:val="24"/>
              </w:rPr>
            </w:pPr>
            <w:r>
              <w:rPr>
                <w:rFonts w:hint="eastAsia" w:cs="宋体"/>
                <w:b/>
                <w:bCs/>
                <w:color w:val="auto"/>
                <w:sz w:val="24"/>
                <w:szCs w:val="24"/>
              </w:rPr>
              <w:t>建设内容</w:t>
            </w:r>
          </w:p>
        </w:tc>
        <w:tc>
          <w:tcPr>
            <w:tcW w:w="8546" w:type="dxa"/>
            <w:noWrap w:val="0"/>
            <w:vAlign w:val="top"/>
          </w:tcPr>
          <w:p w14:paraId="5B5D96AB">
            <w:pPr>
              <w:numPr>
                <w:ilvl w:val="0"/>
                <w:numId w:val="0"/>
              </w:numPr>
              <w:adjustRightInd w:val="0"/>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eastAsia"/>
                <w:b/>
                <w:color w:val="auto"/>
                <w:sz w:val="24"/>
                <w:lang w:val="en-US" w:eastAsia="zh-CN"/>
              </w:rPr>
              <w:t>项目由来：</w:t>
            </w:r>
            <w:r>
              <w:rPr>
                <w:rFonts w:hint="eastAsia" w:ascii="Times New Roman" w:hAnsi="Times New Roman" w:eastAsia="宋体" w:cs="Times New Roman"/>
                <w:color w:val="auto"/>
                <w:sz w:val="24"/>
                <w:szCs w:val="24"/>
                <w:lang w:val="en-US" w:eastAsia="zh-CN"/>
              </w:rPr>
              <w:t>原</w:t>
            </w:r>
            <w:r>
              <w:rPr>
                <w:rFonts w:hint="default" w:ascii="Times New Roman" w:hAnsi="Times New Roman" w:eastAsia="宋体" w:cs="Times New Roman"/>
                <w:color w:val="auto"/>
                <w:sz w:val="24"/>
                <w:szCs w:val="24"/>
                <w:lang w:val="en-US" w:eastAsia="zh-CN"/>
              </w:rPr>
              <w:t>昆明长青慈宁精神病医院</w:t>
            </w:r>
            <w:r>
              <w:rPr>
                <w:rFonts w:hint="eastAsia" w:ascii="Times New Roman" w:hAnsi="Times New Roman" w:eastAsia="宋体" w:cs="Times New Roman"/>
                <w:color w:val="auto"/>
                <w:sz w:val="24"/>
                <w:szCs w:val="24"/>
                <w:lang w:val="en-US" w:eastAsia="zh-CN"/>
              </w:rPr>
              <w:t>位于</w:t>
            </w:r>
            <w:r>
              <w:rPr>
                <w:rFonts w:hint="eastAsia"/>
                <w:color w:val="auto"/>
                <w:sz w:val="24"/>
                <w:szCs w:val="24"/>
                <w:u w:val="none"/>
                <w:lang w:val="en-US" w:eastAsia="zh-CN"/>
              </w:rPr>
              <w:t>昆明市</w:t>
            </w:r>
            <w:r>
              <w:rPr>
                <w:rFonts w:hint="eastAsia" w:eastAsia="宋体"/>
                <w:color w:val="auto"/>
                <w:sz w:val="24"/>
                <w:szCs w:val="24"/>
                <w:u w:val="none"/>
                <w:lang w:val="en-US" w:eastAsia="zh-CN"/>
              </w:rPr>
              <w:t>寻甸回族彝族自治县倘甸镇</w:t>
            </w:r>
            <w:r>
              <w:rPr>
                <w:rFonts w:hint="eastAsia"/>
                <w:color w:val="auto"/>
                <w:sz w:val="24"/>
                <w:szCs w:val="24"/>
                <w:u w:val="none"/>
                <w:lang w:val="en-US" w:eastAsia="zh-CN"/>
              </w:rPr>
              <w:t>者己村，原</w:t>
            </w:r>
            <w:r>
              <w:rPr>
                <w:rFonts w:hint="eastAsia" w:cs="Times New Roman"/>
                <w:b w:val="0"/>
                <w:bCs/>
                <w:color w:val="auto"/>
                <w:sz w:val="24"/>
                <w:szCs w:val="24"/>
                <w:lang w:val="en-US" w:eastAsia="zh-CN"/>
              </w:rPr>
              <w:t>项目占地6700m</w:t>
            </w:r>
            <w:r>
              <w:rPr>
                <w:rFonts w:hint="eastAsia" w:cs="Times New Roman"/>
                <w:b w:val="0"/>
                <w:bCs/>
                <w:color w:val="auto"/>
                <w:sz w:val="24"/>
                <w:szCs w:val="24"/>
                <w:vertAlign w:val="superscript"/>
                <w:lang w:val="en-US" w:eastAsia="zh-CN"/>
              </w:rPr>
              <w:t>2</w:t>
            </w:r>
            <w:r>
              <w:rPr>
                <w:rFonts w:hint="eastAsia" w:cs="Times New Roman"/>
                <w:b w:val="0"/>
                <w:bCs/>
                <w:color w:val="auto"/>
                <w:sz w:val="24"/>
                <w:szCs w:val="24"/>
                <w:vertAlign w:val="baseline"/>
                <w:lang w:val="en-US" w:eastAsia="zh-CN"/>
              </w:rPr>
              <w:t>，设置床位69张，</w:t>
            </w:r>
            <w:r>
              <w:rPr>
                <w:rFonts w:hint="eastAsia" w:ascii="Times New Roman" w:hAnsi="Times New Roman" w:cs="Times New Roman"/>
                <w:color w:val="auto"/>
                <w:sz w:val="24"/>
                <w:szCs w:val="24"/>
                <w:lang w:val="en-US" w:eastAsia="zh-CN"/>
              </w:rPr>
              <w:t>主要收治倘甸镇周边的轻度精神病患。原项目</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月委托</w:t>
            </w:r>
            <w:r>
              <w:rPr>
                <w:rFonts w:hint="default" w:ascii="Times New Roman" w:hAnsi="Times New Roman" w:eastAsia="宋体" w:cs="Times New Roman"/>
                <w:color w:val="auto"/>
                <w:sz w:val="24"/>
                <w:szCs w:val="24"/>
                <w:lang w:val="en-US" w:eastAsia="zh-CN"/>
              </w:rPr>
              <w:t>云南保兴环境科技咨询有限公司</w:t>
            </w:r>
            <w:r>
              <w:rPr>
                <w:rFonts w:hint="default" w:ascii="Times New Roman" w:hAnsi="Times New Roman" w:eastAsia="宋体" w:cs="Times New Roman"/>
                <w:color w:val="auto"/>
                <w:sz w:val="24"/>
                <w:szCs w:val="24"/>
              </w:rPr>
              <w:t>编制《</w:t>
            </w:r>
            <w:r>
              <w:rPr>
                <w:rFonts w:hint="default" w:ascii="Times New Roman" w:hAnsi="Times New Roman" w:eastAsia="宋体" w:cs="Times New Roman"/>
                <w:color w:val="auto"/>
                <w:sz w:val="24"/>
                <w:szCs w:val="24"/>
                <w:lang w:eastAsia="zh-CN"/>
              </w:rPr>
              <w:t>昆明长青慈宁精神病医院扩建项目</w:t>
            </w:r>
            <w:r>
              <w:rPr>
                <w:rFonts w:hint="default" w:ascii="Times New Roman" w:hAnsi="Times New Roman" w:eastAsia="宋体" w:cs="Times New Roman"/>
                <w:color w:val="auto"/>
                <w:sz w:val="24"/>
                <w:szCs w:val="24"/>
              </w:rPr>
              <w:t>环境影响报告表》，</w:t>
            </w:r>
            <w:r>
              <w:rPr>
                <w:rFonts w:hint="default"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年3月</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日取得</w:t>
            </w:r>
            <w:r>
              <w:rPr>
                <w:rFonts w:hint="default" w:ascii="Times New Roman" w:hAnsi="Times New Roman" w:eastAsia="宋体" w:cs="Times New Roman"/>
                <w:color w:val="auto"/>
                <w:sz w:val="24"/>
                <w:szCs w:val="24"/>
                <w:lang w:eastAsia="zh-CN"/>
              </w:rPr>
              <w:t>昆明市生态环境局寻甸分局关于对《昆明长青慈宁精神病医院扩建项目环境影响报告表》的批复（昆生环寻复〔2022〕19号），</w:t>
            </w:r>
            <w:r>
              <w:rPr>
                <w:rFonts w:hint="default" w:ascii="Times New Roman" w:hAnsi="Times New Roman" w:eastAsia="宋体" w:cs="Times New Roman"/>
                <w:color w:val="auto"/>
                <w:sz w:val="24"/>
                <w:szCs w:val="24"/>
              </w:rPr>
              <w:t>同意项目按照《报告表》所述工程内容、规模、功能以及环保对策措施建设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2022年4月</w:t>
            </w:r>
            <w:r>
              <w:rPr>
                <w:rFonts w:hint="eastAsia" w:cs="Times New Roman"/>
                <w:color w:val="auto"/>
                <w:sz w:val="24"/>
                <w:szCs w:val="24"/>
                <w:lang w:val="en-US" w:eastAsia="zh-CN"/>
              </w:rPr>
              <w:t>建设单位</w:t>
            </w:r>
            <w:r>
              <w:rPr>
                <w:rFonts w:hint="default" w:ascii="Times New Roman" w:hAnsi="Times New Roman" w:eastAsia="宋体" w:cs="Times New Roman"/>
                <w:color w:val="auto"/>
                <w:sz w:val="24"/>
                <w:szCs w:val="24"/>
                <w:lang w:val="en-US" w:eastAsia="zh-CN"/>
              </w:rPr>
              <w:t>对“昆明长青慈宁精神病医院扩建项目”展开竣工环境保护验收工作，2022年10月在全国建设项目竣工环境保护验收信息系统，完成验收备案。</w:t>
            </w:r>
          </w:p>
          <w:p w14:paraId="4D24EF81">
            <w:pPr>
              <w:widowControl/>
              <w:spacing w:line="360" w:lineRule="auto"/>
              <w:ind w:firstLine="480" w:firstLineChars="200"/>
              <w:rPr>
                <w:rFonts w:hint="default"/>
                <w:color w:val="auto"/>
                <w:sz w:val="24"/>
                <w:lang w:val="en-US"/>
              </w:rPr>
            </w:pPr>
            <w:r>
              <w:rPr>
                <w:rFonts w:hint="eastAsia" w:ascii="Times New Roman" w:hAnsi="Times New Roman" w:eastAsia="宋体" w:cs="Times New Roman"/>
                <w:color w:val="auto"/>
                <w:sz w:val="24"/>
                <w:szCs w:val="24"/>
                <w:lang w:val="en-US" w:eastAsia="zh-CN"/>
              </w:rPr>
              <w:t>由于原项目位置</w:t>
            </w:r>
            <w:r>
              <w:rPr>
                <w:rFonts w:hint="default" w:ascii="Times New Roman" w:hAnsi="Times New Roman" w:eastAsia="宋体" w:cs="Times New Roman"/>
                <w:color w:val="auto"/>
                <w:sz w:val="24"/>
                <w:szCs w:val="24"/>
                <w:lang w:val="en-US" w:eastAsia="zh-CN"/>
              </w:rPr>
              <w:t>不适应公司发展需要，公司决定搬迁至</w:t>
            </w:r>
            <w:r>
              <w:rPr>
                <w:rFonts w:hint="eastAsia" w:ascii="宋体" w:hAnsi="宋体" w:eastAsia="宋体" w:cs="宋体"/>
                <w:color w:val="auto"/>
                <w:sz w:val="24"/>
                <w:szCs w:val="24"/>
              </w:rPr>
              <w:t>昆明市寻甸回族彝族自治县倘甸镇白章村委会芭蕉树村108号</w:t>
            </w:r>
            <w:r>
              <w:rPr>
                <w:rFonts w:hint="eastAsia" w:ascii="宋体" w:hAnsi="宋体" w:eastAsia="宋体" w:cs="宋体"/>
                <w:color w:val="auto"/>
                <w:sz w:val="24"/>
                <w:szCs w:val="24"/>
                <w:lang w:eastAsia="zh-CN"/>
              </w:rPr>
              <w:t>。</w:t>
            </w:r>
            <w:r>
              <w:rPr>
                <w:rFonts w:hint="eastAsia"/>
                <w:b w:val="0"/>
                <w:bCs/>
                <w:color w:val="auto"/>
                <w:sz w:val="24"/>
                <w:lang w:val="en-US" w:eastAsia="zh-CN"/>
              </w:rPr>
              <w:t>项目租用原</w:t>
            </w:r>
            <w:r>
              <w:rPr>
                <w:rFonts w:hint="eastAsia" w:cs="Times New Roman"/>
                <w:color w:val="auto"/>
                <w:sz w:val="24"/>
                <w:szCs w:val="24"/>
                <w:lang w:eastAsia="zh-CN"/>
              </w:rPr>
              <w:t>寻甸骨伤科医院</w:t>
            </w:r>
            <w:r>
              <w:rPr>
                <w:rFonts w:hint="eastAsia" w:cs="Times New Roman"/>
                <w:color w:val="auto"/>
                <w:sz w:val="24"/>
                <w:szCs w:val="24"/>
                <w:lang w:val="en-US" w:eastAsia="zh-CN"/>
              </w:rPr>
              <w:t>场地，</w:t>
            </w:r>
            <w:r>
              <w:rPr>
                <w:rFonts w:hint="eastAsia" w:cs="Times New Roman"/>
                <w:b w:val="0"/>
                <w:bCs/>
                <w:color w:val="auto"/>
                <w:sz w:val="24"/>
                <w:szCs w:val="24"/>
                <w:vertAlign w:val="baseline"/>
                <w:lang w:val="en-US" w:eastAsia="zh-CN"/>
              </w:rPr>
              <w:t>在</w:t>
            </w:r>
            <w:r>
              <w:rPr>
                <w:rFonts w:hint="eastAsia" w:cs="Times New Roman"/>
                <w:b w:val="0"/>
                <w:bCs/>
                <w:color w:val="auto"/>
                <w:sz w:val="24"/>
                <w:szCs w:val="24"/>
                <w:lang w:val="en-US" w:eastAsia="zh-CN"/>
              </w:rPr>
              <w:t>已有建筑基础上进行简单装修后投入运营。</w:t>
            </w:r>
            <w:r>
              <w:rPr>
                <w:rFonts w:hint="eastAsia"/>
                <w:b w:val="0"/>
                <w:bCs/>
                <w:color w:val="auto"/>
                <w:sz w:val="24"/>
              </w:rPr>
              <w:t>总住房</w:t>
            </w:r>
            <w:r>
              <w:rPr>
                <w:rFonts w:hint="eastAsia"/>
                <w:b w:val="0"/>
                <w:bCs/>
                <w:color w:val="auto"/>
                <w:sz w:val="24"/>
                <w:lang w:val="en-US" w:eastAsia="zh-CN"/>
              </w:rPr>
              <w:t>建筑</w:t>
            </w:r>
            <w:r>
              <w:rPr>
                <w:rFonts w:hint="eastAsia"/>
                <w:b w:val="0"/>
                <w:bCs/>
                <w:color w:val="auto"/>
                <w:sz w:val="24"/>
              </w:rPr>
              <w:t>面积1229.96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，生活场地</w:t>
            </w:r>
            <w:r>
              <w:rPr>
                <w:rFonts w:hint="eastAsia"/>
                <w:b w:val="0"/>
                <w:bCs/>
                <w:color w:val="auto"/>
                <w:sz w:val="24"/>
                <w:lang w:eastAsia="zh-CN"/>
              </w:rPr>
              <w:t>占</w:t>
            </w:r>
            <w:r>
              <w:rPr>
                <w:rFonts w:hint="eastAsia"/>
                <w:b w:val="0"/>
                <w:bCs/>
                <w:color w:val="auto"/>
                <w:sz w:val="24"/>
                <w:lang w:val="en-US" w:eastAsia="zh-CN"/>
              </w:rPr>
              <w:t>地</w:t>
            </w:r>
            <w:r>
              <w:rPr>
                <w:rFonts w:hint="eastAsia"/>
                <w:b w:val="0"/>
                <w:bCs/>
                <w:color w:val="auto"/>
                <w:sz w:val="24"/>
              </w:rPr>
              <w:t>300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，活动场地</w:t>
            </w:r>
            <w:r>
              <w:rPr>
                <w:rFonts w:hint="eastAsia"/>
                <w:b w:val="0"/>
                <w:bCs/>
                <w:color w:val="auto"/>
                <w:sz w:val="24"/>
                <w:lang w:val="en-US" w:eastAsia="zh-CN"/>
              </w:rPr>
              <w:t>占地面积</w:t>
            </w:r>
            <w:r>
              <w:rPr>
                <w:rFonts w:hint="eastAsia"/>
                <w:b w:val="0"/>
                <w:bCs/>
                <w:color w:val="auto"/>
                <w:sz w:val="24"/>
              </w:rPr>
              <w:t>1500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cs="Times New Roman"/>
                <w:b w:val="0"/>
                <w:bCs/>
                <w:color w:val="auto"/>
                <w:sz w:val="24"/>
                <w:szCs w:val="24"/>
                <w:vertAlign w:val="baseline"/>
                <w:lang w:val="en-US" w:eastAsia="zh-CN"/>
              </w:rPr>
              <w:t>。项目拟设置总床位108张，床位由原69张扩建至108张床位并配套相应的污水处理设施。总投资200万元。</w:t>
            </w:r>
          </w:p>
          <w:p w14:paraId="32625E18">
            <w:pPr>
              <w:pStyle w:val="13"/>
              <w:spacing w:line="360" w:lineRule="auto"/>
              <w:ind w:firstLine="480" w:firstLineChars="200"/>
              <w:rPr>
                <w:rFonts w:hint="default" w:eastAsia="宋体"/>
                <w:color w:val="auto"/>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根据《中华人民共和国环境影响评价法》《建设项目环境保护管理条例》的要求，对照《建设项目环境影响评价分类管理名录（2021年版）》，本项目属于四十九、卫生84专科疾病防治院（所、站）84</w:t>
            </w:r>
            <w:r>
              <w:rPr>
                <w:rFonts w:hint="eastAsia" w:ascii="Times New Roman" w:hAnsi="Times New Roman" w:eastAsia="宋体" w:cs="Times New Roman"/>
                <w:b w:val="0"/>
                <w:bCs w:val="0"/>
                <w:color w:val="auto"/>
                <w:sz w:val="24"/>
                <w:szCs w:val="24"/>
                <w:lang w:val="en-US" w:eastAsia="zh-CN"/>
              </w:rPr>
              <w:t>32</w:t>
            </w:r>
            <w:r>
              <w:rPr>
                <w:rFonts w:hint="default" w:ascii="Times New Roman" w:hAnsi="Times New Roman" w:eastAsia="宋体" w:cs="Times New Roman"/>
                <w:b w:val="0"/>
                <w:bCs w:val="0"/>
                <w:color w:val="auto"/>
                <w:sz w:val="24"/>
                <w:szCs w:val="24"/>
                <w:lang w:val="en-US" w:eastAsia="zh-CN"/>
              </w:rPr>
              <w:t>－其他（住院床位20张以下的除外）</w:t>
            </w:r>
            <w:r>
              <w:rPr>
                <w:rFonts w:hint="eastAsia" w:ascii="宋体" w:hAnsi="宋体"/>
                <w:color w:val="auto"/>
                <w:sz w:val="24"/>
                <w:szCs w:val="24"/>
                <w:lang w:val="en-US" w:eastAsia="zh-CN"/>
              </w:rPr>
              <w:t>故本项目应编制环境影响报告表。为此，</w:t>
            </w:r>
            <w:r>
              <w:rPr>
                <w:rFonts w:hint="eastAsia" w:ascii="Times New Roman" w:hAnsi="Times New Roman" w:cs="Times New Roman"/>
                <w:color w:val="auto"/>
                <w:sz w:val="24"/>
                <w:szCs w:val="24"/>
                <w:lang w:val="en-US" w:eastAsia="zh-CN"/>
              </w:rPr>
              <w:t>昆明长青慈宁精神病医院有限公司</w:t>
            </w:r>
            <w:r>
              <w:rPr>
                <w:rFonts w:hint="eastAsia" w:ascii="宋体" w:hAnsi="宋体"/>
                <w:color w:val="auto"/>
                <w:sz w:val="24"/>
                <w:szCs w:val="24"/>
                <w:lang w:val="en-US" w:eastAsia="zh-CN"/>
              </w:rPr>
              <w:t>特委托我公司进行该项目的环境影响评价工作。我单位接受委托后，立即组织技术人员进行现场调查、收集相关资料，依照《中华人民共和国环境保护法》、《中华人民共和国环境影响评价法》、《建设项目环境保护管理条例》和《云南省建设项目环境保护管理规定》等相关法律法规，编制完成了本报告表，供建设单位上报审批。</w:t>
            </w:r>
          </w:p>
          <w:p w14:paraId="2B172F95">
            <w:pPr>
              <w:widowControl/>
              <w:spacing w:line="360" w:lineRule="auto"/>
              <w:ind w:firstLine="482" w:firstLineChars="200"/>
              <w:rPr>
                <w:rFonts w:hint="default" w:eastAsia="宋体"/>
                <w:b/>
                <w:color w:val="auto"/>
                <w:sz w:val="24"/>
                <w:lang w:val="en-US" w:eastAsia="zh-CN"/>
              </w:rPr>
            </w:pPr>
            <w:r>
              <w:rPr>
                <w:rFonts w:hint="eastAsia"/>
                <w:b/>
                <w:color w:val="auto"/>
                <w:sz w:val="24"/>
                <w:lang w:val="en-US" w:eastAsia="zh-CN"/>
              </w:rPr>
              <w:t>1、建设内容</w:t>
            </w:r>
          </w:p>
          <w:p w14:paraId="62E40337">
            <w:pPr>
              <w:widowControl/>
              <w:spacing w:line="360" w:lineRule="auto"/>
              <w:ind w:firstLine="482" w:firstLineChars="200"/>
              <w:rPr>
                <w:b/>
                <w:color w:val="auto"/>
                <w:sz w:val="24"/>
              </w:rPr>
            </w:pPr>
            <w:r>
              <w:rPr>
                <w:b/>
                <w:color w:val="auto"/>
                <w:sz w:val="24"/>
              </w:rPr>
              <w:t>项目名称：</w:t>
            </w:r>
            <w:r>
              <w:rPr>
                <w:rFonts w:hint="default" w:ascii="Times New Roman" w:hAnsi="Times New Roman" w:cs="Times New Roman"/>
                <w:color w:val="auto"/>
                <w:sz w:val="24"/>
                <w:szCs w:val="24"/>
              </w:rPr>
              <w:t>昆明</w:t>
            </w:r>
            <w:r>
              <w:rPr>
                <w:rFonts w:hint="eastAsia" w:cs="Times New Roman"/>
                <w:color w:val="auto"/>
                <w:sz w:val="24"/>
                <w:szCs w:val="24"/>
                <w:lang w:val="en-US" w:eastAsia="zh-CN"/>
              </w:rPr>
              <w:t>长青慈宁精神病医院迁建项目</w:t>
            </w:r>
          </w:p>
          <w:p w14:paraId="5298DE74">
            <w:pPr>
              <w:widowControl/>
              <w:spacing w:line="360" w:lineRule="auto"/>
              <w:ind w:firstLine="482" w:firstLineChars="200"/>
              <w:rPr>
                <w:rFonts w:hint="default"/>
                <w:b w:val="0"/>
                <w:bCs/>
                <w:color w:val="auto"/>
                <w:sz w:val="24"/>
                <w:lang w:val="en-US"/>
              </w:rPr>
            </w:pPr>
            <w:r>
              <w:rPr>
                <w:b/>
                <w:color w:val="auto"/>
                <w:sz w:val="24"/>
              </w:rPr>
              <w:t>建设单位：</w:t>
            </w:r>
            <w:r>
              <w:rPr>
                <w:rFonts w:hint="eastAsia"/>
                <w:b w:val="0"/>
                <w:bCs/>
                <w:color w:val="auto"/>
                <w:sz w:val="24"/>
                <w:lang w:val="en-US" w:eastAsia="zh-CN"/>
              </w:rPr>
              <w:t>昆明长青慈宁精神病医院有限公司</w:t>
            </w:r>
          </w:p>
          <w:p w14:paraId="47FBD954">
            <w:pPr>
              <w:widowControl/>
              <w:spacing w:line="360" w:lineRule="auto"/>
              <w:ind w:firstLine="482" w:firstLineChars="200"/>
              <w:rPr>
                <w:rFonts w:hint="default" w:eastAsia="宋体"/>
                <w:color w:val="auto"/>
                <w:sz w:val="24"/>
                <w:lang w:val="en-US" w:eastAsia="zh-CN"/>
              </w:rPr>
            </w:pPr>
            <w:r>
              <w:rPr>
                <w:b/>
                <w:color w:val="auto"/>
                <w:sz w:val="24"/>
              </w:rPr>
              <w:t>建设地点：</w:t>
            </w:r>
            <w:r>
              <w:rPr>
                <w:rFonts w:hint="eastAsia" w:ascii="宋体" w:hAnsi="宋体" w:eastAsia="宋体" w:cs="宋体"/>
                <w:color w:val="auto"/>
                <w:sz w:val="24"/>
                <w:szCs w:val="24"/>
              </w:rPr>
              <w:t>云南省昆明市寻甸回族彝族自治县倘甸镇白章村委会芭蕉树村108号</w:t>
            </w:r>
          </w:p>
          <w:p w14:paraId="417B53F9">
            <w:pPr>
              <w:widowControl/>
              <w:spacing w:line="360" w:lineRule="auto"/>
              <w:ind w:firstLine="482" w:firstLineChars="200"/>
              <w:rPr>
                <w:rFonts w:hint="eastAsia" w:eastAsia="宋体"/>
                <w:bCs/>
                <w:color w:val="auto"/>
                <w:sz w:val="24"/>
                <w:lang w:val="en-US" w:eastAsia="zh-CN"/>
              </w:rPr>
            </w:pPr>
            <w:r>
              <w:rPr>
                <w:b/>
                <w:color w:val="auto"/>
                <w:sz w:val="24"/>
              </w:rPr>
              <w:t>建设性质：</w:t>
            </w:r>
            <w:r>
              <w:rPr>
                <w:rFonts w:hint="eastAsia"/>
                <w:b w:val="0"/>
                <w:bCs/>
                <w:color w:val="auto"/>
                <w:sz w:val="24"/>
                <w:lang w:val="en-US" w:eastAsia="zh-CN"/>
              </w:rPr>
              <w:t>新建（搬迁）</w:t>
            </w:r>
          </w:p>
          <w:p w14:paraId="3255DAF0">
            <w:pPr>
              <w:widowControl/>
              <w:spacing w:line="360" w:lineRule="auto"/>
              <w:ind w:firstLine="482" w:firstLineChars="200"/>
              <w:rPr>
                <w:rFonts w:hint="default" w:ascii="Times New Roman" w:hAnsi="Times New Roman" w:cs="Times New Roman"/>
                <w:color w:val="auto"/>
                <w:sz w:val="24"/>
                <w:szCs w:val="24"/>
                <w:vertAlign w:val="baseline"/>
                <w:lang w:val="en-US" w:eastAsia="zh-CN"/>
              </w:rPr>
            </w:pPr>
            <w:r>
              <w:rPr>
                <w:b/>
                <w:color w:val="auto"/>
                <w:sz w:val="24"/>
              </w:rPr>
              <w:t>占地面积：</w:t>
            </w:r>
            <w:r>
              <w:rPr>
                <w:rFonts w:hint="default" w:ascii="Times New Roman" w:hAnsi="Times New Roman" w:cs="Times New Roman"/>
                <w:color w:val="auto"/>
                <w:sz w:val="24"/>
                <w:szCs w:val="24"/>
                <w:lang w:val="en-US" w:eastAsia="zh-CN"/>
              </w:rPr>
              <w:t>3029.96m</w:t>
            </w:r>
            <w:r>
              <w:rPr>
                <w:rFonts w:hint="default" w:ascii="Times New Roman" w:hAnsi="Times New Roman" w:cs="Times New Roman"/>
                <w:color w:val="auto"/>
                <w:sz w:val="24"/>
                <w:szCs w:val="24"/>
                <w:vertAlign w:val="superscript"/>
                <w:lang w:val="en-US" w:eastAsia="zh-CN"/>
              </w:rPr>
              <w:t>2</w:t>
            </w:r>
          </w:p>
          <w:p w14:paraId="6EC03246">
            <w:pPr>
              <w:spacing w:line="360" w:lineRule="auto"/>
              <w:ind w:firstLine="482" w:firstLineChars="200"/>
              <w:rPr>
                <w:rFonts w:hint="default"/>
                <w:color w:val="auto"/>
                <w:sz w:val="24"/>
                <w:lang w:val="en-US"/>
              </w:rPr>
            </w:pPr>
            <w:r>
              <w:rPr>
                <w:b/>
                <w:color w:val="auto"/>
                <w:sz w:val="24"/>
              </w:rPr>
              <w:t>建设内容及规模</w:t>
            </w:r>
            <w:r>
              <w:rPr>
                <w:rFonts w:hint="eastAsia"/>
                <w:b/>
                <w:color w:val="auto"/>
                <w:sz w:val="24"/>
              </w:rPr>
              <w:t>：</w:t>
            </w:r>
            <w:r>
              <w:rPr>
                <w:rFonts w:hint="eastAsia"/>
                <w:b w:val="0"/>
                <w:bCs/>
                <w:color w:val="auto"/>
                <w:sz w:val="24"/>
                <w:lang w:val="en-US" w:eastAsia="zh-CN"/>
              </w:rPr>
              <w:t>项目租用原</w:t>
            </w:r>
            <w:r>
              <w:rPr>
                <w:rFonts w:hint="eastAsia" w:cs="Times New Roman"/>
                <w:color w:val="auto"/>
                <w:sz w:val="24"/>
                <w:szCs w:val="24"/>
                <w:lang w:eastAsia="zh-CN"/>
              </w:rPr>
              <w:t>寻甸骨伤科医院</w:t>
            </w:r>
            <w:r>
              <w:rPr>
                <w:rFonts w:hint="eastAsia" w:cs="Times New Roman"/>
                <w:color w:val="auto"/>
                <w:sz w:val="24"/>
                <w:szCs w:val="24"/>
                <w:lang w:val="en-US" w:eastAsia="zh-CN"/>
              </w:rPr>
              <w:t>场地，</w:t>
            </w:r>
            <w:r>
              <w:rPr>
                <w:rFonts w:hint="eastAsia" w:cs="Times New Roman"/>
                <w:b w:val="0"/>
                <w:bCs/>
                <w:color w:val="auto"/>
                <w:sz w:val="24"/>
                <w:szCs w:val="24"/>
                <w:vertAlign w:val="baseline"/>
                <w:lang w:val="en-US" w:eastAsia="zh-CN"/>
              </w:rPr>
              <w:t>在</w:t>
            </w:r>
            <w:r>
              <w:rPr>
                <w:rFonts w:hint="eastAsia" w:cs="Times New Roman"/>
                <w:b w:val="0"/>
                <w:bCs/>
                <w:color w:val="auto"/>
                <w:sz w:val="24"/>
                <w:szCs w:val="24"/>
                <w:lang w:val="en-US" w:eastAsia="zh-CN"/>
              </w:rPr>
              <w:t>已有建筑基础上进行简单装修后投入运营。</w:t>
            </w:r>
            <w:r>
              <w:rPr>
                <w:rFonts w:hint="eastAsia"/>
                <w:b w:val="0"/>
                <w:bCs/>
                <w:color w:val="auto"/>
                <w:sz w:val="24"/>
              </w:rPr>
              <w:t>总住房</w:t>
            </w:r>
            <w:r>
              <w:rPr>
                <w:rFonts w:hint="eastAsia"/>
                <w:b w:val="0"/>
                <w:bCs/>
                <w:color w:val="auto"/>
                <w:sz w:val="24"/>
                <w:lang w:val="en-US" w:eastAsia="zh-CN"/>
              </w:rPr>
              <w:t>建筑</w:t>
            </w:r>
            <w:r>
              <w:rPr>
                <w:rFonts w:hint="eastAsia"/>
                <w:b w:val="0"/>
                <w:bCs/>
                <w:color w:val="auto"/>
                <w:sz w:val="24"/>
              </w:rPr>
              <w:t>面积1229.96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，生活场地</w:t>
            </w:r>
            <w:r>
              <w:rPr>
                <w:rFonts w:hint="eastAsia"/>
                <w:b w:val="0"/>
                <w:bCs/>
                <w:color w:val="auto"/>
                <w:sz w:val="24"/>
                <w:lang w:val="en-US" w:eastAsia="zh-CN"/>
              </w:rPr>
              <w:t>站地</w:t>
            </w:r>
            <w:r>
              <w:rPr>
                <w:rFonts w:hint="eastAsia"/>
                <w:b w:val="0"/>
                <w:bCs/>
                <w:color w:val="auto"/>
                <w:sz w:val="24"/>
              </w:rPr>
              <w:t>300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，活动场地</w:t>
            </w:r>
            <w:r>
              <w:rPr>
                <w:rFonts w:hint="eastAsia"/>
                <w:b w:val="0"/>
                <w:bCs/>
                <w:color w:val="auto"/>
                <w:sz w:val="24"/>
                <w:lang w:val="en-US" w:eastAsia="zh-CN"/>
              </w:rPr>
              <w:t>占地面积</w:t>
            </w:r>
            <w:r>
              <w:rPr>
                <w:rFonts w:hint="eastAsia"/>
                <w:b w:val="0"/>
                <w:bCs/>
                <w:color w:val="auto"/>
                <w:sz w:val="24"/>
              </w:rPr>
              <w:t>1500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cs="Times New Roman"/>
                <w:b w:val="0"/>
                <w:bCs/>
                <w:color w:val="auto"/>
                <w:sz w:val="24"/>
                <w:szCs w:val="24"/>
                <w:vertAlign w:val="baseline"/>
                <w:lang w:val="en-US" w:eastAsia="zh-CN"/>
              </w:rPr>
              <w:t>。项目拟设置总床位108张，床位由原69张扩建至108张床位并配套相应的污水处理设施。项目</w:t>
            </w:r>
            <w:r>
              <w:rPr>
                <w:rFonts w:hint="eastAsia"/>
                <w:color w:val="auto"/>
                <w:sz w:val="24"/>
                <w:szCs w:val="24"/>
                <w:lang w:val="en-US" w:eastAsia="zh-CN"/>
              </w:rPr>
              <w:t>主要开设</w:t>
            </w:r>
            <w:r>
              <w:rPr>
                <w:rFonts w:hint="eastAsia" w:cs="Times New Roman"/>
                <w:b w:val="0"/>
                <w:bCs/>
                <w:color w:val="auto"/>
                <w:sz w:val="24"/>
                <w:szCs w:val="24"/>
                <w:lang w:val="en-US" w:eastAsia="zh-CN"/>
              </w:rPr>
              <w:t>内科、预防保健科、精神科、医学检验科</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原项目不涉及CT机等辐射性设备。检验室主要用于简单的血样、尿样等仪器分析，不涉及使用化学药剂。</w:t>
            </w:r>
            <w:r>
              <w:rPr>
                <w:rFonts w:hint="eastAsia" w:cs="Times New Roman"/>
                <w:b w:val="0"/>
                <w:bCs/>
                <w:color w:val="auto"/>
                <w:sz w:val="24"/>
                <w:szCs w:val="24"/>
                <w:vertAlign w:val="baseline"/>
                <w:lang w:val="en-US" w:eastAsia="zh-CN"/>
              </w:rPr>
              <w:t>总投资200万元。</w:t>
            </w:r>
          </w:p>
          <w:p w14:paraId="1D551893">
            <w:pPr>
              <w:spacing w:line="360" w:lineRule="auto"/>
              <w:rPr>
                <w:rFonts w:hint="eastAsia"/>
                <w:color w:val="auto"/>
                <w:sz w:val="24"/>
                <w:szCs w:val="24"/>
                <w:lang w:val="en-US" w:eastAsia="zh-CN"/>
              </w:rPr>
            </w:pPr>
            <w:r>
              <w:rPr>
                <w:rFonts w:hint="eastAsia"/>
                <w:color w:val="auto"/>
                <w:sz w:val="24"/>
                <w:szCs w:val="24"/>
                <w:lang w:val="en-US" w:eastAsia="zh-CN"/>
              </w:rPr>
              <w:t>主要建设内容如下表所示：</w:t>
            </w:r>
          </w:p>
          <w:p w14:paraId="093647FD">
            <w:pPr>
              <w:pStyle w:val="13"/>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表2-1主要建设内容一览表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73"/>
              <w:gridCol w:w="163"/>
              <w:gridCol w:w="758"/>
              <w:gridCol w:w="5527"/>
              <w:gridCol w:w="712"/>
            </w:tblGrid>
            <w:tr w14:paraId="6156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gridSpan w:val="4"/>
                  <w:vAlign w:val="center"/>
                </w:tcPr>
                <w:p w14:paraId="58DB8BC0">
                  <w:pPr>
                    <w:pStyle w:val="13"/>
                    <w:spacing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工程类别</w:t>
                  </w:r>
                </w:p>
              </w:tc>
              <w:tc>
                <w:tcPr>
                  <w:tcW w:w="3322" w:type="pct"/>
                  <w:vAlign w:val="center"/>
                </w:tcPr>
                <w:p w14:paraId="7F3907A6">
                  <w:pPr>
                    <w:pStyle w:val="13"/>
                    <w:spacing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val="en-US" w:eastAsia="zh-CN"/>
                    </w:rPr>
                    <w:t>建设内容</w:t>
                  </w:r>
                </w:p>
              </w:tc>
              <w:tc>
                <w:tcPr>
                  <w:tcW w:w="428" w:type="pct"/>
                  <w:vAlign w:val="center"/>
                </w:tcPr>
                <w:p w14:paraId="21FB7F96">
                  <w:pPr>
                    <w:pStyle w:val="13"/>
                    <w:spacing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14:paraId="54CD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14:paraId="3BB10751">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主体工程</w:t>
                  </w:r>
                </w:p>
              </w:tc>
              <w:tc>
                <w:tcPr>
                  <w:tcW w:w="322" w:type="pct"/>
                  <w:gridSpan w:val="2"/>
                  <w:vMerge w:val="restart"/>
                  <w:vAlign w:val="center"/>
                </w:tcPr>
                <w:p w14:paraId="79E37A18">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综合楼</w:t>
                  </w:r>
                </w:p>
              </w:tc>
              <w:tc>
                <w:tcPr>
                  <w:tcW w:w="455" w:type="pct"/>
                  <w:vAlign w:val="center"/>
                </w:tcPr>
                <w:p w14:paraId="54DB571A">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1层</w:t>
                  </w:r>
                </w:p>
              </w:tc>
              <w:tc>
                <w:tcPr>
                  <w:tcW w:w="3322" w:type="pct"/>
                  <w:vAlign w:val="center"/>
                </w:tcPr>
                <w:p w14:paraId="30F527EC">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拟设置门诊室、接待室、药房、心电图室、治疗室、</w:t>
                  </w:r>
                  <w:r>
                    <w:rPr>
                      <w:rFonts w:hint="eastAsia" w:ascii="Times New Roman" w:hAnsi="Times New Roman" w:cs="Times New Roman"/>
                      <w:color w:val="auto"/>
                      <w:sz w:val="21"/>
                      <w:szCs w:val="21"/>
                      <w:vertAlign w:val="baseline"/>
                      <w:lang w:val="en-US" w:eastAsia="zh-CN"/>
                    </w:rPr>
                    <w:t>检验</w:t>
                  </w:r>
                  <w:r>
                    <w:rPr>
                      <w:rFonts w:hint="default" w:ascii="Times New Roman" w:hAnsi="Times New Roman" w:eastAsia="宋体" w:cs="Times New Roman"/>
                      <w:color w:val="auto"/>
                      <w:sz w:val="21"/>
                      <w:szCs w:val="21"/>
                      <w:vertAlign w:val="baseline"/>
                      <w:lang w:val="en-US" w:eastAsia="zh-CN"/>
                    </w:rPr>
                    <w:t>室、医护更衣室、医护办公室、院长办公室、院办公室</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收费室、医废间。</w:t>
                  </w:r>
                </w:p>
              </w:tc>
              <w:tc>
                <w:tcPr>
                  <w:tcW w:w="428" w:type="pct"/>
                  <w:vAlign w:val="center"/>
                </w:tcPr>
                <w:p w14:paraId="5230DD45">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w:t>
                  </w:r>
                </w:p>
              </w:tc>
            </w:tr>
            <w:tr w14:paraId="1BB8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597529C8">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51B3E20A">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5" w:type="pct"/>
                  <w:vAlign w:val="center"/>
                </w:tcPr>
                <w:p w14:paraId="393114CD">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2层</w:t>
                  </w:r>
                </w:p>
              </w:tc>
              <w:tc>
                <w:tcPr>
                  <w:tcW w:w="3322" w:type="pct"/>
                  <w:vAlign w:val="center"/>
                </w:tcPr>
                <w:p w14:paraId="1F815F63">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拟设置值班室、男重症室1间、女重症室1间、女住院病房1-34床位</w:t>
                  </w:r>
                  <w:r>
                    <w:rPr>
                      <w:rFonts w:hint="eastAsia" w:ascii="Times New Roman" w:hAnsi="Times New Roman" w:eastAsia="宋体" w:cs="Times New Roman"/>
                      <w:color w:val="auto"/>
                      <w:sz w:val="21"/>
                      <w:szCs w:val="21"/>
                      <w:vertAlign w:val="baseline"/>
                      <w:lang w:val="en-US" w:eastAsia="zh-CN"/>
                    </w:rPr>
                    <w:t>。</w:t>
                  </w:r>
                </w:p>
              </w:tc>
              <w:tc>
                <w:tcPr>
                  <w:tcW w:w="428" w:type="pct"/>
                  <w:vAlign w:val="center"/>
                </w:tcPr>
                <w:p w14:paraId="079CF5DD">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73F7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79321F13">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3A435D2A">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5" w:type="pct"/>
                  <w:vAlign w:val="center"/>
                </w:tcPr>
                <w:p w14:paraId="4F7B513D">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3层</w:t>
                  </w:r>
                </w:p>
              </w:tc>
              <w:tc>
                <w:tcPr>
                  <w:tcW w:w="3322" w:type="pct"/>
                  <w:vAlign w:val="center"/>
                </w:tcPr>
                <w:p w14:paraId="1B2E247D">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拟设置值班室、男重症室1间、女重症室1间、男住院病房35-68床位</w:t>
                  </w:r>
                  <w:r>
                    <w:rPr>
                      <w:rFonts w:hint="eastAsia" w:ascii="Times New Roman" w:hAnsi="Times New Roman" w:eastAsia="宋体" w:cs="Times New Roman"/>
                      <w:color w:val="auto"/>
                      <w:sz w:val="21"/>
                      <w:szCs w:val="21"/>
                      <w:vertAlign w:val="baseline"/>
                      <w:lang w:val="en-US" w:eastAsia="zh-CN"/>
                    </w:rPr>
                    <w:t>。</w:t>
                  </w:r>
                </w:p>
              </w:tc>
              <w:tc>
                <w:tcPr>
                  <w:tcW w:w="428" w:type="pct"/>
                  <w:vAlign w:val="center"/>
                </w:tcPr>
                <w:p w14:paraId="16E99E28">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1F1C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2CC7EEBC">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0A20FD24">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5" w:type="pct"/>
                  <w:vAlign w:val="center"/>
                </w:tcPr>
                <w:p w14:paraId="7896FDBF">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4层</w:t>
                  </w:r>
                </w:p>
              </w:tc>
              <w:tc>
                <w:tcPr>
                  <w:tcW w:w="3322" w:type="pct"/>
                  <w:vAlign w:val="center"/>
                </w:tcPr>
                <w:p w14:paraId="2A06C7FD">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拟设置值班室、男重症室1间、女重症室1间、男住院病房69-10</w:t>
                  </w:r>
                  <w:r>
                    <w:rPr>
                      <w:rFonts w:hint="eastAsia" w:ascii="Times New Roman" w:hAnsi="Times New Roman" w:cs="Times New Roman"/>
                      <w:color w:val="auto"/>
                      <w:sz w:val="21"/>
                      <w:szCs w:val="21"/>
                      <w:vertAlign w:val="baseline"/>
                      <w:lang w:val="en-US" w:eastAsia="zh-CN"/>
                    </w:rPr>
                    <w:t>8</w:t>
                  </w:r>
                  <w:r>
                    <w:rPr>
                      <w:rFonts w:hint="default" w:ascii="Times New Roman" w:hAnsi="Times New Roman" w:eastAsia="宋体" w:cs="Times New Roman"/>
                      <w:color w:val="auto"/>
                      <w:sz w:val="21"/>
                      <w:szCs w:val="21"/>
                      <w:vertAlign w:val="baseline"/>
                      <w:lang w:val="en-US" w:eastAsia="zh-CN"/>
                    </w:rPr>
                    <w:t>床位。</w:t>
                  </w:r>
                </w:p>
              </w:tc>
              <w:tc>
                <w:tcPr>
                  <w:tcW w:w="428" w:type="pct"/>
                  <w:vAlign w:val="center"/>
                </w:tcPr>
                <w:p w14:paraId="37BFCCC3">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6FAE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3F471180">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11E17983">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5" w:type="pct"/>
                  <w:vAlign w:val="center"/>
                </w:tcPr>
                <w:p w14:paraId="6783B90B">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5层</w:t>
                  </w:r>
                </w:p>
              </w:tc>
              <w:tc>
                <w:tcPr>
                  <w:tcW w:w="3322" w:type="pct"/>
                  <w:vAlign w:val="center"/>
                </w:tcPr>
                <w:p w14:paraId="57BF4647">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职工宿舍、会议室、档案室、公共卫生间。</w:t>
                  </w:r>
                </w:p>
              </w:tc>
              <w:tc>
                <w:tcPr>
                  <w:tcW w:w="428" w:type="pct"/>
                  <w:vAlign w:val="center"/>
                </w:tcPr>
                <w:p w14:paraId="7CBF6FD1">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125A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14:paraId="0ACAC613">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辅助工程</w:t>
                  </w:r>
                </w:p>
              </w:tc>
              <w:tc>
                <w:tcPr>
                  <w:tcW w:w="777" w:type="pct"/>
                  <w:gridSpan w:val="3"/>
                  <w:vAlign w:val="center"/>
                </w:tcPr>
                <w:p w14:paraId="2AD34989">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食堂</w:t>
                  </w:r>
                </w:p>
              </w:tc>
              <w:tc>
                <w:tcPr>
                  <w:tcW w:w="3322" w:type="pct"/>
                  <w:vAlign w:val="center"/>
                </w:tcPr>
                <w:p w14:paraId="23FF3D01">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lang w:val="en-US" w:eastAsia="zh-CN"/>
                    </w:rPr>
                    <w:t>食堂</w:t>
                  </w:r>
                  <w:r>
                    <w:rPr>
                      <w:rFonts w:hint="default" w:ascii="Times New Roman" w:hAnsi="Times New Roman" w:eastAsia="宋体" w:cs="Times New Roman"/>
                      <w:color w:val="auto"/>
                      <w:sz w:val="21"/>
                      <w:szCs w:val="21"/>
                      <w:lang w:val="en-US" w:eastAsia="zh-CN"/>
                    </w:rPr>
                    <w:t>位于综合楼</w:t>
                  </w:r>
                  <w:r>
                    <w:rPr>
                      <w:rFonts w:hint="eastAsia" w:ascii="Times New Roman" w:hAnsi="Times New Roman" w:cs="Times New Roman"/>
                      <w:color w:val="auto"/>
                      <w:sz w:val="21"/>
                      <w:szCs w:val="21"/>
                      <w:lang w:val="en-US" w:eastAsia="zh-CN"/>
                    </w:rPr>
                    <w:t>东</w:t>
                  </w:r>
                  <w:r>
                    <w:rPr>
                      <w:rFonts w:hint="default" w:ascii="Times New Roman" w:hAnsi="Times New Roman" w:eastAsia="宋体" w:cs="Times New Roman"/>
                      <w:color w:val="auto"/>
                      <w:sz w:val="21"/>
                      <w:szCs w:val="21"/>
                      <w:lang w:val="en-US" w:eastAsia="zh-CN"/>
                    </w:rPr>
                    <w:t>北侧</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建筑面积为118m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主要</w:t>
                  </w:r>
                  <w:r>
                    <w:rPr>
                      <w:rFonts w:hint="default" w:ascii="Times New Roman" w:hAnsi="Times New Roman" w:eastAsia="宋体" w:cs="Times New Roman"/>
                      <w:color w:val="auto"/>
                      <w:sz w:val="21"/>
                      <w:szCs w:val="21"/>
                      <w:lang w:val="en-US" w:eastAsia="zh-CN"/>
                    </w:rPr>
                    <w:t>为职工、患者及患者家属提供</w:t>
                  </w:r>
                  <w:r>
                    <w:rPr>
                      <w:rFonts w:hint="eastAsia" w:ascii="Times New Roman" w:hAnsi="Times New Roman" w:cs="Times New Roman"/>
                      <w:color w:val="auto"/>
                      <w:sz w:val="21"/>
                      <w:szCs w:val="21"/>
                      <w:lang w:val="en-US" w:eastAsia="zh-CN"/>
                    </w:rPr>
                    <w:t>用餐</w:t>
                  </w:r>
                  <w:r>
                    <w:rPr>
                      <w:rFonts w:hint="default" w:ascii="Times New Roman" w:hAnsi="Times New Roman" w:eastAsia="宋体" w:cs="Times New Roman"/>
                      <w:color w:val="auto"/>
                      <w:sz w:val="21"/>
                      <w:szCs w:val="21"/>
                      <w:lang w:val="en-US" w:eastAsia="zh-CN"/>
                    </w:rPr>
                    <w:t>服务。</w:t>
                  </w:r>
                </w:p>
              </w:tc>
              <w:tc>
                <w:tcPr>
                  <w:tcW w:w="428" w:type="pct"/>
                  <w:vAlign w:val="center"/>
                </w:tcPr>
                <w:p w14:paraId="25C13268">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388B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4492C20B">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7" w:type="pct"/>
                  <w:gridSpan w:val="3"/>
                  <w:vAlign w:val="center"/>
                </w:tcPr>
                <w:p w14:paraId="2886B281">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厕所</w:t>
                  </w:r>
                </w:p>
              </w:tc>
              <w:tc>
                <w:tcPr>
                  <w:tcW w:w="3322" w:type="pct"/>
                  <w:vAlign w:val="center"/>
                </w:tcPr>
                <w:p w14:paraId="6A9DECFB">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位于项目区最北侧，砖混结构</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占地</w:t>
                  </w:r>
                  <w:r>
                    <w:rPr>
                      <w:rFonts w:hint="eastAsia"/>
                      <w:color w:val="auto"/>
                      <w:lang w:val="en-US" w:eastAsia="zh-CN"/>
                    </w:rPr>
                    <w:t>面积</w:t>
                  </w:r>
                  <w:r>
                    <w:rPr>
                      <w:rFonts w:hint="default" w:ascii="Times New Roman" w:hAnsi="Times New Roman" w:eastAsia="宋体" w:cs="Times New Roman"/>
                      <w:color w:val="auto"/>
                      <w:sz w:val="21"/>
                      <w:szCs w:val="21"/>
                      <w:vertAlign w:val="baseline"/>
                      <w:lang w:val="en-US" w:eastAsia="zh-CN"/>
                    </w:rPr>
                    <w:t>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p>
              </w:tc>
              <w:tc>
                <w:tcPr>
                  <w:tcW w:w="428" w:type="pct"/>
                  <w:vAlign w:val="center"/>
                </w:tcPr>
                <w:p w14:paraId="51252191">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2CA2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602CE0D5">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7" w:type="pct"/>
                  <w:gridSpan w:val="3"/>
                  <w:vAlign w:val="center"/>
                </w:tcPr>
                <w:p w14:paraId="71D26634">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淋浴间</w:t>
                  </w:r>
                </w:p>
              </w:tc>
              <w:tc>
                <w:tcPr>
                  <w:tcW w:w="3322" w:type="pct"/>
                  <w:vAlign w:val="center"/>
                </w:tcPr>
                <w:p w14:paraId="04BEA3B3">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位于项目区东北侧，砖混结构</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占地</w:t>
                  </w:r>
                  <w:r>
                    <w:rPr>
                      <w:rFonts w:hint="eastAsia"/>
                      <w:color w:val="auto"/>
                      <w:lang w:val="en-US" w:eastAsia="zh-CN"/>
                    </w:rPr>
                    <w:t>面积</w:t>
                  </w:r>
                  <w:r>
                    <w:rPr>
                      <w:rFonts w:hint="default" w:ascii="Times New Roman" w:hAnsi="Times New Roman" w:eastAsia="宋体" w:cs="Times New Roman"/>
                      <w:color w:val="auto"/>
                      <w:sz w:val="21"/>
                      <w:szCs w:val="21"/>
                      <w:vertAlign w:val="baseline"/>
                      <w:lang w:val="en-US" w:eastAsia="zh-CN"/>
                    </w:rPr>
                    <w:t>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，楼顶设晾衣区。</w:t>
                  </w:r>
                </w:p>
              </w:tc>
              <w:tc>
                <w:tcPr>
                  <w:tcW w:w="428" w:type="pct"/>
                  <w:vAlign w:val="center"/>
                </w:tcPr>
                <w:p w14:paraId="631F8AE1">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5AA8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2EBAC76F">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7" w:type="pct"/>
                  <w:gridSpan w:val="3"/>
                  <w:vAlign w:val="center"/>
                </w:tcPr>
                <w:p w14:paraId="6FC9CCF4">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洗衣间</w:t>
                  </w:r>
                </w:p>
              </w:tc>
              <w:tc>
                <w:tcPr>
                  <w:tcW w:w="3322" w:type="pct"/>
                  <w:vAlign w:val="center"/>
                </w:tcPr>
                <w:p w14:paraId="0D95AC8D">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位于项目区东北侧，砖混结构</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占地</w:t>
                  </w:r>
                  <w:r>
                    <w:rPr>
                      <w:rFonts w:hint="eastAsia"/>
                      <w:color w:val="auto"/>
                      <w:lang w:val="en-US" w:eastAsia="zh-CN"/>
                    </w:rPr>
                    <w:t>面积</w:t>
                  </w:r>
                  <w:r>
                    <w:rPr>
                      <w:rFonts w:hint="default" w:ascii="Times New Roman" w:hAnsi="Times New Roman" w:eastAsia="宋体" w:cs="Times New Roman"/>
                      <w:color w:val="auto"/>
                      <w:sz w:val="21"/>
                      <w:szCs w:val="21"/>
                      <w:vertAlign w:val="baseline"/>
                      <w:lang w:val="en-US" w:eastAsia="zh-CN"/>
                    </w:rPr>
                    <w:t>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楼顶设晾衣区。</w:t>
                  </w:r>
                </w:p>
              </w:tc>
              <w:tc>
                <w:tcPr>
                  <w:tcW w:w="428" w:type="pct"/>
                  <w:vAlign w:val="center"/>
                </w:tcPr>
                <w:p w14:paraId="3050431A">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44C8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561ABB9A">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7" w:type="pct"/>
                  <w:gridSpan w:val="3"/>
                  <w:vAlign w:val="center"/>
                </w:tcPr>
                <w:p w14:paraId="10B66647">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仓库</w:t>
                  </w:r>
                </w:p>
              </w:tc>
              <w:tc>
                <w:tcPr>
                  <w:tcW w:w="3322" w:type="pct"/>
                  <w:vAlign w:val="center"/>
                </w:tcPr>
                <w:p w14:paraId="4504C3D1">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位于项目区东北侧，砖混结构占地10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p>
              </w:tc>
              <w:tc>
                <w:tcPr>
                  <w:tcW w:w="428" w:type="pct"/>
                  <w:vAlign w:val="center"/>
                </w:tcPr>
                <w:p w14:paraId="56EA4A5F">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3FDE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11292BE0">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7" w:type="pct"/>
                  <w:gridSpan w:val="3"/>
                  <w:tcBorders>
                    <w:bottom w:val="single" w:color="auto" w:sz="4" w:space="0"/>
                  </w:tcBorders>
                  <w:vAlign w:val="center"/>
                </w:tcPr>
                <w:p w14:paraId="183B80C6">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观影</w:t>
                  </w:r>
                  <w:r>
                    <w:rPr>
                      <w:rFonts w:hint="eastAsia" w:ascii="Times New Roman" w:hAnsi="Times New Roman" w:cs="Times New Roman"/>
                      <w:color w:val="auto"/>
                      <w:kern w:val="0"/>
                      <w:sz w:val="21"/>
                      <w:szCs w:val="21"/>
                      <w:lang w:val="en-US" w:eastAsia="zh-CN"/>
                    </w:rPr>
                    <w:t>棚</w:t>
                  </w:r>
                </w:p>
              </w:tc>
              <w:tc>
                <w:tcPr>
                  <w:tcW w:w="3322" w:type="pct"/>
                  <w:vAlign w:val="center"/>
                </w:tcPr>
                <w:p w14:paraId="657470AD">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w:t>
                  </w:r>
                  <w:r>
                    <w:rPr>
                      <w:rFonts w:hint="eastAsia" w:ascii="Times New Roman" w:hAnsi="Times New Roman" w:cs="Times New Roman"/>
                      <w:color w:val="auto"/>
                      <w:sz w:val="21"/>
                      <w:szCs w:val="21"/>
                      <w:vertAlign w:val="baseline"/>
                      <w:lang w:val="en-US" w:eastAsia="zh-CN"/>
                    </w:rPr>
                    <w:t>活动区域西南</w:t>
                  </w:r>
                  <w:r>
                    <w:rPr>
                      <w:rFonts w:hint="default" w:ascii="Times New Roman" w:hAnsi="Times New Roman" w:eastAsia="宋体" w:cs="Times New Roman"/>
                      <w:color w:val="auto"/>
                      <w:sz w:val="21"/>
                      <w:szCs w:val="21"/>
                      <w:vertAlign w:val="baseline"/>
                      <w:lang w:val="en-US" w:eastAsia="zh-CN"/>
                    </w:rPr>
                    <w:t>侧，</w:t>
                  </w:r>
                  <w:r>
                    <w:rPr>
                      <w:rFonts w:hint="default" w:ascii="Times New Roman" w:hAnsi="Times New Roman" w:eastAsia="宋体" w:cs="Times New Roman"/>
                      <w:color w:val="auto"/>
                      <w:sz w:val="21"/>
                      <w:szCs w:val="21"/>
                      <w:lang w:val="en-US" w:eastAsia="zh-CN"/>
                    </w:rPr>
                    <w:t>为彩钢大棚，建筑面积120m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，主要用于患者观看影片。</w:t>
                  </w:r>
                </w:p>
              </w:tc>
              <w:tc>
                <w:tcPr>
                  <w:tcW w:w="428" w:type="pct"/>
                  <w:vAlign w:val="center"/>
                </w:tcPr>
                <w:p w14:paraId="68283D3B">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51EC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tcBorders>
                    <w:right w:val="single" w:color="auto" w:sz="4" w:space="0"/>
                  </w:tcBorders>
                  <w:vAlign w:val="center"/>
                </w:tcPr>
                <w:p w14:paraId="3AD28F4D">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公用工程</w:t>
                  </w:r>
                </w:p>
              </w:tc>
              <w:tc>
                <w:tcPr>
                  <w:tcW w:w="77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8A5ECA3">
                  <w:pPr>
                    <w:pStyle w:val="13"/>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给排水</w:t>
                  </w:r>
                </w:p>
              </w:tc>
              <w:tc>
                <w:tcPr>
                  <w:tcW w:w="3322" w:type="pct"/>
                  <w:tcBorders>
                    <w:left w:val="single" w:color="auto" w:sz="4" w:space="0"/>
                  </w:tcBorders>
                  <w:vAlign w:val="center"/>
                </w:tcPr>
                <w:p w14:paraId="56800E9A">
                  <w:pPr>
                    <w:pStyle w:val="13"/>
                    <w:spacing w:line="240" w:lineRule="auto"/>
                    <w:ind w:left="0" w:leftChars="0" w:right="0" w:rightChars="0"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给水：倘甸镇自来水</w:t>
                  </w:r>
                  <w:r>
                    <w:rPr>
                      <w:rFonts w:hint="default" w:ascii="Times New Roman" w:hAnsi="Times New Roman" w:eastAsia="宋体" w:cs="Times New Roman"/>
                      <w:color w:val="auto"/>
                      <w:sz w:val="21"/>
                      <w:szCs w:val="21"/>
                    </w:rPr>
                    <w:t>管网供给</w:t>
                  </w:r>
                  <w:r>
                    <w:rPr>
                      <w:rFonts w:hint="default" w:ascii="Times New Roman" w:hAnsi="Times New Roman" w:eastAsia="宋体" w:cs="Times New Roman"/>
                      <w:color w:val="auto"/>
                      <w:sz w:val="21"/>
                      <w:szCs w:val="21"/>
                      <w:lang w:eastAsia="zh-CN"/>
                    </w:rPr>
                    <w:t>。</w:t>
                  </w:r>
                </w:p>
                <w:p w14:paraId="38B8C5CA">
                  <w:pPr>
                    <w:spacing w:line="240" w:lineRule="auto"/>
                    <w:ind w:left="0" w:leftChars="0" w:right="0" w:rightChars="0" w:firstLine="0" w:firstLineChars="0"/>
                    <w:jc w:val="both"/>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排水：雨污分流，</w:t>
                  </w:r>
                  <w:r>
                    <w:rPr>
                      <w:rFonts w:hint="default" w:ascii="Times New Roman" w:hAnsi="Times New Roman" w:cs="Times New Roman"/>
                      <w:color w:val="auto"/>
                      <w:sz w:val="21"/>
                      <w:szCs w:val="21"/>
                      <w:highlight w:val="none"/>
                      <w:lang w:val="en-US" w:eastAsia="zh-CN"/>
                    </w:rPr>
                    <w:t>食堂废水经隔油处理后同</w:t>
                  </w:r>
                  <w:r>
                    <w:rPr>
                      <w:rFonts w:hint="eastAsia" w:cs="Times New Roman"/>
                      <w:color w:val="auto"/>
                      <w:sz w:val="21"/>
                      <w:szCs w:val="21"/>
                      <w:highlight w:val="none"/>
                      <w:lang w:val="en-US" w:eastAsia="zh-CN"/>
                    </w:rPr>
                    <w:t>生活废水、医疗废水、检验废水</w:t>
                  </w:r>
                  <w:r>
                    <w:rPr>
                      <w:rFonts w:hint="default" w:ascii="Times New Roman" w:hAnsi="Times New Roman" w:cs="Times New Roman"/>
                      <w:color w:val="auto"/>
                      <w:sz w:val="21"/>
                      <w:szCs w:val="21"/>
                      <w:highlight w:val="none"/>
                      <w:lang w:val="en-US" w:eastAsia="zh-CN"/>
                    </w:rPr>
                    <w:t>一起进入化粪池、污水处理站处理，由于倘甸镇污水处理厂已建成但未运行，且项目区至倘甸镇污水处理厂的污水管网未接通，待倘甸镇污水处理厂投入运行且项目至污水处理厂的管网接通后，医院废水经自建污水处理站处理达到《医疗机构水污染物排放标准》（GB18466-2005）表2预处理标准</w:t>
                  </w:r>
                  <w:r>
                    <w:rPr>
                      <w:rFonts w:hint="eastAsia" w:ascii="Times New Roman" w:hAnsi="Times New Roman" w:cs="Times New Roman"/>
                      <w:color w:val="auto"/>
                      <w:sz w:val="21"/>
                      <w:szCs w:val="21"/>
                      <w:highlight w:val="none"/>
                      <w:lang w:val="en-US" w:eastAsia="zh-CN"/>
                    </w:rPr>
                    <w:t>后</w:t>
                  </w:r>
                  <w:r>
                    <w:rPr>
                      <w:rFonts w:hint="default" w:ascii="Times New Roman" w:hAnsi="Times New Roman" w:cs="Times New Roman"/>
                      <w:color w:val="auto"/>
                      <w:sz w:val="21"/>
                      <w:szCs w:val="21"/>
                      <w:highlight w:val="none"/>
                      <w:lang w:val="en-US" w:eastAsia="zh-CN"/>
                    </w:rPr>
                    <w:t>排入市政污水管网，最终排入倘甸镇污水处理厂。</w:t>
                  </w:r>
                  <w:r>
                    <w:rPr>
                      <w:rFonts w:hint="eastAsia" w:ascii="Times New Roman" w:hAnsi="Times New Roman" w:cs="Times New Roman"/>
                      <w:b/>
                      <w:bCs/>
                      <w:color w:val="auto"/>
                      <w:sz w:val="21"/>
                      <w:szCs w:val="21"/>
                      <w:highlight w:val="none"/>
                      <w:lang w:val="en-US" w:eastAsia="zh-CN"/>
                    </w:rPr>
                    <w:t>（</w:t>
                  </w:r>
                  <w:r>
                    <w:rPr>
                      <w:rFonts w:hint="eastAsia"/>
                      <w:b/>
                      <w:bCs/>
                      <w:color w:val="auto"/>
                      <w:lang w:val="en-US" w:eastAsia="zh-CN"/>
                    </w:rPr>
                    <w:t>本次评价要求倘甸污水处理厂运营后，本项目方可运营</w:t>
                  </w:r>
                  <w:r>
                    <w:rPr>
                      <w:rFonts w:hint="eastAsia" w:ascii="Times New Roman" w:hAnsi="Times New Roman" w:cs="Times New Roman"/>
                      <w:b/>
                      <w:bCs/>
                      <w:color w:val="auto"/>
                      <w:sz w:val="21"/>
                      <w:szCs w:val="21"/>
                      <w:highlight w:val="none"/>
                      <w:lang w:val="en-US" w:eastAsia="zh-CN"/>
                    </w:rPr>
                    <w:t>）</w:t>
                  </w:r>
                </w:p>
              </w:tc>
              <w:tc>
                <w:tcPr>
                  <w:tcW w:w="428" w:type="pct"/>
                  <w:vAlign w:val="center"/>
                </w:tcPr>
                <w:p w14:paraId="7CF5B157">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w:t>
                  </w:r>
                </w:p>
              </w:tc>
            </w:tr>
            <w:tr w14:paraId="7165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right w:val="single" w:color="auto" w:sz="4" w:space="0"/>
                  </w:tcBorders>
                  <w:vAlign w:val="center"/>
                </w:tcPr>
                <w:p w14:paraId="10D66994">
                  <w:pPr>
                    <w:pStyle w:val="13"/>
                    <w:spacing w:line="240" w:lineRule="auto"/>
                    <w:ind w:left="0" w:leftChars="0" w:right="0" w:rightChars="0" w:firstLine="0" w:firstLineChars="0"/>
                    <w:jc w:val="center"/>
                    <w:rPr>
                      <w:rFonts w:hint="eastAsia" w:ascii="Times New Roman" w:hAnsi="Times New Roman" w:cs="Times New Roman"/>
                      <w:color w:val="auto"/>
                      <w:sz w:val="21"/>
                      <w:szCs w:val="21"/>
                      <w:vertAlign w:val="baseline"/>
                      <w:lang w:val="en-US" w:eastAsia="zh-CN"/>
                    </w:rPr>
                  </w:pPr>
                </w:p>
              </w:tc>
              <w:tc>
                <w:tcPr>
                  <w:tcW w:w="77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7DDE5E">
                  <w:pPr>
                    <w:pStyle w:val="13"/>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供电</w:t>
                  </w:r>
                </w:p>
              </w:tc>
              <w:tc>
                <w:tcPr>
                  <w:tcW w:w="3322" w:type="pct"/>
                  <w:tcBorders>
                    <w:left w:val="single" w:color="auto" w:sz="4" w:space="0"/>
                  </w:tcBorders>
                  <w:vAlign w:val="center"/>
                </w:tcPr>
                <w:p w14:paraId="6DD10E20">
                  <w:pPr>
                    <w:pStyle w:val="13"/>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配电室</w:t>
                  </w:r>
                  <w:r>
                    <w:rPr>
                      <w:rFonts w:hint="eastAsia" w:ascii="Times New Roman" w:hAnsi="Times New Roman" w:cs="Times New Roman"/>
                      <w:color w:val="auto"/>
                      <w:kern w:val="0"/>
                      <w:sz w:val="21"/>
                      <w:szCs w:val="21"/>
                      <w:lang w:val="en-US" w:eastAsia="zh-CN"/>
                    </w:rPr>
                    <w:t>占地面积</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olor w:val="auto"/>
                      <w:lang w:eastAsia="zh-CN"/>
                    </w:rPr>
                    <w:t>，</w:t>
                  </w:r>
                  <w:r>
                    <w:rPr>
                      <w:rFonts w:hint="default" w:ascii="Times New Roman" w:hAnsi="Times New Roman" w:eastAsia="宋体" w:cs="Times New Roman"/>
                      <w:color w:val="auto"/>
                      <w:kern w:val="0"/>
                      <w:sz w:val="21"/>
                      <w:szCs w:val="21"/>
                      <w:lang w:val="en-US" w:eastAsia="zh-CN"/>
                    </w:rPr>
                    <w:t>位于综合楼东侧，</w:t>
                  </w:r>
                  <w:r>
                    <w:rPr>
                      <w:rFonts w:hint="default" w:ascii="Times New Roman" w:hAnsi="Times New Roman" w:eastAsia="宋体" w:cs="Times New Roman"/>
                      <w:color w:val="auto"/>
                      <w:kern w:val="0"/>
                      <w:sz w:val="21"/>
                      <w:szCs w:val="21"/>
                    </w:rPr>
                    <w:t>接市政供电电网</w:t>
                  </w:r>
                  <w:r>
                    <w:rPr>
                      <w:rFonts w:hint="default" w:ascii="Times New Roman" w:hAnsi="Times New Roman" w:eastAsia="宋体" w:cs="Times New Roman"/>
                      <w:color w:val="auto"/>
                      <w:kern w:val="0"/>
                      <w:sz w:val="21"/>
                      <w:szCs w:val="21"/>
                      <w:lang w:eastAsia="zh-CN"/>
                    </w:rPr>
                    <w:t>。</w:t>
                  </w:r>
                </w:p>
              </w:tc>
              <w:tc>
                <w:tcPr>
                  <w:tcW w:w="428" w:type="pct"/>
                  <w:vAlign w:val="center"/>
                </w:tcPr>
                <w:p w14:paraId="7A80B1EC">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w:t>
                  </w:r>
                </w:p>
              </w:tc>
            </w:tr>
            <w:tr w14:paraId="16F7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tcBorders>
                    <w:right w:val="single" w:color="auto" w:sz="4" w:space="0"/>
                  </w:tcBorders>
                  <w:vAlign w:val="center"/>
                </w:tcPr>
                <w:p w14:paraId="09482C4A">
                  <w:pPr>
                    <w:pStyle w:val="13"/>
                    <w:spacing w:line="240" w:lineRule="auto"/>
                    <w:ind w:left="0" w:leftChars="0" w:right="0" w:rightChars="0" w:firstLine="0" w:firstLineChars="0"/>
                    <w:jc w:val="center"/>
                    <w:rPr>
                      <w:rFonts w:hint="eastAsia" w:ascii="Times New Roman" w:hAnsi="Times New Roman" w:cs="Times New Roman"/>
                      <w:color w:val="auto"/>
                      <w:sz w:val="21"/>
                      <w:szCs w:val="21"/>
                      <w:vertAlign w:val="baseline"/>
                      <w:lang w:val="en-US" w:eastAsia="zh-CN"/>
                    </w:rPr>
                  </w:pPr>
                </w:p>
              </w:tc>
              <w:tc>
                <w:tcPr>
                  <w:tcW w:w="77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FFF4B6">
                  <w:pPr>
                    <w:pStyle w:val="13"/>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消防</w:t>
                  </w:r>
                </w:p>
              </w:tc>
              <w:tc>
                <w:tcPr>
                  <w:tcW w:w="3322" w:type="pct"/>
                  <w:tcBorders>
                    <w:left w:val="single" w:color="auto" w:sz="4" w:space="0"/>
                  </w:tcBorders>
                  <w:vAlign w:val="center"/>
                </w:tcPr>
                <w:p w14:paraId="5CE29981">
                  <w:pPr>
                    <w:pStyle w:val="13"/>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位于综合楼东侧，配电室旁</w:t>
                  </w:r>
                  <w:r>
                    <w:rPr>
                      <w:rFonts w:hint="eastAsia" w:ascii="Times New Roman" w:hAnsi="Times New Roman" w:cs="Times New Roman"/>
                      <w:color w:val="auto"/>
                      <w:kern w:val="0"/>
                      <w:sz w:val="21"/>
                      <w:szCs w:val="21"/>
                      <w:lang w:val="en-US" w:eastAsia="zh-CN"/>
                    </w:rPr>
                    <w:t>，拟设置</w:t>
                  </w:r>
                  <w:r>
                    <w:rPr>
                      <w:rFonts w:hint="default" w:ascii="Times New Roman" w:hAnsi="Times New Roman" w:eastAsia="宋体" w:cs="Times New Roman"/>
                      <w:color w:val="auto"/>
                      <w:kern w:val="0"/>
                      <w:sz w:val="21"/>
                      <w:szCs w:val="21"/>
                      <w:lang w:val="en-US" w:eastAsia="zh-CN"/>
                    </w:rPr>
                    <w:t>50m³的消防池</w:t>
                  </w:r>
                </w:p>
              </w:tc>
              <w:tc>
                <w:tcPr>
                  <w:tcW w:w="428" w:type="pct"/>
                  <w:vAlign w:val="center"/>
                </w:tcPr>
                <w:p w14:paraId="07AACAEA">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w:t>
                  </w:r>
                </w:p>
              </w:tc>
            </w:tr>
            <w:tr w14:paraId="0F9D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14:paraId="699F1AC4">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环保工程</w:t>
                  </w:r>
                </w:p>
              </w:tc>
              <w:tc>
                <w:tcPr>
                  <w:tcW w:w="777" w:type="pct"/>
                  <w:gridSpan w:val="3"/>
                  <w:tcBorders>
                    <w:top w:val="single" w:color="auto" w:sz="4" w:space="0"/>
                  </w:tcBorders>
                  <w:vAlign w:val="center"/>
                </w:tcPr>
                <w:p w14:paraId="44A2FDD2">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c>
                <w:tcPr>
                  <w:tcW w:w="3322" w:type="pct"/>
                  <w:vAlign w:val="center"/>
                </w:tcPr>
                <w:p w14:paraId="087AECD1">
                  <w:pPr>
                    <w:pStyle w:val="13"/>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污水处理废气：</w:t>
                  </w:r>
                  <w:r>
                    <w:rPr>
                      <w:rFonts w:hint="default" w:ascii="Times New Roman" w:hAnsi="Times New Roman" w:eastAsia="宋体" w:cs="Times New Roman"/>
                      <w:color w:val="auto"/>
                      <w:kern w:val="2"/>
                      <w:sz w:val="21"/>
                      <w:szCs w:val="21"/>
                      <w:lang w:val="en-US" w:eastAsia="zh-CN" w:bidi="ar-SA"/>
                    </w:rPr>
                    <w:t>污水处理设施密闭，大气稀释扩散。</w:t>
                  </w:r>
                </w:p>
                <w:p w14:paraId="21588132">
                  <w:pPr>
                    <w:rPr>
                      <w:rFonts w:hint="default"/>
                      <w:color w:val="auto"/>
                      <w:lang w:val="en-US"/>
                    </w:rPr>
                  </w:pPr>
                  <w:r>
                    <w:rPr>
                      <w:rFonts w:hint="eastAsia" w:cs="Times New Roman"/>
                      <w:color w:val="auto"/>
                      <w:kern w:val="2"/>
                      <w:sz w:val="21"/>
                      <w:szCs w:val="21"/>
                      <w:lang w:val="en-US" w:eastAsia="zh-CN" w:bidi="ar-SA"/>
                    </w:rPr>
                    <w:t>食堂油烟：设置1台油烟净化器。</w:t>
                  </w:r>
                </w:p>
              </w:tc>
              <w:tc>
                <w:tcPr>
                  <w:tcW w:w="428" w:type="pct"/>
                  <w:vAlign w:val="center"/>
                </w:tcPr>
                <w:p w14:paraId="0A2EAB80">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5F55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59C32EB6">
                  <w:pPr>
                    <w:pStyle w:val="13"/>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p>
              </w:tc>
              <w:tc>
                <w:tcPr>
                  <w:tcW w:w="777" w:type="pct"/>
                  <w:gridSpan w:val="3"/>
                  <w:vAlign w:val="center"/>
                </w:tcPr>
                <w:p w14:paraId="6A67A54F">
                  <w:pPr>
                    <w:pStyle w:val="13"/>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3322" w:type="pct"/>
                  <w:vAlign w:val="center"/>
                </w:tcPr>
                <w:p w14:paraId="023B641B">
                  <w:pPr>
                    <w:pStyle w:val="13"/>
                    <w:spacing w:line="240" w:lineRule="auto"/>
                    <w:ind w:left="0" w:leftChars="0" w:right="0" w:rightChars="0"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lang w:val="en-US" w:eastAsia="zh-CN"/>
                    </w:rPr>
                    <w:t>①</w:t>
                  </w:r>
                  <w:r>
                    <w:rPr>
                      <w:rFonts w:hint="default" w:ascii="Times New Roman" w:hAnsi="Times New Roman" w:cs="Times New Roman"/>
                      <w:color w:val="auto"/>
                      <w:sz w:val="21"/>
                      <w:szCs w:val="21"/>
                      <w:highlight w:val="none"/>
                      <w:lang w:val="en-US" w:eastAsia="zh-CN"/>
                    </w:rPr>
                    <w:t>油水分离器：1个，处理规模为0.5m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w:t>
                  </w:r>
                </w:p>
                <w:p w14:paraId="7886D8EE">
                  <w:pPr>
                    <w:pStyle w:val="13"/>
                    <w:spacing w:line="240" w:lineRule="auto"/>
                    <w:ind w:left="0" w:leftChars="0" w:right="0" w:rightChars="0"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eastAsia" w:ascii="Times New Roman" w:hAnsi="Times New Roman" w:cs="Times New Roman"/>
                      <w:color w:val="auto"/>
                      <w:sz w:val="21"/>
                      <w:szCs w:val="21"/>
                      <w:highlight w:val="none"/>
                      <w:lang w:val="en-US" w:eastAsia="zh-CN"/>
                    </w:rPr>
                    <w:t>化粪池：</w:t>
                  </w:r>
                  <w:r>
                    <w:rPr>
                      <w:rFonts w:hint="default" w:ascii="Times New Roman" w:hAnsi="Times New Roman" w:cs="Times New Roman"/>
                      <w:color w:val="auto"/>
                      <w:sz w:val="21"/>
                      <w:szCs w:val="21"/>
                      <w:highlight w:val="none"/>
                      <w:lang w:val="en-US" w:eastAsia="zh-CN"/>
                    </w:rPr>
                    <w:t>项目依托租用场地内综合楼西侧的1个化粪池容积为25m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，在活动区域北侧新建1个化粪池，容积为25m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，两个化粪池总容积为50m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w:t>
                  </w:r>
                </w:p>
                <w:p w14:paraId="29DC1F2B">
                  <w:pPr>
                    <w:pStyle w:val="13"/>
                    <w:spacing w:line="240" w:lineRule="auto"/>
                    <w:ind w:left="0" w:leftChars="0" w:right="0" w:rightChars="0" w:firstLine="0" w:firstLineChars="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③污水处理站利用原项目污水处理设备，处理能</w:t>
                  </w:r>
                  <w:r>
                    <w:rPr>
                      <w:rFonts w:hint="eastAsia" w:ascii="Times New Roman" w:hAnsi="Times New Roman" w:cs="Times New Roman"/>
                      <w:b w:val="0"/>
                      <w:bCs w:val="0"/>
                      <w:color w:val="auto"/>
                      <w:sz w:val="21"/>
                      <w:szCs w:val="21"/>
                      <w:highlight w:val="none"/>
                      <w:lang w:val="en-US" w:eastAsia="zh-CN"/>
                    </w:rPr>
                    <w:t>力</w:t>
                  </w:r>
                  <w:r>
                    <w:rPr>
                      <w:rFonts w:hint="default" w:ascii="Times New Roman" w:hAnsi="Times New Roman" w:cs="Times New Roman"/>
                      <w:b w:val="0"/>
                      <w:bCs w:val="0"/>
                      <w:color w:val="auto"/>
                      <w:sz w:val="21"/>
                      <w:szCs w:val="21"/>
                      <w:highlight w:val="none"/>
                      <w:lang w:val="en-US" w:eastAsia="zh-CN"/>
                    </w:rPr>
                    <w:t>为15m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/d，在原设备基础上新增1套污水处理设备，处理能力为35m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/d，</w:t>
                  </w:r>
                  <w:r>
                    <w:rPr>
                      <w:rFonts w:hint="eastAsia" w:ascii="Times New Roman" w:hAnsi="Times New Roman" w:cs="Times New Roman"/>
                      <w:b w:val="0"/>
                      <w:bCs w:val="0"/>
                      <w:color w:val="auto"/>
                      <w:sz w:val="21"/>
                      <w:szCs w:val="21"/>
                      <w:highlight w:val="none"/>
                      <w:lang w:val="en-US" w:eastAsia="zh-CN"/>
                    </w:rPr>
                    <w:t>处理工艺不变，</w:t>
                  </w:r>
                  <w:r>
                    <w:rPr>
                      <w:rFonts w:hint="default" w:ascii="Times New Roman" w:hAnsi="Times New Roman" w:cs="Times New Roman"/>
                      <w:b w:val="0"/>
                      <w:bCs w:val="0"/>
                      <w:color w:val="auto"/>
                      <w:sz w:val="21"/>
                      <w:szCs w:val="21"/>
                      <w:highlight w:val="none"/>
                      <w:lang w:val="en-US" w:eastAsia="zh-CN"/>
                    </w:rPr>
                    <w:t>两套设备并列运行，总处理能力为50m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/d。</w:t>
                  </w:r>
                  <w:r>
                    <w:rPr>
                      <w:rFonts w:hint="eastAsia" w:ascii="Times New Roman" w:hAnsi="Times New Roman" w:cs="Times New Roman"/>
                      <w:b w:val="0"/>
                      <w:bCs w:val="0"/>
                      <w:color w:val="auto"/>
                      <w:sz w:val="21"/>
                      <w:szCs w:val="21"/>
                      <w:highlight w:val="none"/>
                      <w:lang w:val="en-US" w:eastAsia="zh-CN"/>
                    </w:rPr>
                    <w:t>1个应急池容积10</w:t>
                  </w:r>
                  <w:r>
                    <w:rPr>
                      <w:rFonts w:hint="default" w:ascii="Times New Roman" w:hAnsi="Times New Roman" w:cs="Times New Roman"/>
                      <w:b w:val="0"/>
                      <w:bCs w:val="0"/>
                      <w:color w:val="auto"/>
                      <w:sz w:val="21"/>
                      <w:szCs w:val="21"/>
                      <w:highlight w:val="none"/>
                      <w:lang w:val="en-US" w:eastAsia="zh-CN"/>
                    </w:rPr>
                    <w:t>m</w:t>
                  </w:r>
                  <w:r>
                    <w:rPr>
                      <w:rFonts w:hint="default"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w:t>
                  </w:r>
                </w:p>
                <w:p w14:paraId="42CC8A14">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highlight w:val="none"/>
                      <w:lang w:val="en-US" w:eastAsia="zh-CN"/>
                    </w:rPr>
                    <w:t>④废水处理方式：食堂废水经隔油处理后同</w:t>
                  </w:r>
                  <w:r>
                    <w:rPr>
                      <w:rFonts w:hint="eastAsia" w:cs="Times New Roman"/>
                      <w:color w:val="auto"/>
                      <w:sz w:val="21"/>
                      <w:szCs w:val="21"/>
                      <w:highlight w:val="none"/>
                      <w:lang w:val="en-US" w:eastAsia="zh-CN"/>
                    </w:rPr>
                    <w:t>生活废水、医疗废水、检验废水</w:t>
                  </w:r>
                  <w:r>
                    <w:rPr>
                      <w:rFonts w:hint="default" w:ascii="Times New Roman" w:hAnsi="Times New Roman" w:cs="Times New Roman"/>
                      <w:color w:val="auto"/>
                      <w:sz w:val="21"/>
                      <w:szCs w:val="21"/>
                      <w:highlight w:val="none"/>
                      <w:lang w:val="en-US" w:eastAsia="zh-CN"/>
                    </w:rPr>
                    <w:t>一起进入化粪池、污水处理站处理，由于倘甸镇污水处理厂已建成但未运行，且项目区至倘甸镇污水处理厂的污水管网未接通，待倘甸镇污水处理厂投入运行且项目至污水处理厂的管网接通后，医院废水经自建污水处理站处理达到《医疗机构水污染物排放标准》（GB18466-2005）表2预处理标准</w:t>
                  </w:r>
                  <w:r>
                    <w:rPr>
                      <w:rFonts w:hint="eastAsia" w:ascii="Times New Roman" w:hAnsi="Times New Roman" w:cs="Times New Roman"/>
                      <w:color w:val="auto"/>
                      <w:sz w:val="21"/>
                      <w:szCs w:val="21"/>
                      <w:highlight w:val="none"/>
                      <w:lang w:val="en-US" w:eastAsia="zh-CN"/>
                    </w:rPr>
                    <w:t>后</w:t>
                  </w:r>
                  <w:r>
                    <w:rPr>
                      <w:rFonts w:hint="default" w:ascii="Times New Roman" w:hAnsi="Times New Roman" w:cs="Times New Roman"/>
                      <w:color w:val="auto"/>
                      <w:sz w:val="21"/>
                      <w:szCs w:val="21"/>
                      <w:highlight w:val="none"/>
                      <w:lang w:val="en-US" w:eastAsia="zh-CN"/>
                    </w:rPr>
                    <w:t>排入市政污水管网，最终排入倘甸镇污水处理厂。</w:t>
                  </w:r>
                  <w:r>
                    <w:rPr>
                      <w:rFonts w:hint="eastAsia" w:ascii="Times New Roman" w:hAnsi="Times New Roman" w:cs="Times New Roman"/>
                      <w:b/>
                      <w:bCs/>
                      <w:color w:val="auto"/>
                      <w:sz w:val="21"/>
                      <w:szCs w:val="21"/>
                      <w:highlight w:val="none"/>
                      <w:lang w:val="en-US" w:eastAsia="zh-CN"/>
                    </w:rPr>
                    <w:t>（</w:t>
                  </w:r>
                  <w:r>
                    <w:rPr>
                      <w:rFonts w:hint="eastAsia"/>
                      <w:b/>
                      <w:bCs/>
                      <w:color w:val="auto"/>
                      <w:lang w:val="en-US" w:eastAsia="zh-CN"/>
                    </w:rPr>
                    <w:t>本次评价要求倘甸污水处理厂运营后，本项目方可运营</w:t>
                  </w:r>
                  <w:r>
                    <w:rPr>
                      <w:rFonts w:hint="eastAsia" w:ascii="Times New Roman" w:hAnsi="Times New Roman" w:cs="Times New Roman"/>
                      <w:b/>
                      <w:bCs/>
                      <w:color w:val="auto"/>
                      <w:sz w:val="21"/>
                      <w:szCs w:val="21"/>
                      <w:highlight w:val="none"/>
                      <w:lang w:val="en-US" w:eastAsia="zh-CN"/>
                    </w:rPr>
                    <w:t>）</w:t>
                  </w:r>
                </w:p>
              </w:tc>
              <w:tc>
                <w:tcPr>
                  <w:tcW w:w="428" w:type="pct"/>
                  <w:vAlign w:val="center"/>
                </w:tcPr>
                <w:p w14:paraId="093CA4DE">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环评提出</w:t>
                  </w:r>
                </w:p>
              </w:tc>
            </w:tr>
            <w:tr w14:paraId="7CA4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06FC730E">
                  <w:pPr>
                    <w:pStyle w:val="13"/>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p>
              </w:tc>
              <w:tc>
                <w:tcPr>
                  <w:tcW w:w="777" w:type="pct"/>
                  <w:gridSpan w:val="3"/>
                  <w:vAlign w:val="center"/>
                </w:tcPr>
                <w:p w14:paraId="343E3C45">
                  <w:pPr>
                    <w:pStyle w:val="13"/>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c>
                <w:tcPr>
                  <w:tcW w:w="3322" w:type="pct"/>
                  <w:vAlign w:val="center"/>
                </w:tcPr>
                <w:p w14:paraId="7C443FD3">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产噪设备合理布局，设备基础减震、距离衰减。定期检查，维修设备，使设备处于良好的运行状态</w:t>
                  </w:r>
                  <w:r>
                    <w:rPr>
                      <w:rFonts w:hint="default" w:ascii="Times New Roman" w:hAnsi="Times New Roman" w:eastAsia="宋体" w:cs="Times New Roman"/>
                      <w:color w:val="auto"/>
                      <w:sz w:val="21"/>
                      <w:szCs w:val="21"/>
                      <w:vertAlign w:val="baseline"/>
                      <w:lang w:eastAsia="zh-CN"/>
                    </w:rPr>
                    <w:t>。</w:t>
                  </w:r>
                </w:p>
              </w:tc>
              <w:tc>
                <w:tcPr>
                  <w:tcW w:w="428" w:type="pct"/>
                  <w:vAlign w:val="center"/>
                </w:tcPr>
                <w:p w14:paraId="603DA29B">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环评提出</w:t>
                  </w:r>
                </w:p>
              </w:tc>
            </w:tr>
            <w:tr w14:paraId="39D5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471" w:type="pct"/>
                  <w:vMerge w:val="continue"/>
                  <w:vAlign w:val="center"/>
                </w:tcPr>
                <w:p w14:paraId="0DDA1FCE">
                  <w:pPr>
                    <w:pStyle w:val="13"/>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p>
              </w:tc>
              <w:tc>
                <w:tcPr>
                  <w:tcW w:w="224" w:type="pct"/>
                  <w:vMerge w:val="restart"/>
                  <w:vAlign w:val="center"/>
                </w:tcPr>
                <w:p w14:paraId="4494DB54">
                  <w:pPr>
                    <w:pStyle w:val="13"/>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固废</w:t>
                  </w:r>
                </w:p>
              </w:tc>
              <w:tc>
                <w:tcPr>
                  <w:tcW w:w="553" w:type="pct"/>
                  <w:gridSpan w:val="2"/>
                  <w:vAlign w:val="center"/>
                </w:tcPr>
                <w:p w14:paraId="546EF2FF">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医疗废物</w:t>
                  </w:r>
                </w:p>
              </w:tc>
              <w:tc>
                <w:tcPr>
                  <w:tcW w:w="3322" w:type="pct"/>
                  <w:vAlign w:val="center"/>
                </w:tcPr>
                <w:p w14:paraId="5C7DAAFC">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拟在综合楼一层设置4m</w:t>
                  </w:r>
                  <w:r>
                    <w:rPr>
                      <w:rFonts w:hint="eastAsia" w:ascii="Times New Roman" w:hAnsi="Times New Roman" w:cs="Times New Roman"/>
                      <w:b w:val="0"/>
                      <w:bCs w:val="0"/>
                      <w:color w:val="auto"/>
                      <w:sz w:val="21"/>
                      <w:szCs w:val="21"/>
                      <w:vertAlign w:val="superscript"/>
                      <w:lang w:val="en-US" w:eastAsia="zh-CN"/>
                    </w:rPr>
                    <w:t>2</w:t>
                  </w:r>
                  <w:r>
                    <w:rPr>
                      <w:rFonts w:hint="eastAsia" w:ascii="Times New Roman" w:hAnsi="Times New Roman" w:cs="Times New Roman"/>
                      <w:b w:val="0"/>
                      <w:bCs w:val="0"/>
                      <w:color w:val="auto"/>
                      <w:sz w:val="21"/>
                      <w:szCs w:val="21"/>
                      <w:vertAlign w:val="baseline"/>
                      <w:lang w:val="en-US" w:eastAsia="zh-CN"/>
                    </w:rPr>
                    <w:t>的</w:t>
                  </w:r>
                  <w:r>
                    <w:rPr>
                      <w:rFonts w:hint="default" w:ascii="Times New Roman" w:hAnsi="Times New Roman" w:eastAsia="宋体" w:cs="Times New Roman"/>
                      <w:b w:val="0"/>
                      <w:bCs w:val="0"/>
                      <w:color w:val="auto"/>
                      <w:sz w:val="21"/>
                      <w:szCs w:val="21"/>
                      <w:vertAlign w:val="baseline"/>
                      <w:lang w:val="en-US" w:eastAsia="zh-CN"/>
                    </w:rPr>
                    <w:t>医废暂存间</w:t>
                  </w:r>
                  <w:r>
                    <w:rPr>
                      <w:rFonts w:hint="eastAsia" w:ascii="Times New Roman" w:hAnsi="Times New Roman" w:cs="Times New Roman"/>
                      <w:b w:val="0"/>
                      <w:bCs w:val="0"/>
                      <w:color w:val="auto"/>
                      <w:sz w:val="21"/>
                      <w:szCs w:val="21"/>
                      <w:vertAlign w:val="baseline"/>
                      <w:lang w:val="en-US" w:eastAsia="zh-CN"/>
                    </w:rPr>
                    <w:t>，防渗级别为重点防渗，防渗层为至少1m厚黏土层(渗透系数不大于10</w:t>
                  </w:r>
                  <w:r>
                    <w:rPr>
                      <w:rFonts w:hint="eastAsia" w:ascii="Times New Roman" w:hAnsi="Times New Roman" w:cs="Times New Roman"/>
                      <w:b w:val="0"/>
                      <w:bCs w:val="0"/>
                      <w:color w:val="auto"/>
                      <w:sz w:val="21"/>
                      <w:szCs w:val="21"/>
                      <w:vertAlign w:val="superscript"/>
                      <w:lang w:val="en-US" w:eastAsia="zh-CN"/>
                    </w:rPr>
                    <w:t>-7</w:t>
                  </w:r>
                  <w:r>
                    <w:rPr>
                      <w:rFonts w:hint="eastAsia" w:ascii="Times New Roman" w:hAnsi="Times New Roman" w:cs="Times New Roman"/>
                      <w:b w:val="0"/>
                      <w:bCs w:val="0"/>
                      <w:color w:val="auto"/>
                      <w:sz w:val="21"/>
                      <w:szCs w:val="21"/>
                      <w:vertAlign w:val="baseline"/>
                      <w:lang w:val="en-US" w:eastAsia="zh-CN"/>
                    </w:rPr>
                    <w:t>cm/s)，或至少2mm厚高密度聚乙烯膜等人工防渗材料(渗透系数不大于10</w:t>
                  </w:r>
                  <w:r>
                    <w:rPr>
                      <w:rFonts w:hint="eastAsia" w:ascii="Times New Roman" w:hAnsi="Times New Roman" w:cs="Times New Roman"/>
                      <w:b w:val="0"/>
                      <w:bCs w:val="0"/>
                      <w:color w:val="auto"/>
                      <w:sz w:val="21"/>
                      <w:szCs w:val="21"/>
                      <w:vertAlign w:val="superscript"/>
                      <w:lang w:val="en-US" w:eastAsia="zh-CN"/>
                    </w:rPr>
                    <w:t>-10</w:t>
                  </w:r>
                  <w:r>
                    <w:rPr>
                      <w:rFonts w:hint="eastAsia" w:ascii="Times New Roman" w:hAnsi="Times New Roman" w:cs="Times New Roman"/>
                      <w:b w:val="0"/>
                      <w:bCs w:val="0"/>
                      <w:color w:val="auto"/>
                      <w:sz w:val="21"/>
                      <w:szCs w:val="21"/>
                      <w:vertAlign w:val="baseline"/>
                      <w:lang w:val="en-US" w:eastAsia="zh-CN"/>
                    </w:rPr>
                    <w:t>cm/s)，或其他防渗性能等效的材料。</w:t>
                  </w:r>
                  <w:r>
                    <w:rPr>
                      <w:rFonts w:hint="default" w:ascii="Times New Roman" w:hAnsi="Times New Roman" w:eastAsia="宋体" w:cs="Times New Roman"/>
                      <w:b w:val="0"/>
                      <w:bCs w:val="0"/>
                      <w:color w:val="auto"/>
                      <w:sz w:val="21"/>
                      <w:szCs w:val="21"/>
                      <w:vertAlign w:val="baseline"/>
                      <w:lang w:val="en-US" w:eastAsia="zh-CN"/>
                    </w:rPr>
                    <w:t>医疗废物暂存于医废暂存间，委托西畴铂鑫医疗废物处理有限公司处置。</w:t>
                  </w:r>
                </w:p>
              </w:tc>
              <w:tc>
                <w:tcPr>
                  <w:tcW w:w="428" w:type="pct"/>
                  <w:vMerge w:val="restart"/>
                  <w:vAlign w:val="center"/>
                </w:tcPr>
                <w:p w14:paraId="55BB6059">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环评提出</w:t>
                  </w:r>
                </w:p>
              </w:tc>
            </w:tr>
            <w:tr w14:paraId="1EF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50326E71">
                  <w:pPr>
                    <w:pStyle w:val="13"/>
                    <w:spacing w:line="240" w:lineRule="auto"/>
                    <w:ind w:left="0" w:leftChars="0" w:right="0" w:rightChars="0" w:firstLine="0" w:firstLineChars="0"/>
                    <w:jc w:val="left"/>
                    <w:rPr>
                      <w:color w:val="auto"/>
                    </w:rPr>
                  </w:pPr>
                </w:p>
              </w:tc>
              <w:tc>
                <w:tcPr>
                  <w:tcW w:w="224" w:type="pct"/>
                  <w:vMerge w:val="continue"/>
                  <w:vAlign w:val="center"/>
                </w:tcPr>
                <w:p w14:paraId="2EE9A14B">
                  <w:pPr>
                    <w:pStyle w:val="13"/>
                    <w:spacing w:line="240" w:lineRule="auto"/>
                    <w:ind w:left="0" w:leftChars="0" w:right="0" w:rightChars="0" w:firstLine="0" w:firstLineChars="0"/>
                    <w:jc w:val="left"/>
                    <w:rPr>
                      <w:color w:val="auto"/>
                    </w:rPr>
                  </w:pPr>
                </w:p>
              </w:tc>
              <w:tc>
                <w:tcPr>
                  <w:tcW w:w="553" w:type="pct"/>
                  <w:gridSpan w:val="2"/>
                  <w:vAlign w:val="center"/>
                </w:tcPr>
                <w:p w14:paraId="1C1A2412">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3322" w:type="pct"/>
                  <w:vAlign w:val="center"/>
                </w:tcPr>
                <w:p w14:paraId="7968BAAF">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生活垃圾使用垃圾桶收集后委托环卫部门处置。</w:t>
                  </w:r>
                </w:p>
              </w:tc>
              <w:tc>
                <w:tcPr>
                  <w:tcW w:w="428" w:type="pct"/>
                  <w:vMerge w:val="continue"/>
                  <w:vAlign w:val="center"/>
                </w:tcPr>
                <w:p w14:paraId="3A658B74">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638B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1E723211">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24" w:type="pct"/>
                  <w:vMerge w:val="continue"/>
                  <w:vAlign w:val="center"/>
                </w:tcPr>
                <w:p w14:paraId="31DFF549">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553" w:type="pct"/>
                  <w:gridSpan w:val="2"/>
                  <w:vAlign w:val="center"/>
                </w:tcPr>
                <w:p w14:paraId="5708731B">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水处理固废</w:t>
                  </w:r>
                </w:p>
              </w:tc>
              <w:tc>
                <w:tcPr>
                  <w:tcW w:w="3322" w:type="pct"/>
                  <w:vAlign w:val="center"/>
                </w:tcPr>
                <w:p w14:paraId="280562BF">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项目污水处理</w:t>
                  </w:r>
                  <w:r>
                    <w:rPr>
                      <w:rFonts w:hint="eastAsia" w:ascii="Times New Roman" w:hAnsi="Times New Roman" w:cs="Times New Roman"/>
                      <w:color w:val="auto"/>
                      <w:sz w:val="21"/>
                      <w:szCs w:val="21"/>
                      <w:vertAlign w:val="baseline"/>
                      <w:lang w:val="en-US" w:eastAsia="zh-CN"/>
                    </w:rPr>
                    <w:t>站及化粪池</w:t>
                  </w:r>
                  <w:r>
                    <w:rPr>
                      <w:rFonts w:hint="default" w:ascii="Times New Roman" w:hAnsi="Times New Roman" w:eastAsia="宋体" w:cs="Times New Roman"/>
                      <w:color w:val="auto"/>
                      <w:sz w:val="21"/>
                      <w:szCs w:val="21"/>
                      <w:vertAlign w:val="baseline"/>
                      <w:lang w:val="en-US" w:eastAsia="zh-CN"/>
                    </w:rPr>
                    <w:t>产生的污泥含有致病菌，清掏前采用投加石灰、漂白粉等药剂先进行消毒达到《医疗机构水污染物排放标准》GB18466-2005表4综合医疗机构污泥控制标准后，委托有资质单位</w:t>
                  </w:r>
                  <w:r>
                    <w:rPr>
                      <w:rFonts w:hint="eastAsia" w:ascii="Times New Roman" w:hAnsi="Times New Roman" w:cs="Times New Roman"/>
                      <w:color w:val="auto"/>
                      <w:sz w:val="21"/>
                      <w:szCs w:val="21"/>
                      <w:vertAlign w:val="baseline"/>
                      <w:lang w:val="en-US" w:eastAsia="zh-CN"/>
                    </w:rPr>
                    <w:t>直接</w:t>
                  </w:r>
                  <w:r>
                    <w:rPr>
                      <w:rFonts w:hint="default" w:ascii="Times New Roman" w:hAnsi="Times New Roman" w:eastAsia="宋体" w:cs="Times New Roman"/>
                      <w:color w:val="auto"/>
                      <w:sz w:val="21"/>
                      <w:szCs w:val="21"/>
                      <w:vertAlign w:val="baseline"/>
                      <w:lang w:val="en-US" w:eastAsia="zh-CN"/>
                    </w:rPr>
                    <w:t>清掏处理</w:t>
                  </w:r>
                  <w:r>
                    <w:rPr>
                      <w:rFonts w:hint="eastAsia" w:ascii="Times New Roman" w:hAnsi="Times New Roman" w:cs="Times New Roman"/>
                      <w:color w:val="auto"/>
                      <w:sz w:val="21"/>
                      <w:szCs w:val="21"/>
                      <w:vertAlign w:val="baseline"/>
                      <w:lang w:val="en-US" w:eastAsia="zh-CN"/>
                    </w:rPr>
                    <w:t>，不再项目内暂存。</w:t>
                  </w:r>
                </w:p>
              </w:tc>
              <w:tc>
                <w:tcPr>
                  <w:tcW w:w="428" w:type="pct"/>
                  <w:vMerge w:val="continue"/>
                  <w:vAlign w:val="center"/>
                </w:tcPr>
                <w:p w14:paraId="62444B73">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11A9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70F8BFBC">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24" w:type="pct"/>
                  <w:vMerge w:val="continue"/>
                  <w:vAlign w:val="center"/>
                </w:tcPr>
                <w:p w14:paraId="1E97AB8F">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553" w:type="pct"/>
                  <w:gridSpan w:val="2"/>
                  <w:vAlign w:val="center"/>
                </w:tcPr>
                <w:p w14:paraId="1C6AD664">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餐厨垃圾</w:t>
                  </w:r>
                </w:p>
              </w:tc>
              <w:tc>
                <w:tcPr>
                  <w:tcW w:w="3322" w:type="pct"/>
                  <w:vAlign w:val="center"/>
                </w:tcPr>
                <w:p w14:paraId="536FE50B">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餐厨垃圾收集后委托有资质单位清运处理。</w:t>
                  </w:r>
                </w:p>
              </w:tc>
              <w:tc>
                <w:tcPr>
                  <w:tcW w:w="428" w:type="pct"/>
                  <w:vMerge w:val="continue"/>
                  <w:vAlign w:val="center"/>
                </w:tcPr>
                <w:p w14:paraId="0EF6E2B6">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5C8C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063612A2">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24" w:type="pct"/>
                  <w:vMerge w:val="continue"/>
                  <w:vAlign w:val="center"/>
                </w:tcPr>
                <w:p w14:paraId="0B3F3713">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553" w:type="pct"/>
                  <w:gridSpan w:val="2"/>
                  <w:vAlign w:val="center"/>
                </w:tcPr>
                <w:p w14:paraId="2A4941D3">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油水分离器油污</w:t>
                  </w:r>
                </w:p>
              </w:tc>
              <w:tc>
                <w:tcPr>
                  <w:tcW w:w="3322" w:type="pct"/>
                  <w:vAlign w:val="center"/>
                </w:tcPr>
                <w:p w14:paraId="1D3C9098">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油水分离器油污委托有资质单位清运处理。</w:t>
                  </w:r>
                </w:p>
              </w:tc>
              <w:tc>
                <w:tcPr>
                  <w:tcW w:w="428" w:type="pct"/>
                  <w:vMerge w:val="continue"/>
                  <w:vAlign w:val="center"/>
                </w:tcPr>
                <w:p w14:paraId="15B67BD9">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6A85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230629EA">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24" w:type="pct"/>
                  <w:vMerge w:val="continue"/>
                  <w:vAlign w:val="center"/>
                </w:tcPr>
                <w:p w14:paraId="03BB05C5">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553" w:type="pct"/>
                  <w:gridSpan w:val="2"/>
                  <w:vAlign w:val="center"/>
                </w:tcPr>
                <w:p w14:paraId="5B710B47">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药品废包装袋</w:t>
                  </w:r>
                </w:p>
              </w:tc>
              <w:tc>
                <w:tcPr>
                  <w:tcW w:w="3322" w:type="pct"/>
                  <w:vAlign w:val="center"/>
                </w:tcPr>
                <w:p w14:paraId="1C3D2896">
                  <w:pPr>
                    <w:numPr>
                      <w:ilvl w:val="0"/>
                      <w:numId w:val="0"/>
                    </w:numPr>
                    <w:spacing w:line="240" w:lineRule="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药品废包装袋各类玻璃药瓶（未被感染性物质污染的玻璃液体瓶或药瓶）、纸箱纸盒、塑料包装物等</w:t>
                  </w:r>
                  <w:r>
                    <w:rPr>
                      <w:rFonts w:hint="default" w:ascii="Times New Roman" w:hAnsi="Times New Roman" w:eastAsia="宋体" w:cs="Times New Roman"/>
                      <w:b w:val="0"/>
                      <w:bCs w:val="0"/>
                      <w:color w:val="auto"/>
                      <w:kern w:val="2"/>
                      <w:sz w:val="21"/>
                      <w:szCs w:val="21"/>
                      <w:highlight w:val="none"/>
                      <w:lang w:val="en-US" w:eastAsia="zh-CN" w:bidi="ar-SA"/>
                    </w:rPr>
                    <w:t>属于一般固废，收集后能回收利用的外售给废品回收站</w:t>
                  </w:r>
                  <w:r>
                    <w:rPr>
                      <w:rFonts w:hint="eastAsia" w:ascii="Times New Roman" w:hAnsi="Times New Roman" w:eastAsia="宋体" w:cs="Times New Roman"/>
                      <w:b w:val="0"/>
                      <w:bCs w:val="0"/>
                      <w:color w:val="auto"/>
                      <w:kern w:val="2"/>
                      <w:sz w:val="21"/>
                      <w:szCs w:val="21"/>
                      <w:highlight w:val="none"/>
                      <w:lang w:val="en-US" w:eastAsia="zh-CN" w:bidi="ar-SA"/>
                    </w:rPr>
                    <w:t>。</w:t>
                  </w:r>
                </w:p>
              </w:tc>
              <w:tc>
                <w:tcPr>
                  <w:tcW w:w="428" w:type="pct"/>
                  <w:vMerge w:val="continue"/>
                  <w:vAlign w:val="center"/>
                </w:tcPr>
                <w:p w14:paraId="685729BC">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3827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00CECF8E">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24" w:type="pct"/>
                  <w:vMerge w:val="continue"/>
                  <w:vAlign w:val="center"/>
                </w:tcPr>
                <w:p w14:paraId="409123B3">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553" w:type="pct"/>
                  <w:gridSpan w:val="2"/>
                  <w:vAlign w:val="center"/>
                </w:tcPr>
                <w:p w14:paraId="163A9B65">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b w:val="0"/>
                      <w:bCs w:val="0"/>
                      <w:color w:val="auto"/>
                      <w:kern w:val="2"/>
                      <w:sz w:val="21"/>
                      <w:szCs w:val="21"/>
                      <w:highlight w:val="none"/>
                      <w:lang w:val="en-US" w:eastAsia="zh-CN" w:bidi="ar-SA"/>
                    </w:rPr>
                    <w:t>废紫外灯管</w:t>
                  </w:r>
                </w:p>
              </w:tc>
              <w:tc>
                <w:tcPr>
                  <w:tcW w:w="3322" w:type="pct"/>
                  <w:vAlign w:val="center"/>
                </w:tcPr>
                <w:p w14:paraId="1CBC7B74">
                  <w:pPr>
                    <w:pStyle w:val="42"/>
                    <w:keepNext w:val="0"/>
                    <w:keepLines w:val="0"/>
                    <w:pageBreakBefore w:val="0"/>
                    <w:widowControl w:val="0"/>
                    <w:kinsoku/>
                    <w:wordWrap w:val="0"/>
                    <w:overflowPunct/>
                    <w:topLinePunct/>
                    <w:autoSpaceDE/>
                    <w:autoSpaceDN/>
                    <w:bidi w:val="0"/>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val="0"/>
                      <w:color w:val="auto"/>
                      <w:kern w:val="2"/>
                      <w:sz w:val="21"/>
                      <w:szCs w:val="21"/>
                      <w:highlight w:val="none"/>
                      <w:lang w:val="en-US" w:eastAsia="zh-CN" w:bidi="ar-SA"/>
                    </w:rPr>
                    <w:t>产生的废灯管密封收集于医疗废物暂存间，定期由厂家回收统一处置。</w:t>
                  </w:r>
                </w:p>
              </w:tc>
              <w:tc>
                <w:tcPr>
                  <w:tcW w:w="428" w:type="pct"/>
                  <w:vMerge w:val="continue"/>
                  <w:vAlign w:val="center"/>
                </w:tcPr>
                <w:p w14:paraId="164C590D">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599A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18D5E774">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24" w:type="pct"/>
                  <w:vMerge w:val="continue"/>
                  <w:vAlign w:val="center"/>
                </w:tcPr>
                <w:p w14:paraId="49322D94">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553" w:type="pct"/>
                  <w:gridSpan w:val="2"/>
                  <w:vAlign w:val="center"/>
                </w:tcPr>
                <w:p w14:paraId="54BFF41D">
                  <w:pPr>
                    <w:pStyle w:val="13"/>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b w:val="0"/>
                      <w:bCs w:val="0"/>
                      <w:color w:val="auto"/>
                      <w:kern w:val="2"/>
                      <w:sz w:val="21"/>
                      <w:szCs w:val="21"/>
                      <w:highlight w:val="none"/>
                      <w:lang w:val="en-US" w:eastAsia="zh-CN" w:bidi="ar-SA"/>
                    </w:rPr>
                    <w:t>废矿物油</w:t>
                  </w:r>
                </w:p>
              </w:tc>
              <w:tc>
                <w:tcPr>
                  <w:tcW w:w="3322" w:type="pct"/>
                  <w:vAlign w:val="center"/>
                </w:tcPr>
                <w:p w14:paraId="48567DD9">
                  <w:pPr>
                    <w:pStyle w:val="42"/>
                    <w:keepNext w:val="0"/>
                    <w:keepLines w:val="0"/>
                    <w:pageBreakBefore w:val="0"/>
                    <w:widowControl w:val="0"/>
                    <w:kinsoku/>
                    <w:wordWrap w:val="0"/>
                    <w:overflowPunct/>
                    <w:topLinePunct/>
                    <w:autoSpaceDE/>
                    <w:autoSpaceDN/>
                    <w:bidi w:val="0"/>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val="0"/>
                      <w:color w:val="auto"/>
                      <w:kern w:val="2"/>
                      <w:sz w:val="21"/>
                      <w:szCs w:val="21"/>
                      <w:highlight w:val="none"/>
                      <w:lang w:val="en-US" w:eastAsia="zh-CN" w:bidi="ar-SA"/>
                    </w:rPr>
                    <w:t>废矿物油，暂存在医废间委托有资质单位清运处理。</w:t>
                  </w:r>
                </w:p>
              </w:tc>
              <w:tc>
                <w:tcPr>
                  <w:tcW w:w="428" w:type="pct"/>
                  <w:vMerge w:val="continue"/>
                  <w:vAlign w:val="center"/>
                </w:tcPr>
                <w:p w14:paraId="524AD642">
                  <w:pPr>
                    <w:pStyle w:val="13"/>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bl>
          <w:p w14:paraId="458EB445">
            <w:pPr>
              <w:spacing w:line="360" w:lineRule="auto"/>
              <w:ind w:firstLine="482" w:firstLineChars="200"/>
              <w:rPr>
                <w:rFonts w:hint="default" w:ascii="Times New Roman" w:hAnsi="Times New Roman" w:cs="Times New Roman"/>
                <w:b/>
                <w:color w:val="auto"/>
                <w:sz w:val="24"/>
                <w:szCs w:val="28"/>
              </w:rPr>
            </w:pPr>
            <w:r>
              <w:rPr>
                <w:rFonts w:hint="eastAsia" w:cs="Times New Roman"/>
                <w:b/>
                <w:color w:val="auto"/>
                <w:sz w:val="24"/>
                <w:szCs w:val="28"/>
                <w:lang w:val="en-US" w:eastAsia="zh-CN"/>
              </w:rPr>
              <w:t>2</w:t>
            </w:r>
            <w:r>
              <w:rPr>
                <w:rFonts w:hint="default" w:ascii="Times New Roman" w:hAnsi="Times New Roman" w:cs="Times New Roman"/>
                <w:b/>
                <w:color w:val="auto"/>
                <w:sz w:val="24"/>
                <w:szCs w:val="28"/>
              </w:rPr>
              <w:t>、</w:t>
            </w:r>
            <w:r>
              <w:rPr>
                <w:rFonts w:hint="eastAsia" w:ascii="Times New Roman" w:hAnsi="Times New Roman" w:cs="Times New Roman"/>
                <w:b/>
                <w:color w:val="auto"/>
                <w:sz w:val="24"/>
                <w:szCs w:val="28"/>
                <w:lang w:eastAsia="zh-CN"/>
              </w:rPr>
              <w:t>项目</w:t>
            </w:r>
            <w:r>
              <w:rPr>
                <w:rFonts w:hint="default" w:ascii="Times New Roman" w:hAnsi="Times New Roman" w:cs="Times New Roman"/>
                <w:b/>
                <w:color w:val="auto"/>
                <w:sz w:val="24"/>
                <w:szCs w:val="28"/>
              </w:rPr>
              <w:t>主要原辅材料</w:t>
            </w:r>
          </w:p>
          <w:p w14:paraId="35D6AB2E">
            <w:pPr>
              <w:pStyle w:val="33"/>
              <w:bidi w:val="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项目为精神病院</w:t>
            </w:r>
            <w:r>
              <w:rPr>
                <w:rFonts w:hint="eastAsia" w:ascii="Times New Roman" w:hAnsi="Times New Roman" w:eastAsia="宋体" w:cs="Times New Roman"/>
                <w:color w:val="auto"/>
                <w:kern w:val="2"/>
                <w:sz w:val="24"/>
                <w:szCs w:val="24"/>
                <w:u w:val="none"/>
                <w:lang w:val="en-US" w:eastAsia="zh-CN" w:bidi="ar-SA"/>
              </w:rPr>
              <w:t>，主要以药物治疗为主</w:t>
            </w:r>
            <w:r>
              <w:rPr>
                <w:rFonts w:hint="eastAsia" w:ascii="Times New Roman" w:hAnsi="Times New Roman" w:eastAsia="宋体" w:cs="Times New Roman"/>
                <w:color w:val="auto"/>
                <w:kern w:val="2"/>
                <w:sz w:val="24"/>
                <w:szCs w:val="24"/>
                <w:lang w:val="en-US" w:eastAsia="zh-CN" w:bidi="ar-SA"/>
              </w:rPr>
              <w:t>，输液治疗为辅，主要原辅料用量（药品及医疗用品）使用清单见下表：</w:t>
            </w:r>
          </w:p>
          <w:p w14:paraId="412698F9">
            <w:pPr>
              <w:tabs>
                <w:tab w:val="left" w:pos="2758"/>
              </w:tabs>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表2-2</w:t>
            </w:r>
            <w:r>
              <w:rPr>
                <w:rFonts w:hint="eastAsia" w:ascii="Times New Roman" w:hAnsi="Times New Roman" w:cs="Times New Roman"/>
                <w:b/>
                <w:color w:val="auto"/>
                <w:sz w:val="21"/>
                <w:szCs w:val="21"/>
                <w:lang w:eastAsia="zh-CN"/>
              </w:rPr>
              <w:t>项目医疗用品</w:t>
            </w:r>
            <w:r>
              <w:rPr>
                <w:rFonts w:hint="default" w:ascii="Times New Roman" w:hAnsi="Times New Roman" w:cs="Times New Roman"/>
                <w:b/>
                <w:color w:val="auto"/>
                <w:sz w:val="21"/>
                <w:szCs w:val="21"/>
              </w:rPr>
              <w:t>消耗情况一览表</w:t>
            </w:r>
          </w:p>
          <w:tbl>
            <w:tblPr>
              <w:tblStyle w:val="24"/>
              <w:tblW w:w="8324" w:type="dxa"/>
              <w:jc w:val="center"/>
              <w:tblLayout w:type="fixed"/>
              <w:tblCellMar>
                <w:top w:w="0" w:type="dxa"/>
                <w:left w:w="108" w:type="dxa"/>
                <w:bottom w:w="0" w:type="dxa"/>
                <w:right w:w="108" w:type="dxa"/>
              </w:tblCellMar>
            </w:tblPr>
            <w:tblGrid>
              <w:gridCol w:w="534"/>
              <w:gridCol w:w="1731"/>
              <w:gridCol w:w="1582"/>
              <w:gridCol w:w="813"/>
              <w:gridCol w:w="1338"/>
              <w:gridCol w:w="1136"/>
              <w:gridCol w:w="1190"/>
            </w:tblGrid>
            <w:tr w14:paraId="1B41262E">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62A79CD">
                  <w:pPr>
                    <w:adjustRightInd/>
                    <w:snapToGrid/>
                    <w:spacing w:line="240" w:lineRule="auto"/>
                    <w:ind w:firstLine="0" w:firstLineChars="0"/>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1039" w:type="pct"/>
                  <w:tcBorders>
                    <w:top w:val="single" w:color="auto" w:sz="4" w:space="0"/>
                    <w:left w:val="nil"/>
                    <w:bottom w:val="single" w:color="auto" w:sz="4" w:space="0"/>
                    <w:right w:val="single" w:color="auto" w:sz="4" w:space="0"/>
                  </w:tcBorders>
                  <w:noWrap w:val="0"/>
                  <w:vAlign w:val="center"/>
                </w:tcPr>
                <w:p w14:paraId="26C9064C">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原辅料名称</w:t>
                  </w:r>
                </w:p>
              </w:tc>
              <w:tc>
                <w:tcPr>
                  <w:tcW w:w="950" w:type="pct"/>
                  <w:tcBorders>
                    <w:top w:val="single" w:color="auto" w:sz="4" w:space="0"/>
                    <w:left w:val="nil"/>
                    <w:bottom w:val="single" w:color="auto" w:sz="4" w:space="0"/>
                    <w:right w:val="single" w:color="auto" w:sz="4" w:space="0"/>
                  </w:tcBorders>
                  <w:noWrap w:val="0"/>
                  <w:vAlign w:val="center"/>
                </w:tcPr>
                <w:p w14:paraId="73B4B0E1">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规格型号</w:t>
                  </w:r>
                </w:p>
              </w:tc>
              <w:tc>
                <w:tcPr>
                  <w:tcW w:w="488" w:type="pct"/>
                  <w:tcBorders>
                    <w:top w:val="single" w:color="auto" w:sz="4" w:space="0"/>
                    <w:left w:val="nil"/>
                    <w:bottom w:val="single" w:color="auto" w:sz="4" w:space="0"/>
                    <w:right w:val="single" w:color="auto" w:sz="4" w:space="0"/>
                  </w:tcBorders>
                  <w:noWrap w:val="0"/>
                  <w:vAlign w:val="center"/>
                </w:tcPr>
                <w:p w14:paraId="0DFA049A">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单位</w:t>
                  </w:r>
                </w:p>
              </w:tc>
              <w:tc>
                <w:tcPr>
                  <w:tcW w:w="803" w:type="pct"/>
                  <w:tcBorders>
                    <w:top w:val="single" w:color="auto" w:sz="4" w:space="0"/>
                    <w:left w:val="nil"/>
                    <w:bottom w:val="single" w:color="auto" w:sz="4" w:space="0"/>
                    <w:right w:val="single" w:color="auto" w:sz="4" w:space="0"/>
                  </w:tcBorders>
                  <w:noWrap w:val="0"/>
                  <w:vAlign w:val="center"/>
                </w:tcPr>
                <w:p w14:paraId="029AA696">
                  <w:pPr>
                    <w:adjustRightInd/>
                    <w:snapToGrid/>
                    <w:spacing w:line="240" w:lineRule="auto"/>
                    <w:ind w:firstLine="0" w:firstLineChars="0"/>
                    <w:jc w:val="center"/>
                    <w:rPr>
                      <w:rFonts w:hint="eastAsia" w:cs="Times New Roman"/>
                      <w:b/>
                      <w:bCs/>
                      <w:color w:val="auto"/>
                      <w:kern w:val="0"/>
                      <w:sz w:val="21"/>
                      <w:szCs w:val="21"/>
                      <w:lang w:val="en-US" w:eastAsia="zh-CN"/>
                    </w:rPr>
                  </w:pPr>
                  <w:r>
                    <w:rPr>
                      <w:rFonts w:hint="eastAsia" w:cs="Times New Roman"/>
                      <w:b/>
                      <w:bCs/>
                      <w:color w:val="auto"/>
                      <w:kern w:val="0"/>
                      <w:sz w:val="21"/>
                      <w:szCs w:val="21"/>
                      <w:lang w:val="en-US" w:eastAsia="zh-CN"/>
                    </w:rPr>
                    <w:t>迁建前</w:t>
                  </w:r>
                </w:p>
                <w:p w14:paraId="6EC60E52">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年使用数量</w:t>
                  </w:r>
                </w:p>
              </w:tc>
              <w:tc>
                <w:tcPr>
                  <w:tcW w:w="682" w:type="pct"/>
                  <w:tcBorders>
                    <w:top w:val="single" w:color="auto" w:sz="4" w:space="0"/>
                    <w:left w:val="nil"/>
                    <w:bottom w:val="single" w:color="auto" w:sz="4" w:space="0"/>
                    <w:right w:val="single" w:color="auto" w:sz="4" w:space="0"/>
                  </w:tcBorders>
                  <w:noWrap w:val="0"/>
                  <w:vAlign w:val="center"/>
                </w:tcPr>
                <w:p w14:paraId="41EC9B69">
                  <w:pPr>
                    <w:adjustRightInd/>
                    <w:snapToGrid/>
                    <w:spacing w:line="240" w:lineRule="auto"/>
                    <w:ind w:firstLine="0" w:firstLineChars="0"/>
                    <w:jc w:val="center"/>
                    <w:rPr>
                      <w:rFonts w:hint="eastAsia" w:cs="Times New Roman"/>
                      <w:b/>
                      <w:bCs/>
                      <w:color w:val="auto"/>
                      <w:kern w:val="0"/>
                      <w:sz w:val="21"/>
                      <w:szCs w:val="21"/>
                      <w:lang w:val="en-US" w:eastAsia="zh-CN"/>
                    </w:rPr>
                  </w:pPr>
                  <w:r>
                    <w:rPr>
                      <w:rFonts w:hint="eastAsia" w:cs="Times New Roman"/>
                      <w:b/>
                      <w:bCs/>
                      <w:color w:val="auto"/>
                      <w:kern w:val="0"/>
                      <w:sz w:val="21"/>
                      <w:szCs w:val="21"/>
                      <w:lang w:val="en-US" w:eastAsia="zh-CN"/>
                    </w:rPr>
                    <w:t>迁建后</w:t>
                  </w:r>
                </w:p>
                <w:p w14:paraId="2E2FA40D">
                  <w:pPr>
                    <w:adjustRightInd/>
                    <w:snapToGrid/>
                    <w:spacing w:line="240" w:lineRule="auto"/>
                    <w:ind w:firstLine="0" w:firstLineChars="0"/>
                    <w:jc w:val="center"/>
                    <w:rPr>
                      <w:rFonts w:hint="default"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年使用量</w:t>
                  </w:r>
                </w:p>
              </w:tc>
              <w:tc>
                <w:tcPr>
                  <w:tcW w:w="714" w:type="pct"/>
                  <w:tcBorders>
                    <w:top w:val="single" w:color="auto" w:sz="4" w:space="0"/>
                    <w:left w:val="nil"/>
                    <w:bottom w:val="single" w:color="auto" w:sz="4" w:space="0"/>
                    <w:right w:val="single" w:color="auto" w:sz="4" w:space="0"/>
                  </w:tcBorders>
                  <w:noWrap w:val="0"/>
                  <w:vAlign w:val="center"/>
                </w:tcPr>
                <w:p w14:paraId="1D04A728">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储存方式</w:t>
                  </w:r>
                </w:p>
              </w:tc>
            </w:tr>
            <w:tr w14:paraId="304FE35A">
              <w:tblPrEx>
                <w:tblCellMar>
                  <w:top w:w="0" w:type="dxa"/>
                  <w:left w:w="108" w:type="dxa"/>
                  <w:bottom w:w="0" w:type="dxa"/>
                  <w:right w:w="108" w:type="dxa"/>
                </w:tblCellMar>
              </w:tblPrEx>
              <w:trPr>
                <w:trHeight w:val="272"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B56A393">
                  <w:pPr>
                    <w:adjustRightInd/>
                    <w:snapToGrid/>
                    <w:spacing w:line="240" w:lineRule="auto"/>
                    <w:ind w:firstLine="0" w:firstLineChars="0"/>
                    <w:jc w:val="cente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药物</w:t>
                  </w:r>
                </w:p>
              </w:tc>
            </w:tr>
            <w:tr w14:paraId="7E3AD4DC">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2BB9C91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039" w:type="pct"/>
                  <w:tcBorders>
                    <w:top w:val="nil"/>
                    <w:left w:val="nil"/>
                    <w:bottom w:val="single" w:color="auto" w:sz="4" w:space="0"/>
                    <w:right w:val="single" w:color="auto" w:sz="4" w:space="0"/>
                  </w:tcBorders>
                  <w:noWrap w:val="0"/>
                  <w:vAlign w:val="center"/>
                </w:tcPr>
                <w:p w14:paraId="5F0964B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氯氮平片</w:t>
                  </w:r>
                </w:p>
              </w:tc>
              <w:tc>
                <w:tcPr>
                  <w:tcW w:w="950" w:type="pct"/>
                  <w:tcBorders>
                    <w:top w:val="nil"/>
                    <w:left w:val="nil"/>
                    <w:bottom w:val="single" w:color="auto" w:sz="4" w:space="0"/>
                    <w:right w:val="single" w:color="auto" w:sz="4" w:space="0"/>
                  </w:tcBorders>
                  <w:noWrap w:val="0"/>
                  <w:vAlign w:val="center"/>
                </w:tcPr>
                <w:p w14:paraId="005EF895">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50mg</w:t>
                  </w:r>
                  <w:r>
                    <w:rPr>
                      <w:rFonts w:hint="eastAsia"/>
                      <w:color w:val="auto"/>
                      <w:lang w:val="en-US" w:eastAsia="zh-CN"/>
                    </w:rPr>
                    <w:t>/片</w:t>
                  </w:r>
                </w:p>
              </w:tc>
              <w:tc>
                <w:tcPr>
                  <w:tcW w:w="488" w:type="pct"/>
                  <w:tcBorders>
                    <w:top w:val="nil"/>
                    <w:left w:val="nil"/>
                    <w:bottom w:val="single" w:color="auto" w:sz="4" w:space="0"/>
                    <w:right w:val="single" w:color="auto" w:sz="4" w:space="0"/>
                  </w:tcBorders>
                  <w:noWrap w:val="0"/>
                  <w:vAlign w:val="center"/>
                </w:tcPr>
                <w:p w14:paraId="2F2D362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0543BB2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50</w:t>
                  </w:r>
                </w:p>
              </w:tc>
              <w:tc>
                <w:tcPr>
                  <w:tcW w:w="682" w:type="pct"/>
                  <w:tcBorders>
                    <w:top w:val="nil"/>
                    <w:left w:val="nil"/>
                    <w:bottom w:val="single" w:color="auto" w:sz="4" w:space="0"/>
                    <w:right w:val="single" w:color="auto" w:sz="4" w:space="0"/>
                  </w:tcBorders>
                  <w:noWrap w:val="0"/>
                  <w:vAlign w:val="center"/>
                </w:tcPr>
                <w:p w14:paraId="6DA466C0">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c>
                <w:tcPr>
                  <w:tcW w:w="714" w:type="pct"/>
                  <w:tcBorders>
                    <w:top w:val="nil"/>
                    <w:left w:val="nil"/>
                    <w:bottom w:val="single" w:color="auto" w:sz="4" w:space="0"/>
                    <w:right w:val="single" w:color="auto" w:sz="4" w:space="0"/>
                  </w:tcBorders>
                  <w:noWrap w:val="0"/>
                  <w:vAlign w:val="center"/>
                </w:tcPr>
                <w:p w14:paraId="26AD31E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常温储存</w:t>
                  </w:r>
                </w:p>
              </w:tc>
            </w:tr>
            <w:tr w14:paraId="46D7FD10">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6ABBD3E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039" w:type="pct"/>
                  <w:tcBorders>
                    <w:top w:val="nil"/>
                    <w:left w:val="nil"/>
                    <w:bottom w:val="single" w:color="auto" w:sz="4" w:space="0"/>
                    <w:right w:val="single" w:color="auto" w:sz="4" w:space="0"/>
                  </w:tcBorders>
                  <w:noWrap w:val="0"/>
                  <w:vAlign w:val="center"/>
                </w:tcPr>
                <w:p w14:paraId="714BD03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盐酸氯丙嗪片</w:t>
                  </w:r>
                </w:p>
              </w:tc>
              <w:tc>
                <w:tcPr>
                  <w:tcW w:w="950" w:type="pct"/>
                  <w:tcBorders>
                    <w:top w:val="nil"/>
                    <w:left w:val="nil"/>
                    <w:bottom w:val="single" w:color="auto" w:sz="4" w:space="0"/>
                    <w:right w:val="single" w:color="auto" w:sz="4" w:space="0"/>
                  </w:tcBorders>
                  <w:noWrap w:val="0"/>
                  <w:vAlign w:val="center"/>
                </w:tcPr>
                <w:p w14:paraId="6BB0A235">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25mg</w:t>
                  </w:r>
                  <w:r>
                    <w:rPr>
                      <w:rFonts w:hint="eastAsia"/>
                      <w:color w:val="auto"/>
                      <w:lang w:val="en-US" w:eastAsia="zh-CN"/>
                    </w:rPr>
                    <w:t>/片</w:t>
                  </w:r>
                </w:p>
              </w:tc>
              <w:tc>
                <w:tcPr>
                  <w:tcW w:w="488" w:type="pct"/>
                  <w:tcBorders>
                    <w:top w:val="nil"/>
                    <w:left w:val="nil"/>
                    <w:bottom w:val="single" w:color="auto" w:sz="4" w:space="0"/>
                    <w:right w:val="single" w:color="auto" w:sz="4" w:space="0"/>
                  </w:tcBorders>
                  <w:noWrap w:val="0"/>
                  <w:vAlign w:val="center"/>
                </w:tcPr>
                <w:p w14:paraId="76C4EB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305B32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97</w:t>
                  </w:r>
                </w:p>
              </w:tc>
              <w:tc>
                <w:tcPr>
                  <w:tcW w:w="682" w:type="pct"/>
                  <w:tcBorders>
                    <w:top w:val="nil"/>
                    <w:left w:val="nil"/>
                    <w:bottom w:val="single" w:color="auto" w:sz="4" w:space="0"/>
                    <w:right w:val="single" w:color="auto" w:sz="4" w:space="0"/>
                  </w:tcBorders>
                  <w:noWrap w:val="0"/>
                  <w:vAlign w:val="center"/>
                </w:tcPr>
                <w:p w14:paraId="2496A4D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714" w:type="pct"/>
                  <w:tcBorders>
                    <w:top w:val="nil"/>
                    <w:left w:val="nil"/>
                    <w:bottom w:val="single" w:color="auto" w:sz="4" w:space="0"/>
                    <w:right w:val="single" w:color="auto" w:sz="4" w:space="0"/>
                  </w:tcBorders>
                  <w:noWrap w:val="0"/>
                  <w:vAlign w:val="center"/>
                </w:tcPr>
                <w:p w14:paraId="35D6D94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常温储存</w:t>
                  </w:r>
                </w:p>
              </w:tc>
            </w:tr>
            <w:tr w14:paraId="79713B60">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0A2D589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039" w:type="pct"/>
                  <w:tcBorders>
                    <w:top w:val="nil"/>
                    <w:left w:val="nil"/>
                    <w:bottom w:val="single" w:color="auto" w:sz="4" w:space="0"/>
                    <w:right w:val="single" w:color="auto" w:sz="4" w:space="0"/>
                  </w:tcBorders>
                  <w:noWrap w:val="0"/>
                  <w:vAlign w:val="center"/>
                </w:tcPr>
                <w:p w14:paraId="411C77A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奥氮平片</w:t>
                  </w:r>
                </w:p>
              </w:tc>
              <w:tc>
                <w:tcPr>
                  <w:tcW w:w="950" w:type="pct"/>
                  <w:tcBorders>
                    <w:top w:val="nil"/>
                    <w:left w:val="nil"/>
                    <w:bottom w:val="single" w:color="auto" w:sz="4" w:space="0"/>
                    <w:right w:val="single" w:color="auto" w:sz="4" w:space="0"/>
                  </w:tcBorders>
                  <w:noWrap w:val="0"/>
                  <w:vAlign w:val="center"/>
                </w:tcPr>
                <w:p w14:paraId="610C5D3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5mg*14片</w:t>
                  </w:r>
                </w:p>
              </w:tc>
              <w:tc>
                <w:tcPr>
                  <w:tcW w:w="488" w:type="pct"/>
                  <w:tcBorders>
                    <w:top w:val="nil"/>
                    <w:left w:val="nil"/>
                    <w:bottom w:val="single" w:color="auto" w:sz="4" w:space="0"/>
                    <w:right w:val="single" w:color="auto" w:sz="4" w:space="0"/>
                  </w:tcBorders>
                  <w:noWrap w:val="0"/>
                  <w:vAlign w:val="center"/>
                </w:tcPr>
                <w:p w14:paraId="6A38111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499E61F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256</w:t>
                  </w:r>
                </w:p>
              </w:tc>
              <w:tc>
                <w:tcPr>
                  <w:tcW w:w="682" w:type="pct"/>
                  <w:tcBorders>
                    <w:top w:val="nil"/>
                    <w:left w:val="nil"/>
                    <w:bottom w:val="single" w:color="auto" w:sz="4" w:space="0"/>
                    <w:right w:val="single" w:color="auto" w:sz="4" w:space="0"/>
                  </w:tcBorders>
                  <w:noWrap w:val="0"/>
                  <w:vAlign w:val="center"/>
                </w:tcPr>
                <w:p w14:paraId="61129195">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401</w:t>
                  </w:r>
                </w:p>
              </w:tc>
              <w:tc>
                <w:tcPr>
                  <w:tcW w:w="714" w:type="pct"/>
                  <w:tcBorders>
                    <w:top w:val="nil"/>
                    <w:left w:val="nil"/>
                    <w:bottom w:val="single" w:color="auto" w:sz="4" w:space="0"/>
                    <w:right w:val="single" w:color="auto" w:sz="4" w:space="0"/>
                  </w:tcBorders>
                  <w:noWrap w:val="0"/>
                  <w:vAlign w:val="center"/>
                </w:tcPr>
                <w:p w14:paraId="50CFA8B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28C76328">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7AC3ECB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039" w:type="pct"/>
                  <w:tcBorders>
                    <w:top w:val="nil"/>
                    <w:left w:val="nil"/>
                    <w:bottom w:val="single" w:color="auto" w:sz="4" w:space="0"/>
                    <w:right w:val="single" w:color="auto" w:sz="4" w:space="0"/>
                  </w:tcBorders>
                  <w:noWrap w:val="0"/>
                  <w:vAlign w:val="center"/>
                </w:tcPr>
                <w:p w14:paraId="3A5F5D3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阿立哌唑口崩片</w:t>
                  </w:r>
                </w:p>
              </w:tc>
              <w:tc>
                <w:tcPr>
                  <w:tcW w:w="950" w:type="pct"/>
                  <w:tcBorders>
                    <w:top w:val="nil"/>
                    <w:left w:val="nil"/>
                    <w:bottom w:val="single" w:color="auto" w:sz="4" w:space="0"/>
                    <w:right w:val="single" w:color="auto" w:sz="4" w:space="0"/>
                  </w:tcBorders>
                  <w:noWrap w:val="0"/>
                  <w:vAlign w:val="center"/>
                </w:tcPr>
                <w:p w14:paraId="0B3BED0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5mg*20片</w:t>
                  </w:r>
                </w:p>
              </w:tc>
              <w:tc>
                <w:tcPr>
                  <w:tcW w:w="488" w:type="pct"/>
                  <w:tcBorders>
                    <w:top w:val="nil"/>
                    <w:left w:val="nil"/>
                    <w:bottom w:val="single" w:color="auto" w:sz="4" w:space="0"/>
                    <w:right w:val="single" w:color="auto" w:sz="4" w:space="0"/>
                  </w:tcBorders>
                  <w:noWrap w:val="0"/>
                  <w:vAlign w:val="center"/>
                </w:tcPr>
                <w:p w14:paraId="408DA0A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4781071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260</w:t>
                  </w:r>
                </w:p>
              </w:tc>
              <w:tc>
                <w:tcPr>
                  <w:tcW w:w="682" w:type="pct"/>
                  <w:tcBorders>
                    <w:top w:val="nil"/>
                    <w:left w:val="nil"/>
                    <w:bottom w:val="single" w:color="auto" w:sz="4" w:space="0"/>
                    <w:right w:val="single" w:color="auto" w:sz="4" w:space="0"/>
                  </w:tcBorders>
                  <w:noWrap w:val="0"/>
                  <w:vAlign w:val="center"/>
                </w:tcPr>
                <w:p w14:paraId="2067D84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714" w:type="pct"/>
                  <w:tcBorders>
                    <w:top w:val="nil"/>
                    <w:left w:val="nil"/>
                    <w:bottom w:val="single" w:color="auto" w:sz="4" w:space="0"/>
                    <w:right w:val="single" w:color="auto" w:sz="4" w:space="0"/>
                  </w:tcBorders>
                  <w:noWrap w:val="0"/>
                  <w:vAlign w:val="center"/>
                </w:tcPr>
                <w:p w14:paraId="1B69479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294489B4">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2037FF4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039" w:type="pct"/>
                  <w:tcBorders>
                    <w:top w:val="nil"/>
                    <w:left w:val="nil"/>
                    <w:bottom w:val="single" w:color="auto" w:sz="4" w:space="0"/>
                    <w:right w:val="single" w:color="auto" w:sz="4" w:space="0"/>
                  </w:tcBorders>
                  <w:noWrap w:val="0"/>
                  <w:vAlign w:val="center"/>
                </w:tcPr>
                <w:p w14:paraId="32EADA1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富马酸喹硫平片</w:t>
                  </w:r>
                </w:p>
              </w:tc>
              <w:tc>
                <w:tcPr>
                  <w:tcW w:w="950" w:type="pct"/>
                  <w:tcBorders>
                    <w:top w:val="nil"/>
                    <w:left w:val="nil"/>
                    <w:bottom w:val="single" w:color="auto" w:sz="4" w:space="0"/>
                    <w:right w:val="single" w:color="auto" w:sz="4" w:space="0"/>
                  </w:tcBorders>
                  <w:noWrap w:val="0"/>
                  <w:vAlign w:val="center"/>
                </w:tcPr>
                <w:p w14:paraId="4CD7CE1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0.1g*30片</w:t>
                  </w:r>
                </w:p>
              </w:tc>
              <w:tc>
                <w:tcPr>
                  <w:tcW w:w="488" w:type="pct"/>
                  <w:tcBorders>
                    <w:top w:val="nil"/>
                    <w:left w:val="nil"/>
                    <w:bottom w:val="single" w:color="auto" w:sz="4" w:space="0"/>
                    <w:right w:val="single" w:color="auto" w:sz="4" w:space="0"/>
                  </w:tcBorders>
                  <w:noWrap w:val="0"/>
                  <w:vAlign w:val="center"/>
                </w:tcPr>
                <w:p w14:paraId="339D5B6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043BBB9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91</w:t>
                  </w:r>
                </w:p>
              </w:tc>
              <w:tc>
                <w:tcPr>
                  <w:tcW w:w="682" w:type="pct"/>
                  <w:tcBorders>
                    <w:top w:val="nil"/>
                    <w:left w:val="nil"/>
                    <w:bottom w:val="single" w:color="auto" w:sz="4" w:space="0"/>
                    <w:right w:val="single" w:color="auto" w:sz="4" w:space="0"/>
                  </w:tcBorders>
                  <w:noWrap w:val="0"/>
                  <w:vAlign w:val="center"/>
                </w:tcPr>
                <w:p w14:paraId="1031CEEF">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714" w:type="pct"/>
                  <w:tcBorders>
                    <w:top w:val="nil"/>
                    <w:left w:val="nil"/>
                    <w:bottom w:val="single" w:color="auto" w:sz="4" w:space="0"/>
                    <w:right w:val="single" w:color="auto" w:sz="4" w:space="0"/>
                  </w:tcBorders>
                  <w:noWrap w:val="0"/>
                  <w:vAlign w:val="center"/>
                </w:tcPr>
                <w:p w14:paraId="051C1CC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3BF6E4C1">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6BA4DA5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039" w:type="pct"/>
                  <w:tcBorders>
                    <w:top w:val="nil"/>
                    <w:left w:val="nil"/>
                    <w:bottom w:val="single" w:color="auto" w:sz="4" w:space="0"/>
                    <w:right w:val="single" w:color="auto" w:sz="4" w:space="0"/>
                  </w:tcBorders>
                  <w:noWrap w:val="0"/>
                  <w:vAlign w:val="center"/>
                </w:tcPr>
                <w:p w14:paraId="78E4EE5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利培酮片</w:t>
                  </w:r>
                </w:p>
              </w:tc>
              <w:tc>
                <w:tcPr>
                  <w:tcW w:w="950" w:type="pct"/>
                  <w:tcBorders>
                    <w:top w:val="nil"/>
                    <w:left w:val="nil"/>
                    <w:bottom w:val="single" w:color="auto" w:sz="4" w:space="0"/>
                    <w:right w:val="single" w:color="auto" w:sz="4" w:space="0"/>
                  </w:tcBorders>
                  <w:noWrap w:val="0"/>
                  <w:vAlign w:val="center"/>
                </w:tcPr>
                <w:p w14:paraId="29E8C11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1mg*30片</w:t>
                  </w:r>
                </w:p>
              </w:tc>
              <w:tc>
                <w:tcPr>
                  <w:tcW w:w="488" w:type="pct"/>
                  <w:tcBorders>
                    <w:top w:val="nil"/>
                    <w:left w:val="nil"/>
                    <w:bottom w:val="single" w:color="auto" w:sz="4" w:space="0"/>
                    <w:right w:val="single" w:color="auto" w:sz="4" w:space="0"/>
                  </w:tcBorders>
                  <w:noWrap w:val="0"/>
                  <w:vAlign w:val="center"/>
                </w:tcPr>
                <w:p w14:paraId="0E7D298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07B7A06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175</w:t>
                  </w:r>
                </w:p>
              </w:tc>
              <w:tc>
                <w:tcPr>
                  <w:tcW w:w="682" w:type="pct"/>
                  <w:tcBorders>
                    <w:top w:val="nil"/>
                    <w:left w:val="nil"/>
                    <w:bottom w:val="single" w:color="auto" w:sz="4" w:space="0"/>
                    <w:right w:val="single" w:color="auto" w:sz="4" w:space="0"/>
                  </w:tcBorders>
                  <w:noWrap w:val="0"/>
                  <w:vAlign w:val="center"/>
                </w:tcPr>
                <w:p w14:paraId="384536D9">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714" w:type="pct"/>
                  <w:tcBorders>
                    <w:top w:val="nil"/>
                    <w:left w:val="nil"/>
                    <w:bottom w:val="single" w:color="auto" w:sz="4" w:space="0"/>
                    <w:right w:val="single" w:color="auto" w:sz="4" w:space="0"/>
                  </w:tcBorders>
                  <w:noWrap w:val="0"/>
                  <w:vAlign w:val="center"/>
                </w:tcPr>
                <w:p w14:paraId="0FDF764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6E15DBD2">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139DF1D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039" w:type="pct"/>
                  <w:tcBorders>
                    <w:top w:val="nil"/>
                    <w:left w:val="nil"/>
                    <w:bottom w:val="single" w:color="auto" w:sz="4" w:space="0"/>
                    <w:right w:val="single" w:color="auto" w:sz="4" w:space="0"/>
                  </w:tcBorders>
                  <w:noWrap w:val="0"/>
                  <w:vAlign w:val="center"/>
                </w:tcPr>
                <w:p w14:paraId="1292C72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利培酮片维思通</w:t>
                  </w:r>
                </w:p>
              </w:tc>
              <w:tc>
                <w:tcPr>
                  <w:tcW w:w="950" w:type="pct"/>
                  <w:tcBorders>
                    <w:top w:val="nil"/>
                    <w:left w:val="nil"/>
                    <w:bottom w:val="single" w:color="auto" w:sz="4" w:space="0"/>
                    <w:right w:val="single" w:color="auto" w:sz="4" w:space="0"/>
                  </w:tcBorders>
                  <w:noWrap w:val="0"/>
                  <w:vAlign w:val="center"/>
                </w:tcPr>
                <w:p w14:paraId="786D8B9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1mg*20片</w:t>
                  </w:r>
                </w:p>
              </w:tc>
              <w:tc>
                <w:tcPr>
                  <w:tcW w:w="488" w:type="pct"/>
                  <w:tcBorders>
                    <w:top w:val="nil"/>
                    <w:left w:val="nil"/>
                    <w:bottom w:val="single" w:color="auto" w:sz="4" w:space="0"/>
                    <w:right w:val="single" w:color="auto" w:sz="4" w:space="0"/>
                  </w:tcBorders>
                  <w:noWrap w:val="0"/>
                  <w:vAlign w:val="center"/>
                </w:tcPr>
                <w:p w14:paraId="6422D6C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66BF0BA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142</w:t>
                  </w:r>
                </w:p>
              </w:tc>
              <w:tc>
                <w:tcPr>
                  <w:tcW w:w="682" w:type="pct"/>
                  <w:tcBorders>
                    <w:top w:val="nil"/>
                    <w:left w:val="nil"/>
                    <w:bottom w:val="single" w:color="auto" w:sz="4" w:space="0"/>
                    <w:right w:val="single" w:color="auto" w:sz="4" w:space="0"/>
                  </w:tcBorders>
                  <w:noWrap w:val="0"/>
                  <w:vAlign w:val="center"/>
                </w:tcPr>
                <w:p w14:paraId="2DC4766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222</w:t>
                  </w:r>
                </w:p>
              </w:tc>
              <w:tc>
                <w:tcPr>
                  <w:tcW w:w="714" w:type="pct"/>
                  <w:tcBorders>
                    <w:top w:val="nil"/>
                    <w:left w:val="nil"/>
                    <w:bottom w:val="single" w:color="auto" w:sz="4" w:space="0"/>
                    <w:right w:val="single" w:color="auto" w:sz="4" w:space="0"/>
                  </w:tcBorders>
                  <w:noWrap w:val="0"/>
                  <w:vAlign w:val="center"/>
                </w:tcPr>
                <w:p w14:paraId="288E848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5DD3C956">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473B718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039" w:type="pct"/>
                  <w:tcBorders>
                    <w:top w:val="nil"/>
                    <w:left w:val="nil"/>
                    <w:bottom w:val="single" w:color="auto" w:sz="4" w:space="0"/>
                    <w:right w:val="single" w:color="auto" w:sz="4" w:space="0"/>
                  </w:tcBorders>
                  <w:noWrap w:val="0"/>
                  <w:vAlign w:val="center"/>
                </w:tcPr>
                <w:p w14:paraId="56D7ABF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丙戊酸钠缓释片</w:t>
                  </w:r>
                </w:p>
              </w:tc>
              <w:tc>
                <w:tcPr>
                  <w:tcW w:w="950" w:type="pct"/>
                  <w:tcBorders>
                    <w:top w:val="nil"/>
                    <w:left w:val="nil"/>
                    <w:bottom w:val="single" w:color="auto" w:sz="4" w:space="0"/>
                    <w:right w:val="single" w:color="auto" w:sz="4" w:space="0"/>
                  </w:tcBorders>
                  <w:noWrap w:val="0"/>
                  <w:vAlign w:val="center"/>
                </w:tcPr>
                <w:p w14:paraId="1E3FF30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0.5g*30片</w:t>
                  </w:r>
                </w:p>
              </w:tc>
              <w:tc>
                <w:tcPr>
                  <w:tcW w:w="488" w:type="pct"/>
                  <w:tcBorders>
                    <w:top w:val="nil"/>
                    <w:left w:val="nil"/>
                    <w:bottom w:val="single" w:color="auto" w:sz="4" w:space="0"/>
                    <w:right w:val="single" w:color="auto" w:sz="4" w:space="0"/>
                  </w:tcBorders>
                  <w:noWrap w:val="0"/>
                  <w:vAlign w:val="center"/>
                </w:tcPr>
                <w:p w14:paraId="7949DA0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2AF610E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36</w:t>
                  </w:r>
                </w:p>
              </w:tc>
              <w:tc>
                <w:tcPr>
                  <w:tcW w:w="682" w:type="pct"/>
                  <w:tcBorders>
                    <w:top w:val="nil"/>
                    <w:left w:val="nil"/>
                    <w:bottom w:val="single" w:color="auto" w:sz="4" w:space="0"/>
                    <w:right w:val="single" w:color="auto" w:sz="4" w:space="0"/>
                  </w:tcBorders>
                  <w:noWrap w:val="0"/>
                  <w:vAlign w:val="center"/>
                </w:tcPr>
                <w:p w14:paraId="46D63945">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w:t>
                  </w:r>
                </w:p>
              </w:tc>
              <w:tc>
                <w:tcPr>
                  <w:tcW w:w="714" w:type="pct"/>
                  <w:tcBorders>
                    <w:top w:val="nil"/>
                    <w:left w:val="nil"/>
                    <w:bottom w:val="single" w:color="auto" w:sz="4" w:space="0"/>
                    <w:right w:val="single" w:color="auto" w:sz="4" w:space="0"/>
                  </w:tcBorders>
                  <w:noWrap w:val="0"/>
                  <w:vAlign w:val="center"/>
                </w:tcPr>
                <w:p w14:paraId="4771509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547FFF57">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6B40CAF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039" w:type="pct"/>
                  <w:tcBorders>
                    <w:top w:val="nil"/>
                    <w:left w:val="nil"/>
                    <w:bottom w:val="single" w:color="auto" w:sz="4" w:space="0"/>
                    <w:right w:val="single" w:color="auto" w:sz="4" w:space="0"/>
                  </w:tcBorders>
                  <w:noWrap w:val="0"/>
                  <w:vAlign w:val="center"/>
                </w:tcPr>
                <w:p w14:paraId="6A29134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舒必利片</w:t>
                  </w:r>
                </w:p>
              </w:tc>
              <w:tc>
                <w:tcPr>
                  <w:tcW w:w="950" w:type="pct"/>
                  <w:tcBorders>
                    <w:top w:val="nil"/>
                    <w:left w:val="nil"/>
                    <w:bottom w:val="single" w:color="auto" w:sz="4" w:space="0"/>
                    <w:right w:val="single" w:color="auto" w:sz="4" w:space="0"/>
                  </w:tcBorders>
                  <w:noWrap w:val="0"/>
                  <w:vAlign w:val="center"/>
                </w:tcPr>
                <w:p w14:paraId="660DB69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0.1g*100</w:t>
                  </w:r>
                </w:p>
              </w:tc>
              <w:tc>
                <w:tcPr>
                  <w:tcW w:w="488" w:type="pct"/>
                  <w:tcBorders>
                    <w:top w:val="nil"/>
                    <w:left w:val="nil"/>
                    <w:bottom w:val="single" w:color="auto" w:sz="4" w:space="0"/>
                    <w:right w:val="single" w:color="auto" w:sz="4" w:space="0"/>
                  </w:tcBorders>
                  <w:noWrap w:val="0"/>
                  <w:vAlign w:val="center"/>
                </w:tcPr>
                <w:p w14:paraId="0809975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2105DDA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54</w:t>
                  </w:r>
                </w:p>
              </w:tc>
              <w:tc>
                <w:tcPr>
                  <w:tcW w:w="682" w:type="pct"/>
                  <w:tcBorders>
                    <w:top w:val="nil"/>
                    <w:left w:val="nil"/>
                    <w:bottom w:val="single" w:color="auto" w:sz="4" w:space="0"/>
                    <w:right w:val="single" w:color="auto" w:sz="4" w:space="0"/>
                  </w:tcBorders>
                  <w:noWrap w:val="0"/>
                  <w:vAlign w:val="center"/>
                </w:tcPr>
                <w:p w14:paraId="34CFE724">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14" w:type="pct"/>
                  <w:tcBorders>
                    <w:top w:val="nil"/>
                    <w:left w:val="nil"/>
                    <w:bottom w:val="single" w:color="auto" w:sz="4" w:space="0"/>
                    <w:right w:val="single" w:color="auto" w:sz="4" w:space="0"/>
                  </w:tcBorders>
                  <w:noWrap w:val="0"/>
                  <w:vAlign w:val="center"/>
                </w:tcPr>
                <w:p w14:paraId="07E7FC6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731E56DE">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47E93B3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w:t>
                  </w:r>
                </w:p>
              </w:tc>
              <w:tc>
                <w:tcPr>
                  <w:tcW w:w="1039" w:type="pct"/>
                  <w:tcBorders>
                    <w:top w:val="nil"/>
                    <w:left w:val="nil"/>
                    <w:bottom w:val="single" w:color="auto" w:sz="4" w:space="0"/>
                    <w:right w:val="single" w:color="auto" w:sz="4" w:space="0"/>
                  </w:tcBorders>
                  <w:noWrap w:val="0"/>
                  <w:vAlign w:val="center"/>
                </w:tcPr>
                <w:p w14:paraId="565E37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碳酸锂片</w:t>
                  </w:r>
                </w:p>
              </w:tc>
              <w:tc>
                <w:tcPr>
                  <w:tcW w:w="950" w:type="pct"/>
                  <w:tcBorders>
                    <w:top w:val="nil"/>
                    <w:left w:val="nil"/>
                    <w:bottom w:val="single" w:color="auto" w:sz="4" w:space="0"/>
                    <w:right w:val="single" w:color="auto" w:sz="4" w:space="0"/>
                  </w:tcBorders>
                  <w:noWrap w:val="0"/>
                  <w:vAlign w:val="center"/>
                </w:tcPr>
                <w:p w14:paraId="6839233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0.25g*100片</w:t>
                  </w:r>
                </w:p>
              </w:tc>
              <w:tc>
                <w:tcPr>
                  <w:tcW w:w="488" w:type="pct"/>
                  <w:tcBorders>
                    <w:top w:val="nil"/>
                    <w:left w:val="nil"/>
                    <w:bottom w:val="single" w:color="auto" w:sz="4" w:space="0"/>
                    <w:right w:val="single" w:color="auto" w:sz="4" w:space="0"/>
                  </w:tcBorders>
                  <w:noWrap w:val="0"/>
                  <w:vAlign w:val="center"/>
                </w:tcPr>
                <w:p w14:paraId="65FAAAB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155FE03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7</w:t>
                  </w:r>
                </w:p>
              </w:tc>
              <w:tc>
                <w:tcPr>
                  <w:tcW w:w="682" w:type="pct"/>
                  <w:tcBorders>
                    <w:top w:val="nil"/>
                    <w:left w:val="nil"/>
                    <w:bottom w:val="single" w:color="auto" w:sz="4" w:space="0"/>
                    <w:right w:val="single" w:color="auto" w:sz="4" w:space="0"/>
                  </w:tcBorders>
                  <w:noWrap w:val="0"/>
                  <w:vAlign w:val="center"/>
                </w:tcPr>
                <w:p w14:paraId="27BBD52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714" w:type="pct"/>
                  <w:tcBorders>
                    <w:top w:val="nil"/>
                    <w:left w:val="nil"/>
                    <w:bottom w:val="single" w:color="auto" w:sz="4" w:space="0"/>
                    <w:right w:val="single" w:color="auto" w:sz="4" w:space="0"/>
                  </w:tcBorders>
                  <w:noWrap w:val="0"/>
                  <w:vAlign w:val="center"/>
                </w:tcPr>
                <w:p w14:paraId="258447B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320723A7">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4B50DF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1039" w:type="pct"/>
                  <w:tcBorders>
                    <w:top w:val="nil"/>
                    <w:left w:val="nil"/>
                    <w:bottom w:val="single" w:color="auto" w:sz="4" w:space="0"/>
                    <w:right w:val="single" w:color="auto" w:sz="4" w:space="0"/>
                  </w:tcBorders>
                  <w:noWrap w:val="0"/>
                  <w:vAlign w:val="center"/>
                </w:tcPr>
                <w:p w14:paraId="506FD80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奋乃静片</w:t>
                  </w:r>
                </w:p>
              </w:tc>
              <w:tc>
                <w:tcPr>
                  <w:tcW w:w="950" w:type="pct"/>
                  <w:tcBorders>
                    <w:top w:val="nil"/>
                    <w:left w:val="nil"/>
                    <w:bottom w:val="single" w:color="auto" w:sz="4" w:space="0"/>
                    <w:right w:val="single" w:color="auto" w:sz="4" w:space="0"/>
                  </w:tcBorders>
                  <w:noWrap w:val="0"/>
                  <w:vAlign w:val="center"/>
                </w:tcPr>
                <w:p w14:paraId="785FEBA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4mg*100</w:t>
                  </w:r>
                </w:p>
              </w:tc>
              <w:tc>
                <w:tcPr>
                  <w:tcW w:w="488" w:type="pct"/>
                  <w:tcBorders>
                    <w:top w:val="nil"/>
                    <w:left w:val="nil"/>
                    <w:bottom w:val="single" w:color="auto" w:sz="4" w:space="0"/>
                    <w:right w:val="single" w:color="auto" w:sz="4" w:space="0"/>
                  </w:tcBorders>
                  <w:noWrap w:val="0"/>
                  <w:vAlign w:val="center"/>
                </w:tcPr>
                <w:p w14:paraId="6E22F9B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60C5C44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w:t>
                  </w:r>
                </w:p>
              </w:tc>
              <w:tc>
                <w:tcPr>
                  <w:tcW w:w="682" w:type="pct"/>
                  <w:tcBorders>
                    <w:top w:val="nil"/>
                    <w:left w:val="nil"/>
                    <w:bottom w:val="single" w:color="auto" w:sz="4" w:space="0"/>
                    <w:right w:val="single" w:color="auto" w:sz="4" w:space="0"/>
                  </w:tcBorders>
                  <w:noWrap w:val="0"/>
                  <w:vAlign w:val="center"/>
                </w:tcPr>
                <w:p w14:paraId="084A4E1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714" w:type="pct"/>
                  <w:tcBorders>
                    <w:top w:val="nil"/>
                    <w:left w:val="nil"/>
                    <w:bottom w:val="single" w:color="auto" w:sz="4" w:space="0"/>
                    <w:right w:val="single" w:color="auto" w:sz="4" w:space="0"/>
                  </w:tcBorders>
                  <w:noWrap w:val="0"/>
                  <w:vAlign w:val="center"/>
                </w:tcPr>
                <w:p w14:paraId="24B0F4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4A87C316">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5B92FBD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1039" w:type="pct"/>
                  <w:tcBorders>
                    <w:top w:val="nil"/>
                    <w:left w:val="nil"/>
                    <w:bottom w:val="single" w:color="auto" w:sz="4" w:space="0"/>
                    <w:right w:val="single" w:color="auto" w:sz="4" w:space="0"/>
                  </w:tcBorders>
                  <w:noWrap w:val="0"/>
                  <w:vAlign w:val="center"/>
                </w:tcPr>
                <w:p w14:paraId="0AA4685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地西泮片</w:t>
                  </w:r>
                </w:p>
              </w:tc>
              <w:tc>
                <w:tcPr>
                  <w:tcW w:w="950" w:type="pct"/>
                  <w:tcBorders>
                    <w:top w:val="nil"/>
                    <w:left w:val="nil"/>
                    <w:bottom w:val="single" w:color="auto" w:sz="4" w:space="0"/>
                    <w:right w:val="single" w:color="auto" w:sz="4" w:space="0"/>
                  </w:tcBorders>
                  <w:noWrap w:val="0"/>
                  <w:vAlign w:val="center"/>
                </w:tcPr>
                <w:p w14:paraId="2566F34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2.5mg*100</w:t>
                  </w:r>
                </w:p>
              </w:tc>
              <w:tc>
                <w:tcPr>
                  <w:tcW w:w="488" w:type="pct"/>
                  <w:tcBorders>
                    <w:top w:val="nil"/>
                    <w:left w:val="nil"/>
                    <w:bottom w:val="single" w:color="auto" w:sz="4" w:space="0"/>
                    <w:right w:val="single" w:color="auto" w:sz="4" w:space="0"/>
                  </w:tcBorders>
                  <w:noWrap w:val="0"/>
                  <w:vAlign w:val="center"/>
                </w:tcPr>
                <w:p w14:paraId="6942AEE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677FD67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43</w:t>
                  </w:r>
                </w:p>
              </w:tc>
              <w:tc>
                <w:tcPr>
                  <w:tcW w:w="682" w:type="pct"/>
                  <w:tcBorders>
                    <w:top w:val="nil"/>
                    <w:left w:val="nil"/>
                    <w:bottom w:val="single" w:color="auto" w:sz="4" w:space="0"/>
                    <w:right w:val="single" w:color="auto" w:sz="4" w:space="0"/>
                  </w:tcBorders>
                  <w:noWrap w:val="0"/>
                  <w:vAlign w:val="center"/>
                </w:tcPr>
                <w:p w14:paraId="4CE92B0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67</w:t>
                  </w:r>
                </w:p>
              </w:tc>
              <w:tc>
                <w:tcPr>
                  <w:tcW w:w="714" w:type="pct"/>
                  <w:tcBorders>
                    <w:top w:val="nil"/>
                    <w:left w:val="nil"/>
                    <w:bottom w:val="single" w:color="auto" w:sz="4" w:space="0"/>
                    <w:right w:val="single" w:color="auto" w:sz="4" w:space="0"/>
                  </w:tcBorders>
                  <w:noWrap w:val="0"/>
                  <w:vAlign w:val="center"/>
                </w:tcPr>
                <w:p w14:paraId="196ADED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7EA9A9A1">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0DAB588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1039" w:type="pct"/>
                  <w:tcBorders>
                    <w:top w:val="nil"/>
                    <w:left w:val="nil"/>
                    <w:bottom w:val="single" w:color="auto" w:sz="4" w:space="0"/>
                    <w:right w:val="single" w:color="auto" w:sz="4" w:space="0"/>
                  </w:tcBorders>
                  <w:noWrap w:val="0"/>
                  <w:vAlign w:val="center"/>
                </w:tcPr>
                <w:p w14:paraId="392D499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阿普唑伦片</w:t>
                  </w:r>
                </w:p>
              </w:tc>
              <w:tc>
                <w:tcPr>
                  <w:tcW w:w="950" w:type="pct"/>
                  <w:tcBorders>
                    <w:top w:val="nil"/>
                    <w:left w:val="nil"/>
                    <w:bottom w:val="single" w:color="auto" w:sz="4" w:space="0"/>
                    <w:right w:val="single" w:color="auto" w:sz="4" w:space="0"/>
                  </w:tcBorders>
                  <w:noWrap w:val="0"/>
                  <w:vAlign w:val="center"/>
                </w:tcPr>
                <w:p w14:paraId="3EEEC17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0.4mg*100</w:t>
                  </w:r>
                </w:p>
              </w:tc>
              <w:tc>
                <w:tcPr>
                  <w:tcW w:w="488" w:type="pct"/>
                  <w:tcBorders>
                    <w:top w:val="nil"/>
                    <w:left w:val="nil"/>
                    <w:bottom w:val="single" w:color="auto" w:sz="4" w:space="0"/>
                    <w:right w:val="single" w:color="auto" w:sz="4" w:space="0"/>
                  </w:tcBorders>
                  <w:noWrap w:val="0"/>
                  <w:vAlign w:val="center"/>
                </w:tcPr>
                <w:p w14:paraId="3E56764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05B597B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18</w:t>
                  </w:r>
                </w:p>
              </w:tc>
              <w:tc>
                <w:tcPr>
                  <w:tcW w:w="682" w:type="pct"/>
                  <w:tcBorders>
                    <w:top w:val="nil"/>
                    <w:left w:val="nil"/>
                    <w:bottom w:val="single" w:color="auto" w:sz="4" w:space="0"/>
                    <w:right w:val="single" w:color="auto" w:sz="4" w:space="0"/>
                  </w:tcBorders>
                  <w:noWrap w:val="0"/>
                  <w:vAlign w:val="center"/>
                </w:tcPr>
                <w:p w14:paraId="69E83F2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14" w:type="pct"/>
                  <w:tcBorders>
                    <w:top w:val="nil"/>
                    <w:left w:val="nil"/>
                    <w:bottom w:val="single" w:color="auto" w:sz="4" w:space="0"/>
                    <w:right w:val="single" w:color="auto" w:sz="4" w:space="0"/>
                  </w:tcBorders>
                  <w:noWrap w:val="0"/>
                  <w:vAlign w:val="center"/>
                </w:tcPr>
                <w:p w14:paraId="4CBA4D8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4F394064">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2B2EA89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w:t>
                  </w:r>
                </w:p>
              </w:tc>
              <w:tc>
                <w:tcPr>
                  <w:tcW w:w="1039" w:type="pct"/>
                  <w:tcBorders>
                    <w:top w:val="nil"/>
                    <w:left w:val="nil"/>
                    <w:bottom w:val="single" w:color="auto" w:sz="4" w:space="0"/>
                    <w:right w:val="single" w:color="auto" w:sz="4" w:space="0"/>
                  </w:tcBorders>
                  <w:noWrap w:val="0"/>
                  <w:vAlign w:val="center"/>
                </w:tcPr>
                <w:p w14:paraId="715406B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艾司唑仑片</w:t>
                  </w:r>
                </w:p>
              </w:tc>
              <w:tc>
                <w:tcPr>
                  <w:tcW w:w="950" w:type="pct"/>
                  <w:tcBorders>
                    <w:top w:val="nil"/>
                    <w:left w:val="nil"/>
                    <w:bottom w:val="single" w:color="auto" w:sz="4" w:space="0"/>
                    <w:right w:val="single" w:color="auto" w:sz="4" w:space="0"/>
                  </w:tcBorders>
                  <w:noWrap w:val="0"/>
                  <w:vAlign w:val="center"/>
                </w:tcPr>
                <w:p w14:paraId="0C111C8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1mg*100</w:t>
                  </w:r>
                </w:p>
              </w:tc>
              <w:tc>
                <w:tcPr>
                  <w:tcW w:w="488" w:type="pct"/>
                  <w:tcBorders>
                    <w:top w:val="nil"/>
                    <w:left w:val="nil"/>
                    <w:bottom w:val="single" w:color="auto" w:sz="4" w:space="0"/>
                    <w:right w:val="single" w:color="auto" w:sz="4" w:space="0"/>
                  </w:tcBorders>
                  <w:noWrap w:val="0"/>
                  <w:vAlign w:val="center"/>
                </w:tcPr>
                <w:p w14:paraId="3E40211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2C9D15D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19</w:t>
                  </w:r>
                </w:p>
              </w:tc>
              <w:tc>
                <w:tcPr>
                  <w:tcW w:w="682" w:type="pct"/>
                  <w:tcBorders>
                    <w:top w:val="nil"/>
                    <w:left w:val="nil"/>
                    <w:bottom w:val="single" w:color="auto" w:sz="4" w:space="0"/>
                    <w:right w:val="single" w:color="auto" w:sz="4" w:space="0"/>
                  </w:tcBorders>
                  <w:noWrap w:val="0"/>
                  <w:vAlign w:val="center"/>
                </w:tcPr>
                <w:p w14:paraId="17EA79E8">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14" w:type="pct"/>
                  <w:tcBorders>
                    <w:top w:val="nil"/>
                    <w:left w:val="nil"/>
                    <w:bottom w:val="single" w:color="auto" w:sz="4" w:space="0"/>
                    <w:right w:val="single" w:color="auto" w:sz="4" w:space="0"/>
                  </w:tcBorders>
                  <w:noWrap w:val="0"/>
                  <w:vAlign w:val="center"/>
                </w:tcPr>
                <w:p w14:paraId="3FBAADA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7C62311A">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7C4698B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w:t>
                  </w:r>
                </w:p>
              </w:tc>
              <w:tc>
                <w:tcPr>
                  <w:tcW w:w="1039" w:type="pct"/>
                  <w:tcBorders>
                    <w:top w:val="nil"/>
                    <w:left w:val="nil"/>
                    <w:bottom w:val="single" w:color="auto" w:sz="4" w:space="0"/>
                    <w:right w:val="single" w:color="auto" w:sz="4" w:space="0"/>
                  </w:tcBorders>
                  <w:noWrap w:val="0"/>
                  <w:vAlign w:val="center"/>
                </w:tcPr>
                <w:p w14:paraId="261E9A9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氯硝西泮片</w:t>
                  </w:r>
                </w:p>
              </w:tc>
              <w:tc>
                <w:tcPr>
                  <w:tcW w:w="950" w:type="pct"/>
                  <w:tcBorders>
                    <w:top w:val="nil"/>
                    <w:left w:val="nil"/>
                    <w:bottom w:val="single" w:color="auto" w:sz="4" w:space="0"/>
                    <w:right w:val="single" w:color="auto" w:sz="4" w:space="0"/>
                  </w:tcBorders>
                  <w:noWrap w:val="0"/>
                  <w:vAlign w:val="center"/>
                </w:tcPr>
                <w:p w14:paraId="045831E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2mg*100片</w:t>
                  </w:r>
                </w:p>
              </w:tc>
              <w:tc>
                <w:tcPr>
                  <w:tcW w:w="488" w:type="pct"/>
                  <w:tcBorders>
                    <w:top w:val="nil"/>
                    <w:left w:val="nil"/>
                    <w:bottom w:val="single" w:color="auto" w:sz="4" w:space="0"/>
                    <w:right w:val="single" w:color="auto" w:sz="4" w:space="0"/>
                  </w:tcBorders>
                  <w:noWrap w:val="0"/>
                  <w:vAlign w:val="center"/>
                </w:tcPr>
                <w:p w14:paraId="7813364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1F9FDB2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w:t>
                  </w:r>
                </w:p>
              </w:tc>
              <w:tc>
                <w:tcPr>
                  <w:tcW w:w="682" w:type="pct"/>
                  <w:tcBorders>
                    <w:top w:val="nil"/>
                    <w:left w:val="nil"/>
                    <w:bottom w:val="single" w:color="auto" w:sz="4" w:space="0"/>
                    <w:right w:val="single" w:color="auto" w:sz="4" w:space="0"/>
                  </w:tcBorders>
                  <w:noWrap w:val="0"/>
                  <w:vAlign w:val="center"/>
                </w:tcPr>
                <w:p w14:paraId="0B648CD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714" w:type="pct"/>
                  <w:tcBorders>
                    <w:top w:val="nil"/>
                    <w:left w:val="nil"/>
                    <w:bottom w:val="single" w:color="auto" w:sz="4" w:space="0"/>
                    <w:right w:val="single" w:color="auto" w:sz="4" w:space="0"/>
                  </w:tcBorders>
                  <w:noWrap w:val="0"/>
                  <w:vAlign w:val="center"/>
                </w:tcPr>
                <w:p w14:paraId="101E5B7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5476A7BB">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0D9B059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w:t>
                  </w:r>
                </w:p>
              </w:tc>
              <w:tc>
                <w:tcPr>
                  <w:tcW w:w="1039" w:type="pct"/>
                  <w:tcBorders>
                    <w:top w:val="nil"/>
                    <w:left w:val="nil"/>
                    <w:bottom w:val="single" w:color="auto" w:sz="4" w:space="0"/>
                    <w:right w:val="single" w:color="auto" w:sz="4" w:space="0"/>
                  </w:tcBorders>
                  <w:noWrap w:val="0"/>
                  <w:vAlign w:val="center"/>
                </w:tcPr>
                <w:p w14:paraId="334F25B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酒石酸唑吡坦片</w:t>
                  </w:r>
                </w:p>
              </w:tc>
              <w:tc>
                <w:tcPr>
                  <w:tcW w:w="950" w:type="pct"/>
                  <w:tcBorders>
                    <w:top w:val="nil"/>
                    <w:left w:val="nil"/>
                    <w:bottom w:val="single" w:color="auto" w:sz="4" w:space="0"/>
                    <w:right w:val="single" w:color="auto" w:sz="4" w:space="0"/>
                  </w:tcBorders>
                  <w:noWrap w:val="0"/>
                  <w:vAlign w:val="center"/>
                </w:tcPr>
                <w:p w14:paraId="4639731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10mg*20片</w:t>
                  </w:r>
                </w:p>
              </w:tc>
              <w:tc>
                <w:tcPr>
                  <w:tcW w:w="488" w:type="pct"/>
                  <w:tcBorders>
                    <w:top w:val="nil"/>
                    <w:left w:val="nil"/>
                    <w:bottom w:val="single" w:color="auto" w:sz="4" w:space="0"/>
                    <w:right w:val="single" w:color="auto" w:sz="4" w:space="0"/>
                  </w:tcBorders>
                  <w:noWrap w:val="0"/>
                  <w:vAlign w:val="center"/>
                </w:tcPr>
                <w:p w14:paraId="50AB69E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4C811DA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35</w:t>
                  </w:r>
                </w:p>
              </w:tc>
              <w:tc>
                <w:tcPr>
                  <w:tcW w:w="682" w:type="pct"/>
                  <w:tcBorders>
                    <w:top w:val="nil"/>
                    <w:left w:val="nil"/>
                    <w:bottom w:val="single" w:color="auto" w:sz="4" w:space="0"/>
                    <w:right w:val="single" w:color="auto" w:sz="4" w:space="0"/>
                  </w:tcBorders>
                  <w:noWrap w:val="0"/>
                  <w:vAlign w:val="center"/>
                </w:tcPr>
                <w:p w14:paraId="0387022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w:t>
                  </w:r>
                </w:p>
              </w:tc>
              <w:tc>
                <w:tcPr>
                  <w:tcW w:w="714" w:type="pct"/>
                  <w:tcBorders>
                    <w:top w:val="nil"/>
                    <w:left w:val="nil"/>
                    <w:bottom w:val="single" w:color="auto" w:sz="4" w:space="0"/>
                    <w:right w:val="single" w:color="auto" w:sz="4" w:space="0"/>
                  </w:tcBorders>
                  <w:noWrap w:val="0"/>
                  <w:vAlign w:val="center"/>
                </w:tcPr>
                <w:p w14:paraId="4A3EAD7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45A24C10">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3923E09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19</w:t>
                  </w:r>
                </w:p>
              </w:tc>
              <w:tc>
                <w:tcPr>
                  <w:tcW w:w="1039" w:type="pct"/>
                  <w:tcBorders>
                    <w:top w:val="nil"/>
                    <w:left w:val="nil"/>
                    <w:bottom w:val="single" w:color="auto" w:sz="4" w:space="0"/>
                    <w:right w:val="single" w:color="auto" w:sz="4" w:space="0"/>
                  </w:tcBorders>
                  <w:noWrap w:val="0"/>
                  <w:vAlign w:val="center"/>
                </w:tcPr>
                <w:p w14:paraId="0431F7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酒石酸</w:t>
                  </w:r>
                  <w:r>
                    <w:rPr>
                      <w:rFonts w:hint="default" w:ascii="Times New Roman" w:hAnsi="Times New Roman" w:cs="Times New Roman"/>
                      <w:color w:val="auto"/>
                      <w:kern w:val="0"/>
                      <w:sz w:val="21"/>
                      <w:szCs w:val="21"/>
                    </w:rPr>
                    <w:t>唑吡片</w:t>
                  </w:r>
                </w:p>
              </w:tc>
              <w:tc>
                <w:tcPr>
                  <w:tcW w:w="950" w:type="pct"/>
                  <w:tcBorders>
                    <w:top w:val="nil"/>
                    <w:left w:val="nil"/>
                    <w:bottom w:val="single" w:color="auto" w:sz="4" w:space="0"/>
                    <w:right w:val="single" w:color="auto" w:sz="4" w:space="0"/>
                  </w:tcBorders>
                  <w:noWrap w:val="0"/>
                  <w:vAlign w:val="center"/>
                </w:tcPr>
                <w:p w14:paraId="4E1EF66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10mg*6片</w:t>
                  </w:r>
                </w:p>
              </w:tc>
              <w:tc>
                <w:tcPr>
                  <w:tcW w:w="488" w:type="pct"/>
                  <w:tcBorders>
                    <w:top w:val="nil"/>
                    <w:left w:val="nil"/>
                    <w:bottom w:val="single" w:color="auto" w:sz="4" w:space="0"/>
                    <w:right w:val="single" w:color="auto" w:sz="4" w:space="0"/>
                  </w:tcBorders>
                  <w:noWrap w:val="0"/>
                  <w:vAlign w:val="center"/>
                </w:tcPr>
                <w:p w14:paraId="3259C97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17B1E7A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390</w:t>
                  </w:r>
                </w:p>
              </w:tc>
              <w:tc>
                <w:tcPr>
                  <w:tcW w:w="682" w:type="pct"/>
                  <w:tcBorders>
                    <w:top w:val="nil"/>
                    <w:left w:val="nil"/>
                    <w:bottom w:val="single" w:color="auto" w:sz="4" w:space="0"/>
                    <w:right w:val="single" w:color="auto" w:sz="4" w:space="0"/>
                  </w:tcBorders>
                  <w:noWrap w:val="0"/>
                  <w:vAlign w:val="center"/>
                </w:tcPr>
                <w:p w14:paraId="46892D9B">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610</w:t>
                  </w:r>
                </w:p>
              </w:tc>
              <w:tc>
                <w:tcPr>
                  <w:tcW w:w="714" w:type="pct"/>
                  <w:tcBorders>
                    <w:top w:val="nil"/>
                    <w:left w:val="nil"/>
                    <w:bottom w:val="single" w:color="auto" w:sz="4" w:space="0"/>
                    <w:right w:val="single" w:color="auto" w:sz="4" w:space="0"/>
                  </w:tcBorders>
                  <w:noWrap w:val="0"/>
                  <w:vAlign w:val="center"/>
                </w:tcPr>
                <w:p w14:paraId="0B0B259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4C379B0C">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7455AED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908600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右佐匹克隆片</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B4627A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3mg*7片</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EACE10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1D24832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0FD4E7D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6D20508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3D59AC08">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F816AF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21</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6572FF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盐酸氟西汀分散片</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324907A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20mg*24片</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09E8163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F87EB2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7370944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0915C0C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08EAF82B">
              <w:tblPrEx>
                <w:tblCellMar>
                  <w:top w:w="0" w:type="dxa"/>
                  <w:left w:w="108" w:type="dxa"/>
                  <w:bottom w:w="0" w:type="dxa"/>
                  <w:right w:w="108" w:type="dxa"/>
                </w:tblCellMar>
              </w:tblPrEx>
              <w:trPr>
                <w:trHeight w:val="272"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83DBC60">
                  <w:pPr>
                    <w:adjustRightInd/>
                    <w:snapToGrid/>
                    <w:spacing w:line="240" w:lineRule="auto"/>
                    <w:ind w:firstLine="0" w:firstLineChars="0"/>
                    <w:jc w:val="cente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医疗用品</w:t>
                  </w:r>
                </w:p>
              </w:tc>
            </w:tr>
            <w:tr w14:paraId="3A22C105">
              <w:tblPrEx>
                <w:tblCellMar>
                  <w:top w:w="0" w:type="dxa"/>
                  <w:left w:w="108" w:type="dxa"/>
                  <w:bottom w:w="0" w:type="dxa"/>
                  <w:right w:w="108" w:type="dxa"/>
                </w:tblCellMar>
              </w:tblPrEx>
              <w:trPr>
                <w:trHeight w:val="1458"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7AD6673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9B7A73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75%乙醇消毒液</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1D3C0AF">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100ml</w:t>
                  </w:r>
                  <w:r>
                    <w:rPr>
                      <w:rFonts w:hint="eastAsia"/>
                      <w:color w:val="auto"/>
                      <w:lang w:val="en-US" w:eastAsia="zh-CN"/>
                    </w:rPr>
                    <w:t>/瓶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44B34A8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637614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0E0B570F">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080235D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最大存放量26瓶，</w:t>
                  </w:r>
                  <w:r>
                    <w:rPr>
                      <w:rFonts w:hint="default" w:ascii="Times New Roman" w:hAnsi="Times New Roman" w:cs="Times New Roman"/>
                      <w:color w:val="auto"/>
                      <w:kern w:val="0"/>
                      <w:sz w:val="21"/>
                      <w:szCs w:val="21"/>
                    </w:rPr>
                    <w:t>隔绝火源、阴凉处储存</w:t>
                  </w:r>
                </w:p>
              </w:tc>
            </w:tr>
            <w:tr w14:paraId="5CD7EDD4">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11E240B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1671D6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84消毒液</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51880D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500g/瓶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A1584C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831437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CA28697">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7C8FB1C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存放在</w:t>
                  </w:r>
                  <w:r>
                    <w:rPr>
                      <w:rFonts w:hint="default" w:ascii="Times New Roman" w:hAnsi="Times New Roman" w:cs="Times New Roman"/>
                      <w:color w:val="auto"/>
                      <w:kern w:val="0"/>
                      <w:sz w:val="21"/>
                      <w:szCs w:val="21"/>
                    </w:rPr>
                    <w:t>阴凉、通风处储存</w:t>
                  </w:r>
                </w:p>
              </w:tc>
            </w:tr>
            <w:tr w14:paraId="76BF9BE4">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C3B958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10E9012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含氯消毒粉</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39C6F2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5g*2200袋/件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026802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3181A1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76DDCA5E">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7377D78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阴凉、通风处储存</w:t>
                  </w:r>
                </w:p>
              </w:tc>
            </w:tr>
            <w:tr w14:paraId="2119251F">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87DAE4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A987A3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洁芙柔抗菌洗手液</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86D3F3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500ml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FAC3DA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5853300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06431FEB">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4FFB775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密封、阴凉处储存</w:t>
                  </w:r>
                </w:p>
              </w:tc>
            </w:tr>
            <w:tr w14:paraId="6A7B7543">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5D04F5F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6E93CED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洁芙柔免洗手消毒凝胶</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5E70DB7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236ml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CDE0E1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524FD1A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4A345099">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119C9FC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密封、阴凉处储存</w:t>
                  </w:r>
                </w:p>
              </w:tc>
            </w:tr>
            <w:tr w14:paraId="7D6BF5CF">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A76A6F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6E3272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一次性薄膜（PE）卫生手套</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5928EE7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5A3B3D3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双</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2B4FB02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2300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55732DE4">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3600</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2D254A0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397CE5D8">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4B259CD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31E08B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一次性尿杯</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65FF36D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30ml</w:t>
                  </w:r>
                  <w:r>
                    <w:rPr>
                      <w:rFonts w:hint="eastAsia" w:cs="Times New Roman"/>
                      <w:color w:val="auto"/>
                      <w:kern w:val="0"/>
                      <w:sz w:val="21"/>
                      <w:szCs w:val="21"/>
                      <w:lang w:val="en-US" w:eastAsia="zh-CN"/>
                    </w:rPr>
                    <w:t>/</w:t>
                  </w:r>
                  <w:r>
                    <w:rPr>
                      <w:rFonts w:hint="default" w:ascii="Times New Roman" w:hAnsi="Times New Roman" w:cs="Times New Roman"/>
                      <w:color w:val="auto"/>
                      <w:kern w:val="0"/>
                      <w:sz w:val="21"/>
                      <w:szCs w:val="21"/>
                    </w:rPr>
                    <w:t>个</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ABD6BD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011B75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5500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44B723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8609</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37953B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0EC9B874">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71AEE7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6BEB421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一次性使用导尿包</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BA4A6F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A4FA32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3DA607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12</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0D26649E">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1AEE513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12DA158D">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1192785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FC5DD7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一次性使用灭菌橡胶外科手套</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6882394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764B7B5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双</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4C9DCEC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60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29AE990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1CEB70C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2C1DAAE2">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1B76F39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6084386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一次性使用输液器</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29039F8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6号、7号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0DD385A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支</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34DC27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270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5483783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423</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65DF882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398C09B0">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42EF09F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C3201F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一次性使用无菌注射器</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627974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1、5、20ml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FCC6F4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支</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C34642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4F89822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1252</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35E361C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6C061B0D">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6D69E75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5E9F22A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一次性使用吸痰管</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5B43C10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4B7FE23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支</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138C82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28</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4F727D4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0983577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2021A126">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AE780F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9B79E7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一次性使用医用橡胶检查手套</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A77B88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有粉麻面*中号M</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031136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双</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C23728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9994D9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313</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711A804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504D318A">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FAE747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D49FF0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一次性医用灭菌棉签</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0744D97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50袋×1包</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04DF0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包</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21E19B9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49A6D281">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30B2046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39138030">
              <w:tblPrEx>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6AE904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DE0D12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医用外科口罩</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D0888F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175×95mm</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3727305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B2297D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1800</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4BCAE06D">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2817</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63156AD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5386123A">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0D83D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0714E27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医用一次性防护服</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11A4136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连身170、175</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8088C2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套</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D034B9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7</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6F1A868A">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479FF4B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41C2D919">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63AE2BD2">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18</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0DDBF860">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次氯酸钠</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6094589F">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0870A3EF">
                  <w:pPr>
                    <w:adjustRightInd/>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502559A">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6157343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791BAE1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最大储量2桶。</w:t>
                  </w:r>
                  <w:r>
                    <w:rPr>
                      <w:rFonts w:hint="default" w:ascii="Times New Roman" w:hAnsi="Times New Roman" w:cs="Times New Roman"/>
                      <w:color w:val="auto"/>
                      <w:kern w:val="0"/>
                      <w:sz w:val="21"/>
                      <w:szCs w:val="21"/>
                    </w:rPr>
                    <w:t>干燥处储存</w:t>
                  </w:r>
                </w:p>
              </w:tc>
            </w:tr>
            <w:tr w14:paraId="394133FD">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93A4D9B">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19</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763C5A8">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氧气</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32591D3C">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20kg</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AF77341">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44E63E96">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2D318F59">
                  <w:pPr>
                    <w:keepNext w:val="0"/>
                    <w:keepLines w:val="0"/>
                    <w:widowControl/>
                    <w:suppressLineNumbers w:val="0"/>
                    <w:ind w:left="0" w:leftChars="0" w:right="0" w:rightChars="0"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714" w:type="pct"/>
                  <w:tcBorders>
                    <w:top w:val="single" w:color="auto" w:sz="4" w:space="0"/>
                    <w:left w:val="single" w:color="auto" w:sz="4" w:space="0"/>
                    <w:bottom w:val="single" w:color="auto" w:sz="4" w:space="0"/>
                    <w:right w:val="single" w:color="auto" w:sz="4" w:space="0"/>
                  </w:tcBorders>
                  <w:noWrap w:val="0"/>
                  <w:vAlign w:val="center"/>
                </w:tcPr>
                <w:p w14:paraId="46751057">
                  <w:pPr>
                    <w:adjustRightInd/>
                    <w:snapToGrid/>
                    <w:spacing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最大储量2瓶。</w:t>
                  </w:r>
                  <w:r>
                    <w:rPr>
                      <w:rFonts w:hint="default" w:ascii="Times New Roman" w:hAnsi="Times New Roman" w:cs="Times New Roman"/>
                      <w:color w:val="auto"/>
                      <w:kern w:val="0"/>
                      <w:sz w:val="21"/>
                      <w:szCs w:val="21"/>
                    </w:rPr>
                    <w:t>干燥处储存</w:t>
                  </w:r>
                </w:p>
              </w:tc>
            </w:tr>
          </w:tbl>
          <w:p w14:paraId="08E3AEDF">
            <w:pPr>
              <w:pStyle w:val="12"/>
              <w:bidi w:val="0"/>
              <w:rPr>
                <w:rFonts w:hint="eastAsia"/>
                <w:color w:val="auto"/>
              </w:rPr>
            </w:pPr>
            <w:r>
              <w:rPr>
                <w:rFonts w:hint="eastAsia"/>
                <w:color w:val="auto"/>
              </w:rPr>
              <w:t>主要原辅料理化性质如下:</w:t>
            </w:r>
          </w:p>
          <w:p w14:paraId="43B52F9E">
            <w:pPr>
              <w:pStyle w:val="12"/>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酒精(乙醇)</w:t>
            </w:r>
          </w:p>
          <w:p w14:paraId="4EEF71A9">
            <w:pPr>
              <w:pStyle w:val="12"/>
              <w:bidi w:val="0"/>
              <w:rPr>
                <w:rFonts w:hint="eastAsia"/>
                <w:color w:val="auto"/>
              </w:rPr>
            </w:pPr>
            <w:r>
              <w:rPr>
                <w:rFonts w:hint="eastAsia"/>
                <w:color w:val="auto"/>
              </w:rPr>
              <w:t>乙醇在常温常压下是一种无色透明、易挥发、易燃烧、不导电的液体，它的水溶液具有酒香的气味，味甘。在20°C常温下，乙醇液体密度是0.7893g/cm</w:t>
            </w:r>
            <w:r>
              <w:rPr>
                <w:rFonts w:hint="eastAsia"/>
                <w:color w:val="auto"/>
                <w:vertAlign w:val="superscript"/>
              </w:rPr>
              <w:t>3</w:t>
            </w:r>
            <w:r>
              <w:rPr>
                <w:rFonts w:hint="eastAsia"/>
                <w:color w:val="auto"/>
              </w:rPr>
              <w:t>。乙醇的熔点是-114.1°C，沸点是78.3°C。乙醇易燃，其蒸气能与空气形成爆炸性混合物。乙醇能与水以任意比互溶，能与氯仿、乙醚、甲醇、丙酮和其他多数有机溶剂混溶。乙醇可用于制造醋酸、饮料、香精、染料、燃料等，医疗上常用体积分数为70%~75%的乙醇作消毒剂。</w:t>
            </w:r>
          </w:p>
          <w:p w14:paraId="499FA8DE">
            <w:pPr>
              <w:pStyle w:val="12"/>
              <w:bidi w:val="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含氯消毒粉(优氯净)</w:t>
            </w:r>
          </w:p>
          <w:p w14:paraId="40E5C6AE">
            <w:pPr>
              <w:pStyle w:val="12"/>
              <w:bidi w:val="0"/>
              <w:rPr>
                <w:rFonts w:hint="eastAsia"/>
                <w:color w:val="auto"/>
              </w:rPr>
            </w:pPr>
            <w:r>
              <w:rPr>
                <w:rFonts w:hint="eastAsia"/>
                <w:color w:val="auto"/>
              </w:rPr>
              <w:t>二氯异氰尿酸钠，又称优氯净，为白色结晶粉末，有浓厚的氯气味，含有效氯60%~64.5%，性质稳定，室内保存半年后其有效氯含量降低0.16%。易溶于水，25°C，溶液呈弱酸性，其1%水溶液的pH最高不超过6.4。溶于水中产生次氯酸，水溶液稳定性较差。随着温度的上升或时间的延长，有效氯丧失率增加。二氯异氰尿酸钠为广谱杀菌消毒剂，对细菌繁殖、病毒、真菌孢子及细菌芽孢都有较强的杀灭作用。同时还具有杀藻、除臭、净化水质的作用。在水产养殖上主要用于水体消毒、养殖场所消毒、工具等的消毒，并可防治多种细菌性疾病。</w:t>
            </w:r>
          </w:p>
          <w:p w14:paraId="082BB990">
            <w:pPr>
              <w:pStyle w:val="12"/>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次氯酸钠(</w:t>
            </w:r>
            <w:r>
              <w:rPr>
                <w:rFonts w:hint="eastAsia"/>
                <w:color w:val="auto"/>
                <w:lang w:val="en-US" w:eastAsia="zh-CN"/>
              </w:rPr>
              <w:t>固</w:t>
            </w:r>
            <w:r>
              <w:rPr>
                <w:rFonts w:hint="eastAsia"/>
                <w:color w:val="auto"/>
              </w:rPr>
              <w:t>态)</w:t>
            </w:r>
          </w:p>
          <w:p w14:paraId="047B9E6F">
            <w:pPr>
              <w:pStyle w:val="12"/>
              <w:bidi w:val="0"/>
              <w:rPr>
                <w:rFonts w:hint="eastAsia"/>
                <w:color w:val="auto"/>
              </w:rPr>
            </w:pPr>
            <w:r>
              <w:rPr>
                <w:rFonts w:hint="eastAsia"/>
                <w:color w:val="auto"/>
              </w:rPr>
              <w:t>常温下为无色结晶或白色颗粒。无气味。约300°C时释放出氧气，较高温度全部分解。1g溶于约1ml冷水、0.5ml沸水、约130ml 乙醇、50ml沸乙醇、4ml甘油，水溶液呈中性，氯化钠能降低其水中溶解度，相对密度2.5，熔点248°C。有强氧化性。与有机物或还原性物质摩擦或撞击能引起烧或爆炸，低毒。</w:t>
            </w:r>
          </w:p>
          <w:p w14:paraId="4D5CB610">
            <w:pPr>
              <w:pStyle w:val="12"/>
              <w:bidi w:val="0"/>
              <w:rPr>
                <w:rFonts w:hint="eastAsia"/>
                <w:color w:val="auto"/>
              </w:rPr>
            </w:pPr>
            <w:r>
              <w:rPr>
                <w:rFonts w:hint="eastAsia"/>
                <w:color w:val="auto"/>
              </w:rPr>
              <w:t>次氯酸钠溶液是次氯酸钠的溶解液，微黄色溶液，有似氯气的气味，是化工业中经常使用的化学用品。</w:t>
            </w:r>
          </w:p>
          <w:p w14:paraId="39E7D3EA">
            <w:pPr>
              <w:pStyle w:val="12"/>
              <w:bidi w:val="0"/>
              <w:rPr>
                <w:rFonts w:hint="default"/>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84消毒液（液态）</w:t>
            </w:r>
          </w:p>
          <w:p w14:paraId="59657FE2">
            <w:pPr>
              <w:pStyle w:val="12"/>
              <w:bidi w:val="0"/>
              <w:rPr>
                <w:rFonts w:hint="eastAsia"/>
                <w:color w:val="auto"/>
                <w:lang w:val="en-US" w:eastAsia="zh-CN"/>
              </w:rPr>
            </w:pPr>
            <w:r>
              <w:rPr>
                <w:rFonts w:hint="eastAsia"/>
                <w:color w:val="auto"/>
              </w:rPr>
              <w:t>84消毒液是一种以次氯酸钠为主的高效消毒剂，主要成分为次氯酸钠（NaClO）。为无色或淡黄色液体，有效氯含量通常为5.5%～6.5%</w:t>
            </w:r>
            <w:r>
              <w:rPr>
                <w:rFonts w:hint="eastAsia"/>
                <w:color w:val="auto"/>
                <w:lang w:eastAsia="zh-CN"/>
              </w:rPr>
              <w:t>，</w:t>
            </w:r>
            <w:r>
              <w:rPr>
                <w:rFonts w:hint="eastAsia"/>
                <w:color w:val="auto"/>
                <w:lang w:val="en-US" w:eastAsia="zh-CN"/>
              </w:rPr>
              <w:t>次氯酸钠，化学式为NaClO，分子量74.44，固体为白色或苍黄色粉末，极不稳定，熔点为19℃（七水物）、18～21℃（六水合物）、24.5℃（五水合物）、58℃（半水物）、75～ 78℃（无水物），易于爆炸性分解。工业品为无色或淡黄色液体，具强氧化性，能逐渐分解放出氧，受光或加热即非常迅速地分解。混入还原性物质及有机物非常危险，能使红色石蕊试纸变黑，随后褪色。具有优良的消毒性能。使水溶液在真空中蒸发可得无色至黄绿色有潮解性的水合晶体。通常由氢氧化钠或碳酸钠溶液在较低温度（一般在30℃以下）时吸收氯气，或由漂白粉与碳酸钠作用而得。常用作氧化剂、杀菌剂、水的净化剂，还用于漂白纸浆和织物等。</w:t>
            </w:r>
          </w:p>
          <w:p w14:paraId="470448D9">
            <w:pPr>
              <w:pStyle w:val="12"/>
              <w:bidi w:val="0"/>
              <w:rPr>
                <w:rFonts w:hint="eastAsia"/>
                <w:color w:val="auto"/>
                <w:lang w:eastAsia="zh-CN"/>
              </w:rPr>
            </w:pPr>
            <w:r>
              <w:rPr>
                <w:rFonts w:hint="eastAsia"/>
                <w:color w:val="auto"/>
                <w:lang w:val="en-US" w:eastAsia="zh-CN"/>
              </w:rPr>
              <w:t>84消毒液不燃，但受高热分解产生有毒的腐蚀性烟气。产品本身具有腐蚀性，可致人体灼伤，与可燃性、还原性物质反应很剧烈。</w:t>
            </w:r>
          </w:p>
          <w:p w14:paraId="3B773495">
            <w:pPr>
              <w:pStyle w:val="38"/>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b/>
                <w:bCs/>
                <w:color w:val="auto"/>
                <w:szCs w:val="24"/>
              </w:rPr>
            </w:pPr>
            <w:r>
              <w:rPr>
                <w:rFonts w:hint="eastAsia"/>
                <w:b/>
                <w:bCs/>
                <w:color w:val="auto"/>
                <w:sz w:val="24"/>
                <w:szCs w:val="24"/>
                <w:lang w:val="en-US" w:eastAsia="zh-CN"/>
              </w:rPr>
              <w:t>3、</w:t>
            </w:r>
            <w:r>
              <w:rPr>
                <w:b/>
                <w:bCs/>
                <w:color w:val="auto"/>
                <w:sz w:val="24"/>
                <w:szCs w:val="24"/>
              </w:rPr>
              <w:t>项目主要设备</w:t>
            </w:r>
          </w:p>
          <w:p w14:paraId="4F0D7305">
            <w:pPr>
              <w:ind w:firstLine="480"/>
              <w:rPr>
                <w:color w:val="auto"/>
                <w:sz w:val="24"/>
                <w:szCs w:val="24"/>
              </w:rPr>
            </w:pPr>
            <w:r>
              <w:rPr>
                <w:color w:val="auto"/>
                <w:sz w:val="24"/>
                <w:szCs w:val="24"/>
              </w:rPr>
              <w:t>项目主要设备见</w:t>
            </w:r>
            <w:r>
              <w:rPr>
                <w:rFonts w:hint="eastAsia"/>
                <w:color w:val="auto"/>
                <w:sz w:val="24"/>
                <w:szCs w:val="24"/>
                <w:lang w:val="en-US" w:eastAsia="zh-CN"/>
              </w:rPr>
              <w:t>下</w:t>
            </w:r>
            <w:r>
              <w:rPr>
                <w:color w:val="auto"/>
                <w:sz w:val="24"/>
                <w:szCs w:val="24"/>
              </w:rPr>
              <w:t>表。</w:t>
            </w:r>
          </w:p>
          <w:p w14:paraId="51A7569E">
            <w:pPr>
              <w:ind w:left="0" w:leftChars="0" w:right="0" w:rightChars="0" w:firstLine="0" w:firstLineChars="0"/>
              <w:jc w:val="center"/>
              <w:rPr>
                <w:rFonts w:hint="eastAsia"/>
                <w:b/>
                <w:bCs/>
                <w:color w:val="auto"/>
                <w:lang w:val="en-US" w:eastAsia="zh-CN"/>
              </w:rPr>
            </w:pPr>
            <w:r>
              <w:rPr>
                <w:rFonts w:hint="eastAsia"/>
                <w:b/>
                <w:bCs/>
                <w:color w:val="auto"/>
                <w:lang w:val="en-US" w:eastAsia="zh-CN"/>
              </w:rPr>
              <w:t>表2-3项目主要设备一览表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193"/>
              <w:gridCol w:w="2168"/>
              <w:gridCol w:w="971"/>
              <w:gridCol w:w="1172"/>
              <w:gridCol w:w="1246"/>
            </w:tblGrid>
            <w:tr w14:paraId="783E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1980C7B2">
                  <w:pPr>
                    <w:spacing w:line="240" w:lineRule="auto"/>
                    <w:ind w:left="0" w:leftChars="0" w:right="0" w:rightChars="0" w:firstLine="0" w:firstLineChars="0"/>
                    <w:jc w:val="center"/>
                    <w:rPr>
                      <w:rFonts w:hint="default"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序号</w:t>
                  </w:r>
                </w:p>
              </w:tc>
              <w:tc>
                <w:tcPr>
                  <w:tcW w:w="1318" w:type="pct"/>
                  <w:vAlign w:val="center"/>
                </w:tcPr>
                <w:p w14:paraId="68C1F2F5">
                  <w:pPr>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设备名称</w:t>
                  </w:r>
                </w:p>
              </w:tc>
              <w:tc>
                <w:tcPr>
                  <w:tcW w:w="1303" w:type="pct"/>
                  <w:vAlign w:val="center"/>
                </w:tcPr>
                <w:p w14:paraId="2210F3C8">
                  <w:pPr>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生产厂家</w:t>
                  </w:r>
                </w:p>
              </w:tc>
              <w:tc>
                <w:tcPr>
                  <w:tcW w:w="583" w:type="pct"/>
                  <w:vAlign w:val="center"/>
                </w:tcPr>
                <w:p w14:paraId="7AE16D74">
                  <w:pPr>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型号规格</w:t>
                  </w:r>
                </w:p>
              </w:tc>
              <w:tc>
                <w:tcPr>
                  <w:tcW w:w="704" w:type="pct"/>
                  <w:vAlign w:val="center"/>
                </w:tcPr>
                <w:p w14:paraId="321CDA41">
                  <w:pPr>
                    <w:spacing w:line="240" w:lineRule="auto"/>
                    <w:ind w:left="0" w:leftChars="0" w:right="0" w:rightChars="0" w:firstLine="0" w:firstLineChars="0"/>
                    <w:jc w:val="center"/>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迁建前</w:t>
                  </w:r>
                  <w:r>
                    <w:rPr>
                      <w:rFonts w:hint="eastAsia" w:ascii="宋体" w:hAnsi="宋体" w:eastAsia="宋体" w:cs="宋体"/>
                      <w:b/>
                      <w:color w:val="auto"/>
                      <w:sz w:val="21"/>
                      <w:szCs w:val="21"/>
                      <w:lang w:val="en-US" w:eastAsia="zh-CN"/>
                    </w:rPr>
                    <w:t>数量（台）</w:t>
                  </w:r>
                </w:p>
              </w:tc>
              <w:tc>
                <w:tcPr>
                  <w:tcW w:w="749" w:type="pct"/>
                  <w:vAlign w:val="center"/>
                </w:tcPr>
                <w:p w14:paraId="39BE76C3">
                  <w:pPr>
                    <w:spacing w:line="240" w:lineRule="auto"/>
                    <w:ind w:left="0" w:leftChars="0" w:right="0" w:rightChars="0" w:firstLine="0" w:firstLineChars="0"/>
                    <w:jc w:val="center"/>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迁建后数量</w:t>
                  </w:r>
                  <w:r>
                    <w:rPr>
                      <w:rFonts w:hint="eastAsia" w:ascii="宋体" w:hAnsi="宋体" w:eastAsia="宋体" w:cs="宋体"/>
                      <w:b/>
                      <w:color w:val="auto"/>
                      <w:sz w:val="21"/>
                      <w:szCs w:val="21"/>
                      <w:lang w:val="en-US" w:eastAsia="zh-CN"/>
                    </w:rPr>
                    <w:t>（台）</w:t>
                  </w:r>
                </w:p>
              </w:tc>
            </w:tr>
            <w:tr w14:paraId="2F90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4E7121E8">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1318" w:type="pct"/>
                  <w:vAlign w:val="center"/>
                </w:tcPr>
                <w:p w14:paraId="40B80C77">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数字</w:t>
                  </w:r>
                  <w:r>
                    <w:rPr>
                      <w:rFonts w:hint="eastAsia" w:ascii="宋体" w:hAnsi="宋体" w:eastAsia="宋体" w:cs="宋体"/>
                      <w:color w:val="auto"/>
                      <w:sz w:val="21"/>
                      <w:szCs w:val="21"/>
                      <w:lang w:val="en-US" w:eastAsia="zh-CN"/>
                    </w:rPr>
                    <w:t>心</w:t>
                  </w:r>
                  <w:r>
                    <w:rPr>
                      <w:rFonts w:hint="eastAsia" w:ascii="宋体" w:hAnsi="宋体" w:eastAsia="宋体" w:cs="宋体"/>
                      <w:color w:val="auto"/>
                      <w:sz w:val="21"/>
                      <w:szCs w:val="21"/>
                    </w:rPr>
                    <w:t>电图机</w:t>
                  </w:r>
                </w:p>
              </w:tc>
              <w:tc>
                <w:tcPr>
                  <w:tcW w:w="1303" w:type="pct"/>
                  <w:vAlign w:val="center"/>
                </w:tcPr>
                <w:p w14:paraId="59CE56B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广州市三锐电子科技有限公司</w:t>
                  </w:r>
                </w:p>
              </w:tc>
              <w:tc>
                <w:tcPr>
                  <w:tcW w:w="583" w:type="pct"/>
                  <w:vAlign w:val="center"/>
                </w:tcPr>
                <w:p w14:paraId="21A22619">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ECG3312B</w:t>
                  </w:r>
                </w:p>
              </w:tc>
              <w:tc>
                <w:tcPr>
                  <w:tcW w:w="704" w:type="pct"/>
                  <w:vAlign w:val="center"/>
                </w:tcPr>
                <w:p w14:paraId="47175650">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49" w:type="pct"/>
                  <w:vAlign w:val="center"/>
                </w:tcPr>
                <w:p w14:paraId="3F9C54B4">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6B87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5C0B55A8">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1318" w:type="pct"/>
                  <w:vAlign w:val="center"/>
                </w:tcPr>
                <w:p w14:paraId="1223BC2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便捷式多参数监护仪</w:t>
                  </w:r>
                </w:p>
              </w:tc>
              <w:tc>
                <w:tcPr>
                  <w:tcW w:w="1303" w:type="pct"/>
                  <w:vAlign w:val="center"/>
                </w:tcPr>
                <w:p w14:paraId="7F3E61C8">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深圳迈瑞生物医疗电子股份有限公司</w:t>
                  </w:r>
                </w:p>
              </w:tc>
              <w:tc>
                <w:tcPr>
                  <w:tcW w:w="583" w:type="pct"/>
                  <w:vAlign w:val="center"/>
                </w:tcPr>
                <w:p w14:paraId="6DA93C1C">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MEC1000</w:t>
                  </w:r>
                </w:p>
              </w:tc>
              <w:tc>
                <w:tcPr>
                  <w:tcW w:w="704" w:type="pct"/>
                  <w:vAlign w:val="center"/>
                </w:tcPr>
                <w:p w14:paraId="12366287">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2B07CCCF">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2C2D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0B629FEA">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1318" w:type="pct"/>
                  <w:vAlign w:val="center"/>
                </w:tcPr>
                <w:p w14:paraId="36E9486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7D电动洗胃机</w:t>
                  </w:r>
                </w:p>
              </w:tc>
              <w:tc>
                <w:tcPr>
                  <w:tcW w:w="1303" w:type="pct"/>
                  <w:vAlign w:val="center"/>
                </w:tcPr>
                <w:p w14:paraId="2DD4917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江苏鱼跃医疗设备股份有限公司</w:t>
                  </w:r>
                </w:p>
              </w:tc>
              <w:tc>
                <w:tcPr>
                  <w:tcW w:w="583" w:type="pct"/>
                  <w:vAlign w:val="center"/>
                </w:tcPr>
                <w:p w14:paraId="78636E92">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MC70</w:t>
                  </w:r>
                </w:p>
              </w:tc>
              <w:tc>
                <w:tcPr>
                  <w:tcW w:w="704" w:type="pct"/>
                  <w:vAlign w:val="center"/>
                </w:tcPr>
                <w:p w14:paraId="72016A50">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4C4448A0">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59BD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66FA7602">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318" w:type="pct"/>
                  <w:vAlign w:val="center"/>
                </w:tcPr>
                <w:p w14:paraId="43B9C43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7A-23D电动吸引器</w:t>
                  </w:r>
                </w:p>
              </w:tc>
              <w:tc>
                <w:tcPr>
                  <w:tcW w:w="1303" w:type="pct"/>
                  <w:vAlign w:val="center"/>
                </w:tcPr>
                <w:p w14:paraId="5CAFFBAA">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江苏鱼跃医疗设备股份有限公司</w:t>
                  </w:r>
                </w:p>
              </w:tc>
              <w:tc>
                <w:tcPr>
                  <w:tcW w:w="583" w:type="pct"/>
                  <w:vAlign w:val="center"/>
                </w:tcPr>
                <w:p w14:paraId="2038E042">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14031939</w:t>
                  </w:r>
                </w:p>
              </w:tc>
              <w:tc>
                <w:tcPr>
                  <w:tcW w:w="704" w:type="pct"/>
                  <w:vAlign w:val="center"/>
                </w:tcPr>
                <w:p w14:paraId="2F12E103">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38632B3E">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4690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0A73731C">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318" w:type="pct"/>
                  <w:vAlign w:val="center"/>
                </w:tcPr>
                <w:p w14:paraId="28763BE7">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高压蒸汽灭菌锅</w:t>
                  </w:r>
                </w:p>
              </w:tc>
              <w:tc>
                <w:tcPr>
                  <w:tcW w:w="1303" w:type="pct"/>
                  <w:vAlign w:val="center"/>
                </w:tcPr>
                <w:p w14:paraId="0F2C6CF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北京市永光明医疗仪器</w:t>
                  </w:r>
                </w:p>
              </w:tc>
              <w:tc>
                <w:tcPr>
                  <w:tcW w:w="583" w:type="pct"/>
                  <w:vAlign w:val="center"/>
                </w:tcPr>
                <w:p w14:paraId="5FA0FA8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GMSX280</w:t>
                  </w:r>
                </w:p>
              </w:tc>
              <w:tc>
                <w:tcPr>
                  <w:tcW w:w="704" w:type="pct"/>
                  <w:vAlign w:val="center"/>
                </w:tcPr>
                <w:p w14:paraId="43493969">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67313298">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59FD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724BE2D3">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318" w:type="pct"/>
                  <w:vAlign w:val="center"/>
                </w:tcPr>
                <w:p w14:paraId="286F5EC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全自动血液细胞分析仪</w:t>
                  </w:r>
                </w:p>
              </w:tc>
              <w:tc>
                <w:tcPr>
                  <w:tcW w:w="1303" w:type="pct"/>
                  <w:vAlign w:val="center"/>
                </w:tcPr>
                <w:p w14:paraId="4BDA903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深圳迈瑞生物医疗电子股份有限公司</w:t>
                  </w:r>
                </w:p>
              </w:tc>
              <w:tc>
                <w:tcPr>
                  <w:tcW w:w="583" w:type="pct"/>
                  <w:vAlign w:val="center"/>
                </w:tcPr>
                <w:p w14:paraId="4EAB26F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BC-2900</w:t>
                  </w:r>
                </w:p>
              </w:tc>
              <w:tc>
                <w:tcPr>
                  <w:tcW w:w="704" w:type="pct"/>
                  <w:vAlign w:val="center"/>
                </w:tcPr>
                <w:p w14:paraId="2835B269">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603A62D4">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5503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560F7C9E">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1318" w:type="pct"/>
                  <w:vAlign w:val="center"/>
                </w:tcPr>
                <w:p w14:paraId="3DFDE51A">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MT-N系列尿液分析仪</w:t>
                  </w:r>
                </w:p>
              </w:tc>
              <w:tc>
                <w:tcPr>
                  <w:tcW w:w="1303" w:type="pct"/>
                  <w:vAlign w:val="center"/>
                </w:tcPr>
                <w:p w14:paraId="7146E2CF">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迪瑞</w:t>
                  </w:r>
                </w:p>
              </w:tc>
              <w:tc>
                <w:tcPr>
                  <w:tcW w:w="583" w:type="pct"/>
                  <w:vAlign w:val="center"/>
                </w:tcPr>
                <w:p w14:paraId="490BD29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MT-N600</w:t>
                  </w:r>
                </w:p>
              </w:tc>
              <w:tc>
                <w:tcPr>
                  <w:tcW w:w="704" w:type="pct"/>
                  <w:vAlign w:val="center"/>
                </w:tcPr>
                <w:p w14:paraId="7160B10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077512F4">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17F3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3F45143B">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318" w:type="pct"/>
                  <w:vAlign w:val="center"/>
                </w:tcPr>
                <w:p w14:paraId="0D26A50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电热恒温水浴箱</w:t>
                  </w:r>
                </w:p>
              </w:tc>
              <w:tc>
                <w:tcPr>
                  <w:tcW w:w="1303" w:type="pct"/>
                  <w:vAlign w:val="center"/>
                </w:tcPr>
                <w:p w14:paraId="267069E2">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江苏新康</w:t>
                  </w:r>
                </w:p>
              </w:tc>
              <w:tc>
                <w:tcPr>
                  <w:tcW w:w="583" w:type="pct"/>
                  <w:vAlign w:val="center"/>
                </w:tcPr>
                <w:p w14:paraId="14DF47B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XMTD-204</w:t>
                  </w:r>
                </w:p>
              </w:tc>
              <w:tc>
                <w:tcPr>
                  <w:tcW w:w="704" w:type="pct"/>
                  <w:vAlign w:val="center"/>
                </w:tcPr>
                <w:p w14:paraId="38B51B7F">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29323A50">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50B4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40" w:type="pct"/>
                  <w:shd w:val="clear" w:color="auto" w:fill="auto"/>
                  <w:vAlign w:val="center"/>
                </w:tcPr>
                <w:p w14:paraId="2A372855">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1318" w:type="pct"/>
                  <w:vAlign w:val="center"/>
                </w:tcPr>
                <w:p w14:paraId="2A211CAF">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电子显微镜</w:t>
                  </w:r>
                </w:p>
              </w:tc>
              <w:tc>
                <w:tcPr>
                  <w:tcW w:w="1303" w:type="pct"/>
                  <w:vAlign w:val="center"/>
                </w:tcPr>
                <w:p w14:paraId="4565ED1A">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云南凯康科技</w:t>
                  </w:r>
                </w:p>
              </w:tc>
              <w:tc>
                <w:tcPr>
                  <w:tcW w:w="583" w:type="pct"/>
                  <w:vAlign w:val="center"/>
                </w:tcPr>
                <w:p w14:paraId="5A1091D3">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XSP-2CA</w:t>
                  </w:r>
                </w:p>
              </w:tc>
              <w:tc>
                <w:tcPr>
                  <w:tcW w:w="704" w:type="pct"/>
                  <w:vAlign w:val="center"/>
                </w:tcPr>
                <w:p w14:paraId="7462F993">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73D4CBE5">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50CF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2B08CC19">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1318" w:type="pct"/>
                  <w:vAlign w:val="center"/>
                </w:tcPr>
                <w:p w14:paraId="2D11BAA5">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全自动生化仪器</w:t>
                  </w:r>
                </w:p>
              </w:tc>
              <w:tc>
                <w:tcPr>
                  <w:tcW w:w="1303" w:type="pct"/>
                  <w:vAlign w:val="center"/>
                </w:tcPr>
                <w:p w14:paraId="46D3971D">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深圳迈瑞生物医疗电子股份有限公司</w:t>
                  </w:r>
                </w:p>
              </w:tc>
              <w:tc>
                <w:tcPr>
                  <w:tcW w:w="583" w:type="pct"/>
                  <w:vAlign w:val="center"/>
                </w:tcPr>
                <w:p w14:paraId="0A21F15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BS-220</w:t>
                  </w:r>
                </w:p>
              </w:tc>
              <w:tc>
                <w:tcPr>
                  <w:tcW w:w="704" w:type="pct"/>
                  <w:vAlign w:val="center"/>
                </w:tcPr>
                <w:p w14:paraId="697C544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5265B9E5">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66C6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40" w:type="pct"/>
                  <w:shd w:val="clear" w:color="auto" w:fill="auto"/>
                  <w:vAlign w:val="center"/>
                </w:tcPr>
                <w:p w14:paraId="1CED6C2C">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1318" w:type="pct"/>
                  <w:vAlign w:val="center"/>
                </w:tcPr>
                <w:p w14:paraId="58B3B1A5">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电解质仪器</w:t>
                  </w:r>
                </w:p>
              </w:tc>
              <w:tc>
                <w:tcPr>
                  <w:tcW w:w="1303" w:type="pct"/>
                  <w:vAlign w:val="center"/>
                </w:tcPr>
                <w:p w14:paraId="60DE299F">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梅州康立科技有限公司</w:t>
                  </w:r>
                </w:p>
              </w:tc>
              <w:tc>
                <w:tcPr>
                  <w:tcW w:w="583" w:type="pct"/>
                  <w:vAlign w:val="center"/>
                </w:tcPr>
                <w:p w14:paraId="436C1A41">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PR705</w:t>
                  </w:r>
                </w:p>
              </w:tc>
              <w:tc>
                <w:tcPr>
                  <w:tcW w:w="704" w:type="pct"/>
                  <w:vAlign w:val="center"/>
                </w:tcPr>
                <w:p w14:paraId="7FF806C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26A16FFA">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598F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0" w:type="pct"/>
                  <w:shd w:val="clear" w:color="auto" w:fill="auto"/>
                  <w:vAlign w:val="center"/>
                </w:tcPr>
                <w:p w14:paraId="6FDD0E63">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1318" w:type="pct"/>
                  <w:vAlign w:val="center"/>
                </w:tcPr>
                <w:p w14:paraId="11D66DE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离心机</w:t>
                  </w:r>
                </w:p>
              </w:tc>
              <w:tc>
                <w:tcPr>
                  <w:tcW w:w="1303" w:type="pct"/>
                  <w:vAlign w:val="center"/>
                </w:tcPr>
                <w:p w14:paraId="76364F7E">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天力医疗器械有限公司</w:t>
                  </w:r>
                </w:p>
              </w:tc>
              <w:tc>
                <w:tcPr>
                  <w:tcW w:w="583" w:type="pct"/>
                  <w:vAlign w:val="center"/>
                </w:tcPr>
                <w:p w14:paraId="058A767A">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72-80-2</w:t>
                  </w:r>
                </w:p>
              </w:tc>
              <w:tc>
                <w:tcPr>
                  <w:tcW w:w="704" w:type="pct"/>
                  <w:vAlign w:val="center"/>
                </w:tcPr>
                <w:p w14:paraId="0067C5E2">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49" w:type="pct"/>
                  <w:vAlign w:val="center"/>
                </w:tcPr>
                <w:p w14:paraId="4327B604">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7EDE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000" w:type="pct"/>
                  <w:gridSpan w:val="6"/>
                  <w:shd w:val="clear" w:color="auto" w:fill="auto"/>
                  <w:vAlign w:val="center"/>
                </w:tcPr>
                <w:p w14:paraId="5321DFD4">
                  <w:pPr>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kern w:val="2"/>
                      <w:sz w:val="21"/>
                      <w:szCs w:val="21"/>
                      <w:lang w:val="en-US" w:eastAsia="zh-CN" w:bidi="ar-SA"/>
                    </w:rPr>
                    <w:t>注：项目属于搬迁项目，依托原项目设备，本项目不新增设备。</w:t>
                  </w:r>
                </w:p>
              </w:tc>
            </w:tr>
          </w:tbl>
          <w:p w14:paraId="66E57285">
            <w:pPr>
              <w:pStyle w:val="23"/>
              <w:keepNext w:val="0"/>
              <w:keepLines w:val="0"/>
              <w:pageBreakBefore w:val="0"/>
              <w:widowControl w:val="0"/>
              <w:tabs>
                <w:tab w:val="left" w:pos="2445"/>
              </w:tabs>
              <w:kinsoku/>
              <w:wordWrap/>
              <w:overflowPunct/>
              <w:topLinePunct w:val="0"/>
              <w:autoSpaceDE/>
              <w:autoSpaceDN/>
              <w:bidi w:val="0"/>
              <w:adjustRightInd w:val="0"/>
              <w:snapToGrid w:val="0"/>
              <w:spacing w:before="157" w:beforeLines="50"/>
              <w:ind w:firstLine="482"/>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4</w:t>
            </w:r>
            <w:r>
              <w:rPr>
                <w:rFonts w:hint="default" w:ascii="Times New Roman" w:hAnsi="Times New Roman" w:cs="Times New Roman"/>
                <w:color w:val="auto"/>
              </w:rPr>
              <w:t>、工作制度及劳动定员</w:t>
            </w:r>
          </w:p>
          <w:p w14:paraId="01E78855">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劳动定员：</w:t>
            </w:r>
            <w:r>
              <w:rPr>
                <w:rFonts w:hint="eastAsia" w:cs="Times New Roman"/>
                <w:color w:val="auto"/>
                <w:sz w:val="24"/>
                <w:szCs w:val="24"/>
                <w:lang w:val="en-US" w:eastAsia="zh-CN"/>
              </w:rPr>
              <w:t>本</w:t>
            </w:r>
            <w:r>
              <w:rPr>
                <w:rFonts w:hint="default" w:ascii="Times New Roman" w:hAnsi="Times New Roman" w:cs="Times New Roman"/>
                <w:color w:val="auto"/>
                <w:sz w:val="24"/>
                <w:szCs w:val="28"/>
              </w:rPr>
              <w:t>项目</w:t>
            </w:r>
            <w:r>
              <w:rPr>
                <w:rFonts w:hint="eastAsia" w:cs="Times New Roman"/>
                <w:color w:val="auto"/>
                <w:sz w:val="24"/>
                <w:szCs w:val="28"/>
                <w:lang w:val="en-US" w:eastAsia="zh-CN"/>
              </w:rPr>
              <w:t>48</w:t>
            </w:r>
            <w:r>
              <w:rPr>
                <w:rFonts w:hint="default" w:ascii="Times New Roman" w:hAnsi="Times New Roman" w:cs="Times New Roman"/>
                <w:color w:val="auto"/>
                <w:sz w:val="24"/>
                <w:szCs w:val="28"/>
              </w:rPr>
              <w:t>名员工，</w:t>
            </w:r>
            <w:r>
              <w:rPr>
                <w:rFonts w:hint="eastAsia" w:cs="Times New Roman"/>
                <w:color w:val="auto"/>
                <w:sz w:val="24"/>
                <w:szCs w:val="28"/>
                <w:lang w:val="en-US" w:eastAsia="zh-CN"/>
              </w:rPr>
              <w:t>其中10人在项目内食宿，其余</w:t>
            </w:r>
            <w:r>
              <w:rPr>
                <w:rFonts w:hint="default" w:ascii="Times New Roman" w:hAnsi="Times New Roman" w:cs="Times New Roman"/>
                <w:color w:val="auto"/>
                <w:sz w:val="24"/>
                <w:szCs w:val="28"/>
              </w:rPr>
              <w:t>职工</w:t>
            </w:r>
            <w:r>
              <w:rPr>
                <w:rFonts w:hint="eastAsia" w:cs="Times New Roman"/>
                <w:color w:val="auto"/>
                <w:sz w:val="24"/>
                <w:szCs w:val="28"/>
                <w:lang w:val="en-US" w:eastAsia="zh-CN"/>
              </w:rPr>
              <w:t>只中午</w:t>
            </w:r>
            <w:r>
              <w:rPr>
                <w:rFonts w:hint="default" w:ascii="Times New Roman" w:hAnsi="Times New Roman" w:cs="Times New Roman"/>
                <w:color w:val="auto"/>
                <w:sz w:val="24"/>
                <w:szCs w:val="28"/>
              </w:rPr>
              <w:t>在项目内就餐</w:t>
            </w:r>
            <w:r>
              <w:rPr>
                <w:rFonts w:hint="eastAsia" w:cs="Times New Roman"/>
                <w:color w:val="auto"/>
                <w:sz w:val="24"/>
                <w:szCs w:val="28"/>
                <w:lang w:eastAsia="zh-CN"/>
              </w:rPr>
              <w:t>，</w:t>
            </w:r>
            <w:r>
              <w:rPr>
                <w:rFonts w:hint="default" w:ascii="Times New Roman" w:hAnsi="Times New Roman" w:cs="Times New Roman"/>
                <w:color w:val="auto"/>
                <w:sz w:val="24"/>
                <w:szCs w:val="28"/>
              </w:rPr>
              <w:t>不</w:t>
            </w:r>
            <w:r>
              <w:rPr>
                <w:rFonts w:hint="eastAsia" w:cs="Times New Roman"/>
                <w:color w:val="auto"/>
                <w:sz w:val="24"/>
                <w:szCs w:val="28"/>
                <w:lang w:val="en-US" w:eastAsia="zh-CN"/>
              </w:rPr>
              <w:t>在项目内</w:t>
            </w:r>
            <w:r>
              <w:rPr>
                <w:rFonts w:hint="default" w:ascii="Times New Roman" w:hAnsi="Times New Roman" w:cs="Times New Roman"/>
                <w:color w:val="auto"/>
                <w:sz w:val="24"/>
                <w:szCs w:val="28"/>
              </w:rPr>
              <w:t>住宿。</w:t>
            </w:r>
          </w:p>
          <w:p w14:paraId="185F337C">
            <w:pPr>
              <w:spacing w:line="360" w:lineRule="auto"/>
              <w:ind w:firstLine="480"/>
              <w:rPr>
                <w:color w:val="auto"/>
              </w:rPr>
            </w:pPr>
            <w:r>
              <w:rPr>
                <w:rFonts w:hint="default" w:ascii="Times New Roman" w:hAnsi="Times New Roman" w:cs="Times New Roman"/>
                <w:color w:val="auto"/>
                <w:sz w:val="24"/>
                <w:szCs w:val="24"/>
              </w:rPr>
              <w:t>工作制度：</w:t>
            </w:r>
            <w:r>
              <w:rPr>
                <w:color w:val="auto"/>
                <w:sz w:val="24"/>
                <w:szCs w:val="24"/>
              </w:rPr>
              <w:t>每年工作365天，每天3班制，每班工作8小时</w:t>
            </w:r>
            <w:r>
              <w:rPr>
                <w:color w:val="auto"/>
              </w:rPr>
              <w:t>。</w:t>
            </w:r>
          </w:p>
          <w:p w14:paraId="0812429A">
            <w:pPr>
              <w:spacing w:line="360" w:lineRule="auto"/>
              <w:ind w:firstLine="480" w:firstLineChars="200"/>
              <w:rPr>
                <w:rFonts w:hint="eastAsia" w:ascii="Times New Roman" w:hAnsi="Times New Roman" w:eastAsia="Times New Roman"/>
                <w:b/>
                <w:bCs/>
                <w:color w:val="auto"/>
                <w:sz w:val="24"/>
                <w:szCs w:val="24"/>
                <w:lang w:val="en-US" w:eastAsia="zh-CN"/>
              </w:rPr>
            </w:pPr>
            <w:r>
              <w:rPr>
                <w:rFonts w:hint="eastAsia" w:eastAsia="Times New Roman"/>
                <w:b/>
                <w:bCs/>
                <w:color w:val="auto"/>
                <w:sz w:val="24"/>
                <w:szCs w:val="24"/>
                <w:lang w:val="en-US" w:eastAsia="zh-CN"/>
              </w:rPr>
              <w:t>5</w:t>
            </w:r>
            <w:r>
              <w:rPr>
                <w:rFonts w:hint="default" w:ascii="Times New Roman" w:hAnsi="Times New Roman" w:eastAsia="Times New Roman"/>
                <w:b/>
                <w:bCs/>
                <w:color w:val="auto"/>
                <w:sz w:val="24"/>
                <w:szCs w:val="24"/>
                <w:lang w:val="en-US" w:eastAsia="zh-CN"/>
              </w:rPr>
              <w:t>、</w:t>
            </w:r>
            <w:r>
              <w:rPr>
                <w:rFonts w:hint="eastAsia" w:ascii="Times New Roman" w:hAnsi="Times New Roman" w:eastAsia="Times New Roman"/>
                <w:b/>
                <w:bCs/>
                <w:color w:val="auto"/>
                <w:sz w:val="24"/>
                <w:szCs w:val="24"/>
                <w:lang w:val="en-US" w:eastAsia="zh-CN"/>
              </w:rPr>
              <w:t>施工计划</w:t>
            </w:r>
          </w:p>
          <w:p w14:paraId="30AB66B6">
            <w:pPr>
              <w:pStyle w:val="35"/>
              <w:bidi w:val="0"/>
              <w:rPr>
                <w:rFonts w:hint="default" w:eastAsia="宋体"/>
                <w:color w:val="auto"/>
                <w:lang w:val="en-US" w:eastAsia="zh-CN"/>
              </w:rPr>
            </w:pPr>
            <w:r>
              <w:rPr>
                <w:color w:val="auto"/>
              </w:rPr>
              <w:t>项目租用的综合楼，结构工程部分已完成；综合楼</w:t>
            </w:r>
            <w:r>
              <w:rPr>
                <w:rFonts w:hint="eastAsia"/>
                <w:color w:val="auto"/>
                <w:lang w:val="en-US" w:eastAsia="zh-CN"/>
              </w:rPr>
              <w:t>及食堂</w:t>
            </w:r>
            <w:r>
              <w:rPr>
                <w:color w:val="auto"/>
              </w:rPr>
              <w:t>的改造、装修、设备安装，及其他配套设施均由</w:t>
            </w:r>
            <w:r>
              <w:rPr>
                <w:rFonts w:hint="eastAsia"/>
                <w:b w:val="0"/>
                <w:bCs/>
                <w:color w:val="auto"/>
                <w:sz w:val="24"/>
                <w:lang w:val="en-US" w:eastAsia="zh-CN"/>
              </w:rPr>
              <w:t>昆明长青慈宁精神病院医院</w:t>
            </w:r>
            <w:r>
              <w:rPr>
                <w:color w:val="auto"/>
              </w:rPr>
              <w:t>负责。项目水、电均依托寻甸县倘甸镇水电管网，均能满足项目投产后的要求。</w:t>
            </w:r>
            <w:r>
              <w:rPr>
                <w:rFonts w:hint="eastAsia"/>
                <w:color w:val="auto"/>
                <w:lang w:val="en-US" w:eastAsia="zh-CN"/>
              </w:rPr>
              <w:t>项目计划于2026年5月开始动工建设，预计2026年7月建成完工，施工工期2个月。</w:t>
            </w:r>
          </w:p>
          <w:p w14:paraId="40303683">
            <w:pPr>
              <w:numPr>
                <w:ilvl w:val="0"/>
                <w:numId w:val="0"/>
              </w:numPr>
              <w:spacing w:line="360" w:lineRule="auto"/>
              <w:ind w:firstLine="482" w:firstLineChars="200"/>
              <w:rPr>
                <w:rFonts w:hint="default"/>
                <w:color w:val="auto"/>
                <w:lang w:val="en-US" w:eastAsia="zh-CN"/>
              </w:rPr>
            </w:pP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给排水</w:t>
            </w:r>
          </w:p>
          <w:p w14:paraId="6DC69B05">
            <w:pPr>
              <w:spacing w:line="360" w:lineRule="auto"/>
              <w:ind w:firstLine="482" w:firstLineChars="200"/>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（1）给水</w:t>
            </w:r>
          </w:p>
          <w:p w14:paraId="2E2F12AE">
            <w:pPr>
              <w:spacing w:line="360" w:lineRule="auto"/>
              <w:ind w:firstLine="480" w:firstLineChars="200"/>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由倘甸镇自来水管网供给。</w:t>
            </w:r>
          </w:p>
          <w:p w14:paraId="50C35BCC">
            <w:pPr>
              <w:spacing w:line="360" w:lineRule="auto"/>
              <w:ind w:firstLine="482" w:firstLineChars="200"/>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（2）排水</w:t>
            </w:r>
          </w:p>
          <w:p w14:paraId="47CD046C">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本项目排水系统采用雨污分流制。新建雨水</w:t>
            </w:r>
            <w:r>
              <w:rPr>
                <w:rFonts w:hint="eastAsia" w:cs="Times New Roman"/>
                <w:color w:val="auto"/>
                <w:sz w:val="24"/>
                <w:szCs w:val="24"/>
                <w:lang w:val="en-US" w:eastAsia="zh-CN"/>
              </w:rPr>
              <w:t>收集</w:t>
            </w:r>
            <w:r>
              <w:rPr>
                <w:rFonts w:hint="default" w:ascii="Times New Roman" w:hAnsi="Times New Roman" w:eastAsia="宋体" w:cs="Times New Roman"/>
                <w:color w:val="auto"/>
                <w:sz w:val="24"/>
                <w:szCs w:val="24"/>
                <w:lang w:eastAsia="zh-CN"/>
              </w:rPr>
              <w:t>系统</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雨水经收集后排入</w:t>
            </w:r>
            <w:r>
              <w:rPr>
                <w:rFonts w:hint="default" w:ascii="Times New Roman" w:hAnsi="Times New Roman" w:eastAsia="宋体" w:cs="Times New Roman"/>
                <w:color w:val="auto"/>
                <w:sz w:val="24"/>
                <w:szCs w:val="24"/>
                <w:lang w:val="en-US" w:eastAsia="zh-CN"/>
              </w:rPr>
              <w:t>项目周边雨水沟渠</w:t>
            </w:r>
            <w:r>
              <w:rPr>
                <w:rFonts w:hint="eastAsia" w:ascii="Times New Roman" w:hAnsi="Times New Roman" w:eastAsia="宋体" w:cs="Times New Roman"/>
                <w:color w:val="auto"/>
                <w:sz w:val="24"/>
                <w:szCs w:val="24"/>
                <w:lang w:val="en-US" w:eastAsia="zh-CN"/>
              </w:rPr>
              <w:t>。</w:t>
            </w:r>
          </w:p>
          <w:p w14:paraId="7DE23763">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根据现场踏勘，</w:t>
            </w:r>
            <w:r>
              <w:rPr>
                <w:rFonts w:hint="default" w:ascii="Times New Roman" w:hAnsi="Times New Roman" w:eastAsia="宋体" w:cs="Times New Roman"/>
                <w:color w:val="auto"/>
                <w:sz w:val="24"/>
                <w:szCs w:val="24"/>
                <w:lang w:eastAsia="zh-CN"/>
              </w:rPr>
              <w:t>倘甸镇污水处理厂</w:t>
            </w:r>
            <w:r>
              <w:rPr>
                <w:rFonts w:hint="default" w:ascii="Times New Roman" w:hAnsi="Times New Roman" w:eastAsia="宋体" w:cs="Times New Roman"/>
                <w:color w:val="auto"/>
                <w:sz w:val="24"/>
                <w:szCs w:val="24"/>
                <w:lang w:val="en-US" w:eastAsia="zh-CN"/>
              </w:rPr>
              <w:t>尚</w:t>
            </w:r>
            <w:r>
              <w:rPr>
                <w:rFonts w:hint="default" w:ascii="Times New Roman" w:hAnsi="Times New Roman" w:eastAsia="宋体" w:cs="Times New Roman"/>
                <w:color w:val="auto"/>
                <w:sz w:val="24"/>
                <w:szCs w:val="24"/>
                <w:lang w:eastAsia="zh-CN"/>
              </w:rPr>
              <w:t>未运行，且项目区至倘甸镇污水处理厂的污水管网未接通，</w:t>
            </w:r>
            <w:r>
              <w:rPr>
                <w:rFonts w:hint="default" w:ascii="Times New Roman" w:hAnsi="Times New Roman" w:cs="Times New Roman"/>
                <w:color w:val="auto"/>
                <w:sz w:val="24"/>
                <w:szCs w:val="24"/>
                <w:highlight w:val="none"/>
                <w:lang w:val="en-US" w:eastAsia="zh-CN"/>
              </w:rPr>
              <w:t>由于倘甸镇污水处理厂已建成但未运行，且项目区至倘甸镇污水处理厂的污水管网未接通</w:t>
            </w:r>
            <w:r>
              <w:rPr>
                <w:rFonts w:hint="eastAsia" w:cs="Times New Roman"/>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本次评价要求项目在倘甸镇污水处理厂投运之前不得投运。</w:t>
            </w:r>
            <w:r>
              <w:rPr>
                <w:rFonts w:hint="default" w:ascii="Times New Roman" w:hAnsi="Times New Roman" w:cs="Times New Roman"/>
                <w:color w:val="auto"/>
                <w:sz w:val="24"/>
                <w:szCs w:val="24"/>
                <w:highlight w:val="none"/>
                <w:lang w:val="en-US" w:eastAsia="zh-CN"/>
              </w:rPr>
              <w:t>待倘甸镇污水处理厂投入运行且项目至污水处理厂的管网接通后，医院废水经自建污水处理站处理达到《医疗机构水污染物排放标准》（GB18466-2005）表2预处理标准</w:t>
            </w:r>
            <w:r>
              <w:rPr>
                <w:rFonts w:hint="eastAsia"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lang w:val="en-US" w:eastAsia="zh-CN"/>
              </w:rPr>
              <w:t>排入市政污水管网，最终排入倘甸镇污水处理厂。</w:t>
            </w:r>
          </w:p>
          <w:p w14:paraId="2751587F">
            <w:pPr>
              <w:spacing w:line="360" w:lineRule="auto"/>
              <w:ind w:firstLine="482" w:firstLineChars="200"/>
              <w:jc w:val="left"/>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项目用水及废水产生情况</w:t>
            </w:r>
          </w:p>
          <w:p w14:paraId="32A751CC">
            <w:pPr>
              <w:numPr>
                <w:ilvl w:val="0"/>
                <w:numId w:val="0"/>
              </w:numPr>
              <w:spacing w:line="360" w:lineRule="auto"/>
              <w:ind w:firstLine="480" w:firstLineChars="20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rPr>
              <w:t>项目</w:t>
            </w:r>
            <w:r>
              <w:rPr>
                <w:rFonts w:hint="eastAsia" w:cs="Times New Roman"/>
                <w:color w:val="auto"/>
                <w:sz w:val="24"/>
                <w:szCs w:val="24"/>
                <w:lang w:val="en-US" w:eastAsia="zh-CN"/>
              </w:rPr>
              <w:t>用水主要包括住院部用水、门诊用水、员工用水、食堂用水、</w:t>
            </w:r>
            <w:r>
              <w:rPr>
                <w:rFonts w:hint="eastAsia" w:ascii="Times New Roman" w:hAnsi="Times New Roman" w:cs="Times New Roman"/>
                <w:color w:val="auto"/>
                <w:sz w:val="24"/>
                <w:szCs w:val="24"/>
                <w:lang w:val="en-US" w:eastAsia="zh-CN"/>
              </w:rPr>
              <w:t>洗衣房用水</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lang w:eastAsia="zh-CN"/>
              </w:rPr>
              <w:t>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门诊废水、洗衣房废水、检验废液、</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淋浴房用水计入住院用水，不单独核算。</w:t>
            </w:r>
          </w:p>
          <w:p w14:paraId="3D0BBCB1">
            <w:pPr>
              <w:spacing w:line="360" w:lineRule="auto"/>
              <w:ind w:firstLine="482" w:firstLineChars="200"/>
              <w:rPr>
                <w:rFonts w:hint="default"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lang w:eastAsia="zh-CN"/>
              </w:rPr>
              <w:t>）</w:t>
            </w:r>
            <w:r>
              <w:rPr>
                <w:rFonts w:hint="eastAsia" w:cs="Times New Roman"/>
                <w:b/>
                <w:color w:val="auto"/>
                <w:sz w:val="24"/>
                <w:szCs w:val="24"/>
                <w:lang w:val="en-US" w:eastAsia="zh-CN"/>
              </w:rPr>
              <w:t>住院</w:t>
            </w:r>
            <w:r>
              <w:rPr>
                <w:rFonts w:hint="default" w:ascii="Times New Roman" w:hAnsi="Times New Roman" w:cs="Times New Roman"/>
                <w:b/>
                <w:color w:val="auto"/>
                <w:sz w:val="24"/>
                <w:szCs w:val="24"/>
                <w:lang w:val="en-US" w:eastAsia="zh-CN"/>
              </w:rPr>
              <w:t>用水</w:t>
            </w:r>
          </w:p>
          <w:p w14:paraId="06E781F9">
            <w:pPr>
              <w:numPr>
                <w:ilvl w:val="0"/>
                <w:numId w:val="0"/>
              </w:num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共设108</w:t>
            </w:r>
            <w:r>
              <w:rPr>
                <w:rFonts w:hint="default" w:ascii="Times New Roman" w:hAnsi="Times New Roman" w:cs="Times New Roman"/>
                <w:color w:val="auto"/>
                <w:sz w:val="24"/>
                <w:szCs w:val="24"/>
              </w:rPr>
              <w:t>张住院床位，参考《云南省地方标准 用水定额》（</w:t>
            </w:r>
            <w:r>
              <w:rPr>
                <w:rFonts w:ascii="Times New Roman"/>
                <w:color w:val="auto"/>
                <w:sz w:val="24"/>
                <w:szCs w:val="24"/>
              </w:rPr>
              <w:t>DB53/T168—201</w:t>
            </w:r>
            <w:r>
              <w:rPr>
                <w:rFonts w:hint="eastAsia" w:ascii="Times New Roman"/>
                <w:color w:val="auto"/>
                <w:sz w:val="24"/>
                <w:szCs w:val="24"/>
                <w:lang w:val="en-US" w:eastAsia="zh-CN"/>
              </w:rPr>
              <w:t>9</w:t>
            </w:r>
            <w:r>
              <w:rPr>
                <w:rFonts w:hint="default" w:ascii="Times New Roman" w:hAnsi="Times New Roman" w:cs="Times New Roman"/>
                <w:color w:val="auto"/>
                <w:sz w:val="24"/>
                <w:szCs w:val="24"/>
              </w:rPr>
              <w:t>），医院</w:t>
            </w:r>
            <w:r>
              <w:rPr>
                <w:rFonts w:hint="eastAsia" w:ascii="Times New Roman" w:hAnsi="Times New Roman" w:cs="Times New Roman"/>
                <w:color w:val="auto"/>
                <w:sz w:val="24"/>
                <w:szCs w:val="24"/>
                <w:lang w:eastAsia="zh-CN"/>
              </w:rPr>
              <w:t>住</w:t>
            </w:r>
            <w:r>
              <w:rPr>
                <w:rFonts w:hint="default" w:ascii="Times New Roman" w:hAnsi="Times New Roman" w:cs="Times New Roman"/>
                <w:color w:val="auto"/>
                <w:sz w:val="24"/>
                <w:szCs w:val="24"/>
              </w:rPr>
              <w:t>院部</w:t>
            </w:r>
            <w:r>
              <w:rPr>
                <w:rFonts w:hint="eastAsia" w:ascii="Times New Roman" w:hAnsi="Times New Roman" w:cs="Times New Roman"/>
                <w:color w:val="auto"/>
                <w:sz w:val="24"/>
                <w:szCs w:val="24"/>
                <w:lang w:eastAsia="zh-CN"/>
              </w:rPr>
              <w:t>病房内带洗浴（</w:t>
            </w:r>
            <w:r>
              <w:rPr>
                <w:rFonts w:hint="default" w:ascii="Times New Roman" w:hAnsi="Times New Roman" w:cs="Times New Roman"/>
                <w:color w:val="auto"/>
                <w:sz w:val="24"/>
                <w:szCs w:val="24"/>
              </w:rPr>
              <w:t>含行政及医护人员、附属设施等综合用水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按</w:t>
            </w:r>
            <w:r>
              <w:rPr>
                <w:rFonts w:hint="eastAsia"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L/（床位·d）计，病床负荷量按100%计算，则用水量为</w:t>
            </w:r>
            <w:r>
              <w:rPr>
                <w:rFonts w:hint="eastAsia" w:cs="Times New Roman"/>
                <w:color w:val="auto"/>
                <w:sz w:val="24"/>
                <w:szCs w:val="24"/>
                <w:lang w:val="en-US" w:eastAsia="zh-CN"/>
              </w:rPr>
              <w:t>32.4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11826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/a），排污系数为0.8，则病房医疗废水为</w:t>
            </w:r>
            <w:r>
              <w:rPr>
                <w:rFonts w:hint="eastAsia" w:cs="Times New Roman"/>
                <w:color w:val="auto"/>
                <w:sz w:val="24"/>
                <w:szCs w:val="24"/>
                <w:lang w:val="en-US" w:eastAsia="zh-CN"/>
              </w:rPr>
              <w:t>25.92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9460.8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en-US" w:eastAsia="zh-CN"/>
              </w:rPr>
              <w:t>项目住院部废水</w:t>
            </w:r>
            <w:r>
              <w:rPr>
                <w:rFonts w:hint="default" w:ascii="Times New Roman" w:hAnsi="Times New Roman" w:cs="Times New Roman"/>
                <w:bCs/>
                <w:color w:val="auto"/>
                <w:sz w:val="24"/>
                <w:szCs w:val="24"/>
              </w:rPr>
              <w:t>主要污染物为COD、BOD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、SS、NH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-N、总磷、粪大肠菌群等</w:t>
            </w:r>
            <w:r>
              <w:rPr>
                <w:rFonts w:hint="eastAsia" w:cs="Times New Roman"/>
                <w:bCs/>
                <w:color w:val="auto"/>
                <w:sz w:val="24"/>
                <w:szCs w:val="24"/>
                <w:lang w:eastAsia="zh-CN"/>
              </w:rPr>
              <w:t>，</w:t>
            </w:r>
            <w:r>
              <w:rPr>
                <w:rFonts w:hint="default" w:ascii="Times New Roman" w:hAnsi="Times New Roman" w:cs="Times New Roman"/>
                <w:color w:val="auto"/>
                <w:sz w:val="24"/>
                <w:szCs w:val="24"/>
              </w:rPr>
              <w:t>产生的废水经化粪池</w:t>
            </w:r>
            <w:r>
              <w:rPr>
                <w:rFonts w:hint="eastAsia" w:cs="Times New Roman"/>
                <w:color w:val="auto"/>
                <w:sz w:val="24"/>
                <w:szCs w:val="24"/>
                <w:lang w:val="en-US" w:eastAsia="zh-CN"/>
              </w:rPr>
              <w:t>预</w:t>
            </w:r>
            <w:r>
              <w:rPr>
                <w:rFonts w:hint="default" w:ascii="Times New Roman" w:hAnsi="Times New Roman" w:cs="Times New Roman"/>
                <w:color w:val="auto"/>
                <w:sz w:val="24"/>
                <w:szCs w:val="24"/>
              </w:rPr>
              <w:t>处理后</w:t>
            </w:r>
            <w:r>
              <w:rPr>
                <w:rFonts w:hint="default" w:ascii="Times New Roman" w:hAnsi="Times New Roman" w:cs="Times New Roman"/>
                <w:color w:val="auto"/>
                <w:sz w:val="24"/>
                <w:szCs w:val="24"/>
                <w:lang w:val="en-US" w:eastAsia="zh-CN"/>
              </w:rPr>
              <w:t>进入项目自建污水处理站处理</w:t>
            </w:r>
            <w:r>
              <w:rPr>
                <w:rFonts w:hint="default" w:ascii="Times New Roman" w:hAnsi="Times New Roman" w:cs="Times New Roman"/>
                <w:color w:val="auto"/>
                <w:sz w:val="24"/>
                <w:szCs w:val="24"/>
              </w:rPr>
              <w:t>。</w:t>
            </w:r>
          </w:p>
          <w:p w14:paraId="7D8C2AD6">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2）门诊用水</w:t>
            </w:r>
          </w:p>
          <w:p w14:paraId="537BF9E9">
            <w:pPr>
              <w:spacing w:line="360" w:lineRule="auto"/>
              <w:ind w:firstLine="480" w:firstLineChars="200"/>
              <w:rPr>
                <w:rFonts w:hint="eastAsia" w:ascii="Times New Roman" w:hAnsi="Times New Roman" w:eastAsia="宋体" w:cs="Times New Roman"/>
                <w:b/>
                <w:color w:val="auto"/>
                <w:sz w:val="24"/>
                <w:szCs w:val="24"/>
                <w:lang w:val="en-US" w:eastAsia="zh-CN"/>
              </w:rPr>
            </w:pPr>
            <w:r>
              <w:rPr>
                <w:rFonts w:hint="eastAsia" w:cs="Times New Roman"/>
                <w:color w:val="auto"/>
                <w:sz w:val="24"/>
                <w:lang w:val="en-US" w:eastAsia="zh-CN"/>
              </w:rPr>
              <w:t>本项目门诊量10人/月，</w:t>
            </w:r>
            <w:r>
              <w:rPr>
                <w:rFonts w:hint="default" w:ascii="Times New Roman" w:hAnsi="Times New Roman" w:cs="Times New Roman"/>
                <w:color w:val="auto"/>
                <w:sz w:val="24"/>
              </w:rPr>
              <w:t>参照</w:t>
            </w:r>
            <w:r>
              <w:rPr>
                <w:rFonts w:hint="default" w:ascii="Times New Roman" w:hAnsi="Times New Roman" w:cs="Times New Roman"/>
                <w:color w:val="auto"/>
                <w:sz w:val="24"/>
                <w:szCs w:val="24"/>
              </w:rPr>
              <w:t>《云南省地方标准 用水定额》（</w:t>
            </w:r>
            <w:r>
              <w:rPr>
                <w:rFonts w:ascii="Times New Roman"/>
                <w:color w:val="auto"/>
                <w:sz w:val="24"/>
                <w:szCs w:val="24"/>
              </w:rPr>
              <w:t>DB53/T168—201</w:t>
            </w:r>
            <w:r>
              <w:rPr>
                <w:rFonts w:hint="eastAsia" w:ascii="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rPr>
              <w:t>中，</w:t>
            </w:r>
            <w:r>
              <w:rPr>
                <w:rFonts w:hint="default" w:ascii="Times New Roman" w:hAnsi="Times New Roman" w:cs="Times New Roman"/>
                <w:color w:val="auto"/>
                <w:sz w:val="24"/>
                <w:szCs w:val="24"/>
              </w:rPr>
              <w:t>医疗用水量按20L/人·d计（含行政及医护人员、附属设施等综合用水），则</w:t>
            </w:r>
            <w:r>
              <w:rPr>
                <w:rFonts w:hint="eastAsia" w:cs="Times New Roman"/>
                <w:color w:val="auto"/>
                <w:sz w:val="24"/>
                <w:szCs w:val="24"/>
                <w:lang w:val="en-US" w:eastAsia="zh-CN"/>
              </w:rPr>
              <w:t>项目门诊</w:t>
            </w:r>
            <w:r>
              <w:rPr>
                <w:rFonts w:hint="default" w:ascii="Times New Roman" w:hAnsi="Times New Roman" w:cs="Times New Roman"/>
                <w:color w:val="auto"/>
                <w:sz w:val="24"/>
                <w:szCs w:val="24"/>
              </w:rPr>
              <w:t>用水量</w:t>
            </w:r>
            <w:r>
              <w:rPr>
                <w:rFonts w:hint="eastAsia" w:cs="Times New Roman"/>
                <w:color w:val="auto"/>
                <w:sz w:val="24"/>
                <w:szCs w:val="24"/>
                <w:lang w:val="en-US" w:eastAsia="zh-CN"/>
              </w:rPr>
              <w:t>0.2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月，0.0067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2.4455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，排污系数为0.8，则</w:t>
            </w:r>
            <w:r>
              <w:rPr>
                <w:rFonts w:hint="eastAsia" w:ascii="Times New Roman" w:hAnsi="Times New Roman" w:cs="Times New Roman"/>
                <w:color w:val="auto"/>
                <w:sz w:val="24"/>
                <w:szCs w:val="24"/>
                <w:lang w:eastAsia="zh-CN"/>
              </w:rPr>
              <w:t>门诊</w:t>
            </w:r>
            <w:r>
              <w:rPr>
                <w:rFonts w:hint="default" w:ascii="Times New Roman" w:hAnsi="Times New Roman" w:cs="Times New Roman"/>
                <w:color w:val="auto"/>
                <w:sz w:val="24"/>
                <w:szCs w:val="24"/>
              </w:rPr>
              <w:t>医疗废水为</w:t>
            </w:r>
            <w:r>
              <w:rPr>
                <w:rFonts w:hint="eastAsia" w:cs="Times New Roman"/>
                <w:color w:val="auto"/>
                <w:sz w:val="24"/>
                <w:szCs w:val="24"/>
                <w:lang w:val="en-US" w:eastAsia="zh-CN"/>
              </w:rPr>
              <w:t>0.0053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1.9345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主要污染物为COD、BOD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、SS、NH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-N、总磷、粪大肠菌群等</w:t>
            </w:r>
            <w:r>
              <w:rPr>
                <w:rFonts w:hint="eastAsia" w:cs="Times New Roman"/>
                <w:bCs/>
                <w:color w:val="auto"/>
                <w:sz w:val="24"/>
                <w:szCs w:val="24"/>
                <w:lang w:eastAsia="zh-CN"/>
              </w:rPr>
              <w:t>，</w:t>
            </w:r>
            <w:r>
              <w:rPr>
                <w:rFonts w:hint="default" w:ascii="Times New Roman" w:hAnsi="Times New Roman" w:cs="Times New Roman"/>
                <w:color w:val="auto"/>
                <w:sz w:val="24"/>
                <w:szCs w:val="24"/>
              </w:rPr>
              <w:t>产生的废水经化粪池</w:t>
            </w:r>
            <w:r>
              <w:rPr>
                <w:rFonts w:hint="eastAsia" w:cs="Times New Roman"/>
                <w:color w:val="auto"/>
                <w:sz w:val="24"/>
                <w:szCs w:val="24"/>
                <w:lang w:val="en-US" w:eastAsia="zh-CN"/>
              </w:rPr>
              <w:t>预</w:t>
            </w:r>
            <w:r>
              <w:rPr>
                <w:rFonts w:hint="default" w:ascii="Times New Roman" w:hAnsi="Times New Roman" w:cs="Times New Roman"/>
                <w:color w:val="auto"/>
                <w:sz w:val="24"/>
                <w:szCs w:val="24"/>
              </w:rPr>
              <w:t>处理后</w:t>
            </w:r>
            <w:r>
              <w:rPr>
                <w:rFonts w:hint="default" w:ascii="Times New Roman" w:hAnsi="Times New Roman" w:cs="Times New Roman"/>
                <w:color w:val="auto"/>
                <w:sz w:val="24"/>
                <w:szCs w:val="24"/>
                <w:lang w:val="en-US" w:eastAsia="zh-CN"/>
              </w:rPr>
              <w:t>进入项目自建污水处理站处理</w:t>
            </w:r>
            <w:r>
              <w:rPr>
                <w:rFonts w:hint="default" w:ascii="Times New Roman" w:hAnsi="Times New Roman" w:cs="Times New Roman"/>
                <w:color w:val="auto"/>
                <w:sz w:val="24"/>
                <w:szCs w:val="24"/>
              </w:rPr>
              <w:t>。</w:t>
            </w:r>
          </w:p>
          <w:p w14:paraId="5DE55251">
            <w:pPr>
              <w:spacing w:line="360" w:lineRule="auto"/>
              <w:ind w:firstLine="482" w:firstLineChars="200"/>
              <w:rPr>
                <w:rFonts w:hint="eastAsia" w:ascii="Times New Roman" w:hAnsi="Times New Roman" w:eastAsia="宋体" w:cs="Times New Roman"/>
                <w:b/>
                <w:color w:val="auto"/>
                <w:sz w:val="24"/>
                <w:szCs w:val="24"/>
                <w:lang w:val="en-US" w:eastAsia="zh-CN"/>
              </w:rPr>
            </w:pPr>
            <w:r>
              <w:rPr>
                <w:rFonts w:hint="eastAsia" w:eastAsia="宋体" w:cs="Times New Roman"/>
                <w:b/>
                <w:color w:val="auto"/>
                <w:sz w:val="24"/>
                <w:szCs w:val="24"/>
                <w:lang w:val="en-US" w:eastAsia="zh-CN"/>
              </w:rPr>
              <w:t>3</w:t>
            </w:r>
            <w:r>
              <w:rPr>
                <w:rFonts w:hint="eastAsia" w:ascii="Times New Roman" w:hAnsi="Times New Roman" w:eastAsia="宋体" w:cs="Times New Roman"/>
                <w:b/>
                <w:color w:val="auto"/>
                <w:sz w:val="24"/>
                <w:szCs w:val="24"/>
                <w:lang w:val="en-US" w:eastAsia="zh-CN"/>
              </w:rPr>
              <w:t>）</w:t>
            </w:r>
            <w:r>
              <w:rPr>
                <w:rFonts w:hint="eastAsia" w:eastAsia="宋体" w:cs="Times New Roman"/>
                <w:b/>
                <w:color w:val="auto"/>
                <w:sz w:val="24"/>
                <w:szCs w:val="24"/>
                <w:lang w:val="en-US" w:eastAsia="zh-CN"/>
              </w:rPr>
              <w:t>员工用水</w:t>
            </w:r>
          </w:p>
          <w:p w14:paraId="5ECC9C3A">
            <w:pPr>
              <w:numPr>
                <w:ilvl w:val="0"/>
                <w:numId w:val="0"/>
              </w:numPr>
              <w:spacing w:line="360" w:lineRule="auto"/>
              <w:ind w:firstLine="480" w:firstLineChars="200"/>
              <w:rPr>
                <w:rFonts w:hint="default" w:ascii="Times New Roman" w:hAnsi="Times New Roman" w:cs="Times New Roman"/>
                <w:color w:val="auto"/>
                <w:sz w:val="21"/>
                <w:szCs w:val="21"/>
              </w:rPr>
            </w:pPr>
            <w:r>
              <w:rPr>
                <w:rFonts w:hint="eastAsia" w:cs="Times New Roman"/>
                <w:color w:val="auto"/>
                <w:sz w:val="24"/>
                <w:lang w:val="en-US" w:eastAsia="zh-CN"/>
              </w:rPr>
              <w:t>本项目</w:t>
            </w:r>
            <w:r>
              <w:rPr>
                <w:rFonts w:hint="eastAsia" w:ascii="Times New Roman" w:hAnsi="Times New Roman" w:cs="Times New Roman"/>
                <w:color w:val="auto"/>
                <w:sz w:val="24"/>
                <w:szCs w:val="24"/>
                <w:lang w:val="en-US" w:eastAsia="zh-CN"/>
              </w:rPr>
              <w:t>员工人数</w:t>
            </w:r>
            <w:r>
              <w:rPr>
                <w:rFonts w:hint="eastAsia" w:cs="Times New Roman"/>
                <w:color w:val="auto"/>
                <w:sz w:val="24"/>
                <w:szCs w:val="24"/>
                <w:lang w:val="en-US" w:eastAsia="zh-CN"/>
              </w:rPr>
              <w:t>48</w:t>
            </w:r>
            <w:r>
              <w:rPr>
                <w:rFonts w:hint="eastAsia" w:ascii="Times New Roman" w:hAnsi="Times New Roman" w:cs="Times New Roman"/>
                <w:color w:val="auto"/>
                <w:sz w:val="24"/>
                <w:szCs w:val="24"/>
                <w:lang w:val="en-US" w:eastAsia="zh-CN"/>
              </w:rPr>
              <w:t>人，其中</w:t>
            </w:r>
            <w:r>
              <w:rPr>
                <w:rFonts w:hint="eastAsia" w:cs="Times New Roman"/>
                <w:color w:val="auto"/>
                <w:sz w:val="24"/>
                <w:szCs w:val="24"/>
                <w:lang w:val="en-US" w:eastAsia="zh-CN"/>
              </w:rPr>
              <w:t>10</w:t>
            </w:r>
            <w:r>
              <w:rPr>
                <w:rFonts w:hint="eastAsia" w:ascii="Times New Roman" w:hAnsi="Times New Roman" w:cs="Times New Roman"/>
                <w:color w:val="auto"/>
                <w:sz w:val="24"/>
                <w:szCs w:val="24"/>
                <w:lang w:val="en-US" w:eastAsia="zh-CN"/>
              </w:rPr>
              <w:t>人在项目内食宿，</w:t>
            </w:r>
            <w:r>
              <w:rPr>
                <w:rFonts w:hint="default" w:ascii="Times New Roman" w:hAnsi="Times New Roman" w:cs="Times New Roman"/>
                <w:color w:val="auto"/>
                <w:kern w:val="2"/>
                <w:sz w:val="24"/>
                <w:szCs w:val="24"/>
                <w:highlight w:val="none"/>
                <w:lang w:val="en-US" w:eastAsia="zh-CN" w:bidi="ar-SA"/>
              </w:rPr>
              <w:t>员工办公废水已经计入住院部废水中，</w:t>
            </w:r>
            <w:r>
              <w:rPr>
                <w:rFonts w:hint="eastAsia" w:cs="Times New Roman"/>
                <w:color w:val="auto"/>
                <w:kern w:val="2"/>
                <w:sz w:val="24"/>
                <w:szCs w:val="24"/>
                <w:highlight w:val="none"/>
                <w:lang w:val="en-US" w:eastAsia="zh-CN" w:bidi="ar-SA"/>
              </w:rPr>
              <w:t>食堂就餐用水计入食堂用水，</w:t>
            </w:r>
            <w:r>
              <w:rPr>
                <w:rFonts w:hint="default" w:ascii="Times New Roman" w:hAnsi="Times New Roman" w:cs="Times New Roman"/>
                <w:color w:val="auto"/>
                <w:kern w:val="2"/>
                <w:sz w:val="24"/>
                <w:szCs w:val="24"/>
                <w:highlight w:val="none"/>
                <w:lang w:val="en-US" w:eastAsia="zh-CN" w:bidi="ar-SA"/>
              </w:rPr>
              <w:t>不再重复计算，故员工生活用水仅计算</w:t>
            </w:r>
            <w:r>
              <w:rPr>
                <w:rFonts w:hint="eastAsia" w:cs="Times New Roman"/>
                <w:color w:val="auto"/>
                <w:kern w:val="2"/>
                <w:sz w:val="24"/>
                <w:szCs w:val="24"/>
                <w:highlight w:val="none"/>
                <w:lang w:val="en-US" w:eastAsia="zh-CN" w:bidi="ar-SA"/>
              </w:rPr>
              <w:t>10个</w:t>
            </w:r>
            <w:r>
              <w:rPr>
                <w:rFonts w:hint="default" w:ascii="Times New Roman" w:hAnsi="Times New Roman" w:cs="Times New Roman"/>
                <w:color w:val="auto"/>
                <w:kern w:val="2"/>
                <w:sz w:val="24"/>
                <w:szCs w:val="24"/>
                <w:highlight w:val="none"/>
                <w:lang w:val="en-US" w:eastAsia="zh-CN" w:bidi="ar-SA"/>
              </w:rPr>
              <w:t>员工</w:t>
            </w:r>
            <w:r>
              <w:rPr>
                <w:rFonts w:hint="eastAsia" w:cs="Times New Roman"/>
                <w:color w:val="auto"/>
                <w:kern w:val="2"/>
                <w:sz w:val="24"/>
                <w:szCs w:val="24"/>
                <w:highlight w:val="none"/>
                <w:lang w:val="en-US" w:eastAsia="zh-CN" w:bidi="ar-SA"/>
              </w:rPr>
              <w:t>住宿用水量（</w:t>
            </w:r>
            <w:r>
              <w:rPr>
                <w:rFonts w:hint="default" w:ascii="Times New Roman" w:hAnsi="Times New Roman" w:cs="Times New Roman"/>
                <w:color w:val="auto"/>
                <w:kern w:val="2"/>
                <w:sz w:val="24"/>
                <w:szCs w:val="24"/>
                <w:highlight w:val="none"/>
                <w:lang w:val="en-US" w:eastAsia="zh-CN" w:bidi="ar-SA"/>
              </w:rPr>
              <w:t>扣除其办公用水</w:t>
            </w:r>
            <w:r>
              <w:rPr>
                <w:rFonts w:hint="eastAsia" w:cs="Times New Roman"/>
                <w:color w:val="auto"/>
                <w:kern w:val="2"/>
                <w:sz w:val="24"/>
                <w:szCs w:val="24"/>
                <w:highlight w:val="none"/>
                <w:lang w:val="en-US" w:eastAsia="zh-CN" w:bidi="ar-SA"/>
              </w:rPr>
              <w:t>、食堂用水</w:t>
            </w:r>
            <w:r>
              <w:rPr>
                <w:rFonts w:hint="default" w:ascii="Times New Roman" w:hAnsi="Times New Roman" w:cs="Times New Roman"/>
                <w:color w:val="auto"/>
                <w:kern w:val="2"/>
                <w:sz w:val="24"/>
                <w:szCs w:val="24"/>
                <w:highlight w:val="none"/>
                <w:lang w:val="en-US" w:eastAsia="zh-CN" w:bidi="ar-SA"/>
              </w:rPr>
              <w:t>后的用水量</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sz w:val="24"/>
                <w:szCs w:val="24"/>
              </w:rPr>
              <w:t>参考《云南省地方标准 用水定额》（DB53/T168—201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员工生活用水定额</w:t>
            </w:r>
            <w:r>
              <w:rPr>
                <w:rFonts w:hint="default" w:ascii="Times New Roman" w:hAnsi="Times New Roman" w:cs="Times New Roman"/>
                <w:color w:val="auto"/>
                <w:sz w:val="24"/>
                <w:szCs w:val="24"/>
              </w:rPr>
              <w:t>按</w:t>
            </w:r>
            <w:r>
              <w:rPr>
                <w:rFonts w:hint="eastAsia" w:cs="Times New Roman"/>
                <w:color w:val="auto"/>
                <w:sz w:val="24"/>
                <w:szCs w:val="24"/>
                <w:lang w:val="en-US" w:eastAsia="zh-CN"/>
              </w:rPr>
              <w:t>40</w:t>
            </w: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rPr>
              <w:t>·d）计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则员工生活用水量为</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146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排污系数为0.8，则</w:t>
            </w:r>
            <w:r>
              <w:rPr>
                <w:rFonts w:hint="default" w:ascii="Times New Roman" w:hAnsi="Times New Roman" w:cs="Times New Roman"/>
                <w:color w:val="auto"/>
                <w:sz w:val="24"/>
                <w:szCs w:val="24"/>
                <w:lang w:val="en-US" w:eastAsia="zh-CN"/>
              </w:rPr>
              <w:t>员工</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val="en-US" w:eastAsia="zh-CN"/>
              </w:rPr>
              <w:t>产生量</w:t>
            </w:r>
            <w:r>
              <w:rPr>
                <w:rFonts w:hint="default" w:ascii="Times New Roman" w:hAnsi="Times New Roman" w:cs="Times New Roman"/>
                <w:color w:val="auto"/>
                <w:sz w:val="24"/>
                <w:szCs w:val="24"/>
              </w:rPr>
              <w:t>为</w:t>
            </w:r>
            <w:r>
              <w:rPr>
                <w:rFonts w:hint="eastAsia" w:cs="Times New Roman"/>
                <w:color w:val="auto"/>
                <w:sz w:val="24"/>
                <w:szCs w:val="24"/>
                <w:lang w:val="en-US" w:eastAsia="zh-CN"/>
              </w:rPr>
              <w:t>0.32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116.8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员工生活废水</w:t>
            </w:r>
            <w:r>
              <w:rPr>
                <w:rFonts w:hint="default" w:ascii="Times New Roman" w:hAnsi="Times New Roman" w:cs="Times New Roman"/>
                <w:bCs/>
                <w:color w:val="auto"/>
                <w:sz w:val="24"/>
                <w:szCs w:val="24"/>
              </w:rPr>
              <w:t>主要污染物为COD、BOD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、SS、NH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-N、总磷等</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员工废水同住院部废水一起经化粪池</w:t>
            </w:r>
            <w:r>
              <w:rPr>
                <w:rFonts w:hint="eastAsia" w:cs="Times New Roman"/>
                <w:bCs/>
                <w:color w:val="auto"/>
                <w:sz w:val="24"/>
                <w:szCs w:val="24"/>
                <w:lang w:val="en-US" w:eastAsia="zh-CN"/>
              </w:rPr>
              <w:t>预处理后进入自建污水处理站进行处理。</w:t>
            </w:r>
          </w:p>
          <w:p w14:paraId="4FCF1589">
            <w:pPr>
              <w:numPr>
                <w:ilvl w:val="0"/>
                <w:numId w:val="0"/>
              </w:num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4）食堂用水</w:t>
            </w:r>
          </w:p>
          <w:p w14:paraId="5C8AEB7D">
            <w:pPr>
              <w:numPr>
                <w:ilvl w:val="0"/>
                <w:numId w:val="0"/>
              </w:num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rPr>
              <w:t>本项目员工</w:t>
            </w:r>
            <w:r>
              <w:rPr>
                <w:rFonts w:hint="eastAsia" w:cs="Times New Roman"/>
                <w:color w:val="auto"/>
                <w:sz w:val="24"/>
                <w:szCs w:val="24"/>
                <w:lang w:val="en-US" w:eastAsia="zh-CN"/>
              </w:rPr>
              <w:t>48</w:t>
            </w:r>
            <w:r>
              <w:rPr>
                <w:rFonts w:hint="default" w:ascii="Times New Roman" w:hAnsi="Times New Roman" w:cs="Times New Roman"/>
                <w:color w:val="auto"/>
                <w:sz w:val="24"/>
                <w:szCs w:val="24"/>
              </w:rPr>
              <w:t>人，</w:t>
            </w:r>
            <w:r>
              <w:rPr>
                <w:rFonts w:hint="eastAsia" w:cs="Times New Roman"/>
                <w:color w:val="auto"/>
                <w:sz w:val="24"/>
                <w:szCs w:val="24"/>
                <w:lang w:val="en-US" w:eastAsia="zh-CN"/>
              </w:rPr>
              <w:t>其中10人在项目内食宿，提供三餐，其余38人仅中午在项目内就餐，提供午餐；项目</w:t>
            </w:r>
            <w:r>
              <w:rPr>
                <w:rFonts w:hint="default" w:ascii="Times New Roman" w:hAnsi="Times New Roman" w:cs="Times New Roman"/>
                <w:color w:val="auto"/>
                <w:sz w:val="24"/>
                <w:szCs w:val="24"/>
              </w:rPr>
              <w:t>病床</w:t>
            </w:r>
            <w:r>
              <w:rPr>
                <w:rFonts w:hint="eastAsia" w:cs="Times New Roman"/>
                <w:color w:val="auto"/>
                <w:sz w:val="24"/>
                <w:szCs w:val="24"/>
                <w:lang w:val="en-US" w:eastAsia="zh-CN"/>
              </w:rPr>
              <w:t>108</w:t>
            </w:r>
            <w:r>
              <w:rPr>
                <w:rFonts w:hint="default" w:ascii="Times New Roman" w:hAnsi="Times New Roman" w:cs="Times New Roman"/>
                <w:color w:val="auto"/>
                <w:sz w:val="24"/>
                <w:szCs w:val="24"/>
              </w:rPr>
              <w:t>张，按负荷量为100%计</w:t>
            </w:r>
            <w:r>
              <w:rPr>
                <w:rFonts w:hint="eastAsia" w:cs="Times New Roman"/>
                <w:color w:val="auto"/>
                <w:sz w:val="24"/>
                <w:szCs w:val="24"/>
                <w:lang w:eastAsia="zh-CN"/>
              </w:rPr>
              <w:t>，</w:t>
            </w:r>
            <w:r>
              <w:rPr>
                <w:rFonts w:hint="eastAsia" w:cs="Times New Roman"/>
                <w:color w:val="auto"/>
                <w:sz w:val="24"/>
                <w:szCs w:val="24"/>
                <w:lang w:val="en-US" w:eastAsia="zh-CN"/>
              </w:rPr>
              <w:t>108人就餐，则中午食堂就餐人数156人，早餐和晚餐就餐人数118人，午餐、晚餐</w:t>
            </w:r>
            <w:r>
              <w:rPr>
                <w:rFonts w:hint="default" w:ascii="Times New Roman" w:hAnsi="Times New Roman" w:eastAsia="宋体" w:cs="Times New Roman"/>
                <w:color w:val="auto"/>
                <w:kern w:val="2"/>
                <w:sz w:val="24"/>
                <w:szCs w:val="24"/>
                <w:highlight w:val="none"/>
                <w:lang w:val="en-US" w:eastAsia="zh-CN" w:bidi="ar-SA"/>
              </w:rPr>
              <w:t>用水定</w:t>
            </w:r>
            <w:r>
              <w:rPr>
                <w:rFonts w:hint="default" w:ascii="Times New Roman" w:hAnsi="Times New Roman" w:cs="Times New Roman"/>
                <w:color w:val="auto"/>
                <w:kern w:val="0"/>
                <w:sz w:val="24"/>
                <w:szCs w:val="24"/>
                <w:highlight w:val="none"/>
              </w:rPr>
              <w:t>额</w:t>
            </w:r>
            <w:r>
              <w:rPr>
                <w:rFonts w:hint="eastAsia" w:cs="Times New Roman"/>
                <w:color w:val="auto"/>
                <w:kern w:val="0"/>
                <w:sz w:val="24"/>
                <w:szCs w:val="24"/>
                <w:highlight w:val="none"/>
                <w:lang w:val="en-US" w:eastAsia="zh-CN"/>
              </w:rPr>
              <w:t>均</w:t>
            </w:r>
            <w:r>
              <w:rPr>
                <w:rFonts w:hint="default" w:ascii="Times New Roman" w:hAnsi="Times New Roman" w:cs="Times New Roman"/>
                <w:color w:val="auto"/>
                <w:kern w:val="0"/>
                <w:sz w:val="24"/>
                <w:szCs w:val="24"/>
                <w:highlight w:val="none"/>
              </w:rPr>
              <w:t>按照</w:t>
            </w:r>
            <w:r>
              <w:rPr>
                <w:rFonts w:hint="eastAsia" w:cs="Times New Roman"/>
                <w:color w:val="auto"/>
                <w:kern w:val="0"/>
                <w:sz w:val="24"/>
                <w:szCs w:val="24"/>
                <w:highlight w:val="none"/>
                <w:lang w:val="en-US" w:eastAsia="zh-CN"/>
              </w:rPr>
              <w:t>10</w:t>
            </w:r>
            <w:r>
              <w:rPr>
                <w:rFonts w:hint="default" w:ascii="Times New Roman" w:hAnsi="Times New Roman" w:eastAsia="TimesNewRomanPSMT" w:cs="Times New Roman"/>
                <w:color w:val="auto"/>
                <w:kern w:val="0"/>
                <w:sz w:val="24"/>
                <w:szCs w:val="24"/>
                <w:highlight w:val="none"/>
              </w:rPr>
              <w:t>L/</w:t>
            </w:r>
            <w:r>
              <w:rPr>
                <w:rFonts w:hint="default" w:ascii="Times New Roman" w:hAnsi="Times New Roman" w:cs="Times New Roman"/>
                <w:color w:val="auto"/>
                <w:kern w:val="0"/>
                <w:sz w:val="24"/>
                <w:szCs w:val="24"/>
                <w:highlight w:val="none"/>
              </w:rPr>
              <w:t>人</w:t>
            </w:r>
            <w:r>
              <w:rPr>
                <w:rFonts w:hint="default" w:ascii="Times New Roman" w:hAnsi="Times New Roman" w:eastAsia="TimesNewRomanPSMT" w:cs="Times New Roman"/>
                <w:color w:val="auto"/>
                <w:kern w:val="0"/>
                <w:sz w:val="24"/>
                <w:szCs w:val="24"/>
                <w:highlight w:val="none"/>
              </w:rPr>
              <w:t>·</w:t>
            </w:r>
            <w:r>
              <w:rPr>
                <w:rFonts w:hint="eastAsia" w:cs="Times New Roman"/>
                <w:color w:val="auto"/>
                <w:kern w:val="0"/>
                <w:sz w:val="24"/>
                <w:szCs w:val="24"/>
                <w:highlight w:val="none"/>
                <w:lang w:val="en-US" w:eastAsia="zh-CN"/>
              </w:rPr>
              <w:t>次</w:t>
            </w:r>
            <w:r>
              <w:rPr>
                <w:rFonts w:hint="default" w:ascii="Times New Roman" w:hAnsi="Times New Roman" w:cs="Times New Roman"/>
                <w:color w:val="auto"/>
                <w:kern w:val="0"/>
                <w:sz w:val="24"/>
                <w:szCs w:val="24"/>
                <w:highlight w:val="none"/>
              </w:rPr>
              <w:t>计算</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早餐</w:t>
            </w:r>
            <w:r>
              <w:rPr>
                <w:rFonts w:hint="default" w:ascii="Times New Roman" w:hAnsi="Times New Roman" w:eastAsia="宋体" w:cs="Times New Roman"/>
                <w:color w:val="auto"/>
                <w:kern w:val="2"/>
                <w:sz w:val="24"/>
                <w:szCs w:val="24"/>
                <w:highlight w:val="none"/>
                <w:lang w:val="en-US" w:eastAsia="zh-CN" w:bidi="ar-SA"/>
              </w:rPr>
              <w:t>用水定</w:t>
            </w:r>
            <w:r>
              <w:rPr>
                <w:rFonts w:hint="default" w:ascii="Times New Roman" w:hAnsi="Times New Roman" w:cs="Times New Roman"/>
                <w:color w:val="auto"/>
                <w:kern w:val="0"/>
                <w:sz w:val="24"/>
                <w:szCs w:val="24"/>
                <w:highlight w:val="none"/>
              </w:rPr>
              <w:t>额按照</w:t>
            </w:r>
            <w:r>
              <w:rPr>
                <w:rFonts w:hint="eastAsia" w:cs="Times New Roman"/>
                <w:color w:val="auto"/>
                <w:kern w:val="0"/>
                <w:sz w:val="24"/>
                <w:szCs w:val="24"/>
                <w:highlight w:val="none"/>
                <w:lang w:val="en-US" w:eastAsia="zh-CN"/>
              </w:rPr>
              <w:t>5</w:t>
            </w:r>
            <w:r>
              <w:rPr>
                <w:rFonts w:hint="default" w:ascii="Times New Roman" w:hAnsi="Times New Roman" w:eastAsia="TimesNewRomanPSMT" w:cs="Times New Roman"/>
                <w:color w:val="auto"/>
                <w:kern w:val="0"/>
                <w:sz w:val="24"/>
                <w:szCs w:val="24"/>
                <w:highlight w:val="none"/>
              </w:rPr>
              <w:t>L/</w:t>
            </w:r>
            <w:r>
              <w:rPr>
                <w:rFonts w:hint="default" w:ascii="Times New Roman" w:hAnsi="Times New Roman" w:cs="Times New Roman"/>
                <w:color w:val="auto"/>
                <w:kern w:val="0"/>
                <w:sz w:val="24"/>
                <w:szCs w:val="24"/>
                <w:highlight w:val="none"/>
              </w:rPr>
              <w:t>人</w:t>
            </w:r>
            <w:r>
              <w:rPr>
                <w:rFonts w:hint="default" w:ascii="Times New Roman" w:hAnsi="Times New Roman" w:eastAsia="TimesNewRomanPSMT" w:cs="Times New Roman"/>
                <w:color w:val="auto"/>
                <w:kern w:val="0"/>
                <w:sz w:val="24"/>
                <w:szCs w:val="24"/>
                <w:highlight w:val="none"/>
              </w:rPr>
              <w:t>·</w:t>
            </w:r>
            <w:r>
              <w:rPr>
                <w:rFonts w:hint="eastAsia" w:cs="Times New Roman"/>
                <w:color w:val="auto"/>
                <w:kern w:val="0"/>
                <w:sz w:val="24"/>
                <w:szCs w:val="24"/>
                <w:highlight w:val="none"/>
                <w:lang w:val="en-US" w:eastAsia="zh-CN"/>
              </w:rPr>
              <w:t>次</w:t>
            </w:r>
            <w:r>
              <w:rPr>
                <w:rFonts w:hint="default" w:ascii="Times New Roman" w:hAnsi="Times New Roman" w:cs="Times New Roman"/>
                <w:color w:val="auto"/>
                <w:kern w:val="0"/>
                <w:sz w:val="24"/>
                <w:szCs w:val="24"/>
                <w:highlight w:val="none"/>
              </w:rPr>
              <w:t>计算</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则食堂日用水量</w:t>
            </w:r>
            <w:r>
              <w:rPr>
                <w:rFonts w:hint="eastAsia" w:ascii="Times New Roman" w:hAnsi="Times New Roman" w:cs="Times New Roman"/>
                <w:color w:val="auto"/>
                <w:kern w:val="0"/>
                <w:sz w:val="24"/>
                <w:szCs w:val="24"/>
                <w:highlight w:val="none"/>
                <w:lang w:eastAsia="zh-CN"/>
              </w:rPr>
              <w:t>为</w:t>
            </w:r>
            <w:r>
              <w:rPr>
                <w:rFonts w:hint="eastAsia" w:ascii="Times New Roman" w:hAnsi="Times New Roman" w:cs="Times New Roman"/>
                <w:color w:val="auto"/>
                <w:kern w:val="0"/>
                <w:sz w:val="24"/>
                <w:szCs w:val="24"/>
                <w:highlight w:val="none"/>
                <w:lang w:val="en-US" w:eastAsia="zh-CN"/>
              </w:rPr>
              <w:t>3.33</w:t>
            </w:r>
            <w:r>
              <w:rPr>
                <w:rFonts w:hint="default" w:ascii="Times New Roman" w:hAnsi="Times New Roman" w:eastAsia="TimesNewRomanPSMT" w:cs="Times New Roman"/>
                <w:color w:val="auto"/>
                <w:kern w:val="0"/>
                <w:sz w:val="24"/>
                <w:szCs w:val="24"/>
                <w:highlight w:val="none"/>
              </w:rPr>
              <w:t>m</w:t>
            </w:r>
            <w:r>
              <w:rPr>
                <w:rFonts w:hint="default" w:ascii="Times New Roman" w:hAnsi="Times New Roman" w:eastAsia="TimesNewRomanPSMT" w:cs="Times New Roman"/>
                <w:color w:val="auto"/>
                <w:kern w:val="0"/>
                <w:sz w:val="24"/>
                <w:szCs w:val="24"/>
                <w:highlight w:val="none"/>
                <w:vertAlign w:val="superscript"/>
              </w:rPr>
              <w:t>3</w:t>
            </w:r>
            <w:r>
              <w:rPr>
                <w:rFonts w:hint="default" w:ascii="Times New Roman" w:hAnsi="Times New Roman" w:eastAsia="TimesNewRomanPSMT" w:cs="Times New Roman"/>
                <w:color w:val="auto"/>
                <w:kern w:val="0"/>
                <w:sz w:val="24"/>
                <w:szCs w:val="24"/>
                <w:highlight w:val="none"/>
              </w:rPr>
              <w:t>/d</w:t>
            </w:r>
            <w:r>
              <w:rPr>
                <w:rFonts w:hint="default" w:ascii="Times New Roman" w:hAnsi="Times New Roman" w:cs="Times New Roman"/>
                <w:color w:val="auto"/>
                <w:kern w:val="0"/>
                <w:sz w:val="24"/>
                <w:szCs w:val="24"/>
                <w:highlight w:val="none"/>
              </w:rPr>
              <w:t>，</w:t>
            </w:r>
            <w:r>
              <w:rPr>
                <w:rFonts w:hint="eastAsia" w:cs="Times New Roman"/>
                <w:color w:val="auto"/>
                <w:sz w:val="24"/>
                <w:szCs w:val="24"/>
                <w:highlight w:val="none"/>
                <w:lang w:val="en-US" w:eastAsia="zh-CN"/>
              </w:rPr>
              <w:t>1215.45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rPr>
              <w:t>排水系数为</w:t>
            </w:r>
            <w:r>
              <w:rPr>
                <w:rFonts w:hint="default" w:ascii="Times New Roman" w:hAnsi="Times New Roman" w:eastAsia="TimesNewRomanPSMT" w:cs="Times New Roman"/>
                <w:color w:val="auto"/>
                <w:kern w:val="0"/>
                <w:sz w:val="24"/>
                <w:szCs w:val="24"/>
                <w:highlight w:val="none"/>
              </w:rPr>
              <w:t>0.8</w:t>
            </w:r>
            <w:r>
              <w:rPr>
                <w:rFonts w:hint="default" w:ascii="Times New Roman" w:hAnsi="Times New Roman" w:cs="Times New Roman"/>
                <w:color w:val="auto"/>
                <w:kern w:val="0"/>
                <w:sz w:val="24"/>
                <w:szCs w:val="24"/>
                <w:highlight w:val="none"/>
              </w:rPr>
              <w:t>，则排水量为</w:t>
            </w:r>
            <w:r>
              <w:rPr>
                <w:rFonts w:hint="eastAsia" w:cs="Times New Roman"/>
                <w:color w:val="auto"/>
                <w:kern w:val="0"/>
                <w:sz w:val="24"/>
                <w:szCs w:val="24"/>
                <w:highlight w:val="none"/>
                <w:lang w:val="en-US" w:eastAsia="zh-CN"/>
              </w:rPr>
              <w:t>2.664</w:t>
            </w:r>
            <w:r>
              <w:rPr>
                <w:rFonts w:hint="default" w:ascii="Times New Roman" w:hAnsi="Times New Roman" w:eastAsia="TimesNewRomanPSMT" w:cs="Times New Roman"/>
                <w:color w:val="auto"/>
                <w:kern w:val="0"/>
                <w:sz w:val="24"/>
                <w:szCs w:val="24"/>
                <w:highlight w:val="none"/>
              </w:rPr>
              <w:t>m</w:t>
            </w:r>
            <w:r>
              <w:rPr>
                <w:rFonts w:hint="default" w:ascii="Times New Roman" w:hAnsi="Times New Roman" w:eastAsia="TimesNewRomanPSMT" w:cs="Times New Roman"/>
                <w:color w:val="auto"/>
                <w:kern w:val="0"/>
                <w:sz w:val="24"/>
                <w:szCs w:val="24"/>
                <w:highlight w:val="none"/>
                <w:vertAlign w:val="superscript"/>
              </w:rPr>
              <w:t>3</w:t>
            </w:r>
            <w:r>
              <w:rPr>
                <w:rFonts w:hint="default" w:ascii="Times New Roman" w:hAnsi="Times New Roman" w:eastAsia="TimesNewRomanPSMT" w:cs="Times New Roman"/>
                <w:color w:val="auto"/>
                <w:kern w:val="0"/>
                <w:sz w:val="24"/>
                <w:szCs w:val="24"/>
                <w:highlight w:val="none"/>
              </w:rPr>
              <w:t>/d</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972.36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ascii="Times New Roman" w:hAnsi="Times New Roman"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环评要求食堂增设1个处理规模为0.5m</w:t>
            </w:r>
            <w:r>
              <w:rPr>
                <w:rFonts w:hint="eastAsia" w:eastAsia="宋体" w:cs="Times New Roman"/>
                <w:color w:val="auto"/>
                <w:kern w:val="0"/>
                <w:sz w:val="24"/>
                <w:szCs w:val="24"/>
                <w:highlight w:val="none"/>
                <w:vertAlign w:val="superscript"/>
                <w:lang w:val="en-US" w:eastAsia="zh-CN"/>
              </w:rPr>
              <w:t>3</w:t>
            </w:r>
            <w:r>
              <w:rPr>
                <w:rFonts w:hint="eastAsia" w:eastAsia="宋体" w:cs="Times New Roman"/>
                <w:color w:val="auto"/>
                <w:kern w:val="0"/>
                <w:sz w:val="24"/>
                <w:szCs w:val="24"/>
                <w:highlight w:val="none"/>
                <w:lang w:val="en-US" w:eastAsia="zh-CN"/>
              </w:rPr>
              <w:t>/h的油水分离器预处理</w:t>
            </w:r>
            <w:r>
              <w:rPr>
                <w:rFonts w:hint="default" w:ascii="Times New Roman" w:hAnsi="Times New Roman" w:cs="Times New Roman"/>
                <w:color w:val="auto"/>
                <w:sz w:val="24"/>
                <w:szCs w:val="24"/>
                <w:highlight w:val="none"/>
                <w:lang w:eastAsia="zh-CN"/>
              </w:rPr>
              <w:t>食堂</w:t>
            </w:r>
            <w:r>
              <w:rPr>
                <w:rFonts w:hint="eastAsia" w:cs="Times New Roman"/>
                <w:color w:val="auto"/>
                <w:sz w:val="24"/>
                <w:szCs w:val="24"/>
                <w:highlight w:val="none"/>
                <w:lang w:val="en-US" w:eastAsia="zh-CN"/>
              </w:rPr>
              <w:t>废水，隔油处理后的废水排入化粪池预处理，处理后进入项目自建污水处理站进行处理。</w:t>
            </w:r>
          </w:p>
          <w:p w14:paraId="20D171EA">
            <w:pPr>
              <w:numPr>
                <w:ilvl w:val="0"/>
                <w:numId w:val="0"/>
              </w:numPr>
              <w:spacing w:line="360" w:lineRule="auto"/>
              <w:ind w:firstLine="482" w:firstLineChars="200"/>
              <w:rPr>
                <w:rFonts w:hint="default"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5）</w:t>
            </w:r>
            <w:r>
              <w:rPr>
                <w:rFonts w:hint="eastAsia" w:cs="Times New Roman"/>
                <w:b/>
                <w:bCs/>
                <w:color w:val="auto"/>
                <w:sz w:val="24"/>
                <w:szCs w:val="24"/>
                <w:highlight w:val="none"/>
                <w:lang w:val="en-US" w:eastAsia="zh-CN"/>
              </w:rPr>
              <w:t>洗衣房用水</w:t>
            </w:r>
          </w:p>
          <w:p w14:paraId="6E66B713">
            <w:pPr>
              <w:numPr>
                <w:ilvl w:val="0"/>
                <w:numId w:val="0"/>
              </w:numPr>
              <w:spacing w:line="360" w:lineRule="auto"/>
              <w:ind w:firstLine="480" w:firstLineChars="200"/>
              <w:rPr>
                <w:rFonts w:hint="eastAsia" w:cs="Times New Roman"/>
                <w:color w:val="auto"/>
                <w:sz w:val="24"/>
                <w:szCs w:val="24"/>
                <w:highlight w:val="none"/>
                <w:lang w:eastAsia="zh-CN"/>
              </w:rPr>
            </w:pPr>
            <w:r>
              <w:rPr>
                <w:rFonts w:hint="eastAsia"/>
                <w:color w:val="auto"/>
                <w:sz w:val="24"/>
                <w:szCs w:val="24"/>
                <w:lang w:val="en-US" w:eastAsia="zh-CN"/>
              </w:rPr>
              <w:t>本项目在活动区域北侧设置洗衣房，用于项目产生的床单及工作服清洗、消毒，清洗方式采用洗衣机。根据建设单位提供的经验数据，医院洗衣量为2kg/床次，</w:t>
            </w: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为108</w:t>
            </w:r>
            <w:r>
              <w:rPr>
                <w:rFonts w:hint="default" w:ascii="Times New Roman" w:hAnsi="Times New Roman" w:cs="Times New Roman"/>
                <w:color w:val="auto"/>
                <w:sz w:val="24"/>
                <w:szCs w:val="24"/>
                <w:highlight w:val="none"/>
                <w:lang w:val="en-US" w:eastAsia="zh-CN"/>
              </w:rPr>
              <w:t>张床位，</w:t>
            </w:r>
            <w:r>
              <w:rPr>
                <w:rFonts w:hint="eastAsia"/>
                <w:color w:val="auto"/>
                <w:sz w:val="24"/>
                <w:szCs w:val="24"/>
                <w:lang w:val="en-US" w:eastAsia="zh-CN"/>
              </w:rPr>
              <w:t>则本项目洗衣量为216kg/次，平均一个月清洗3次，用水量参照《综合医院建筑设计规范》GB51039-2014（2024年版）中医院生活用水量定额，洗衣用水取80L/kg，则本项目洗衣用水量为17.28m</w:t>
            </w:r>
            <w:r>
              <w:rPr>
                <w:rFonts w:hint="eastAsia"/>
                <w:color w:val="auto"/>
                <w:sz w:val="24"/>
                <w:szCs w:val="24"/>
                <w:vertAlign w:val="superscript"/>
                <w:lang w:val="en-US" w:eastAsia="zh-CN"/>
              </w:rPr>
              <w:t>3</w:t>
            </w:r>
            <w:r>
              <w:rPr>
                <w:rFonts w:hint="eastAsia"/>
                <w:color w:val="auto"/>
                <w:sz w:val="24"/>
                <w:szCs w:val="24"/>
                <w:lang w:val="en-US" w:eastAsia="zh-CN"/>
              </w:rPr>
              <w:t>/次，51.84m</w:t>
            </w:r>
            <w:r>
              <w:rPr>
                <w:rFonts w:hint="eastAsia"/>
                <w:color w:val="auto"/>
                <w:sz w:val="24"/>
                <w:szCs w:val="24"/>
                <w:vertAlign w:val="superscript"/>
                <w:lang w:val="en-US" w:eastAsia="zh-CN"/>
              </w:rPr>
              <w:t>3</w:t>
            </w:r>
            <w:r>
              <w:rPr>
                <w:rFonts w:hint="eastAsia"/>
                <w:color w:val="auto"/>
                <w:sz w:val="24"/>
                <w:szCs w:val="24"/>
                <w:lang w:val="en-US" w:eastAsia="zh-CN"/>
              </w:rPr>
              <w:t>/月，622.08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1.7</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olor w:val="auto"/>
                <w:sz w:val="24"/>
                <w:szCs w:val="24"/>
                <w:lang w:val="en-US" w:eastAsia="zh-CN"/>
              </w:rPr>
              <w:t>。</w:t>
            </w:r>
            <w:r>
              <w:rPr>
                <w:rFonts w:hint="default" w:ascii="Times New Roman" w:hAnsi="Times New Roman" w:cs="Times New Roman"/>
                <w:color w:val="auto"/>
                <w:sz w:val="24"/>
                <w:szCs w:val="24"/>
                <w:highlight w:val="none"/>
              </w:rPr>
              <w:t>产污系数取0.</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w:t>
            </w:r>
            <w:r>
              <w:rPr>
                <w:rFonts w:hint="eastAsia"/>
                <w:color w:val="auto"/>
                <w:sz w:val="24"/>
                <w:szCs w:val="24"/>
                <w:lang w:val="en-US" w:eastAsia="zh-CN"/>
              </w:rPr>
              <w:t>则洗涤废水产生量为1.53m</w:t>
            </w:r>
            <w:r>
              <w:rPr>
                <w:rFonts w:hint="eastAsia"/>
                <w:color w:val="auto"/>
                <w:sz w:val="24"/>
                <w:szCs w:val="24"/>
                <w:vertAlign w:val="superscript"/>
                <w:lang w:val="en-US" w:eastAsia="zh-CN"/>
              </w:rPr>
              <w:t>3</w:t>
            </w:r>
            <w:r>
              <w:rPr>
                <w:rFonts w:hint="eastAsia"/>
                <w:color w:val="auto"/>
                <w:sz w:val="24"/>
                <w:szCs w:val="24"/>
                <w:lang w:val="en-US" w:eastAsia="zh-CN"/>
              </w:rPr>
              <w:t>/d，558.45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s="Times New Roman"/>
                <w:color w:val="auto"/>
                <w:sz w:val="24"/>
                <w:szCs w:val="24"/>
                <w:highlight w:val="none"/>
                <w:lang w:eastAsia="zh-CN"/>
              </w:rPr>
              <w:t>。</w:t>
            </w:r>
          </w:p>
          <w:p w14:paraId="207E6426">
            <w:pPr>
              <w:numPr>
                <w:ilvl w:val="0"/>
                <w:numId w:val="0"/>
              </w:numPr>
              <w:spacing w:line="360" w:lineRule="auto"/>
              <w:ind w:firstLine="482" w:firstLineChars="200"/>
              <w:rPr>
                <w:rFonts w:hint="eastAsia"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6）</w:t>
            </w:r>
            <w:r>
              <w:rPr>
                <w:rFonts w:hint="eastAsia" w:cs="Times New Roman"/>
                <w:b/>
                <w:bCs/>
                <w:color w:val="auto"/>
                <w:sz w:val="24"/>
                <w:szCs w:val="24"/>
                <w:lang w:val="en-US" w:eastAsia="zh-CN"/>
              </w:rPr>
              <w:t>检验室用水</w:t>
            </w:r>
          </w:p>
          <w:p w14:paraId="361F365B">
            <w:pPr>
              <w:numPr>
                <w:ilvl w:val="0"/>
                <w:numId w:val="0"/>
              </w:numPr>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检验室主要用于简单的血样、尿样等仪器分析，不涉及使用化学药剂，本项目检验科未设置细菌培养室，不涉及细菌检查；所采集尿液、血液等样品作为医疗废物处理。根据建设单位提供的资料，本项目检验科不涉及氰化物、含铬物质及重金属离子等化学试剂，医院检验科化验均为常规简单化验，主要承担临床检验血、尿常规分析，使用血样、尿样等仪器分析，检验室主要废水为设备清洗废水，主要污染为含有少量病菌。清洗废水排入化粪池处理，处理后排入院内污水处理站处理。</w:t>
            </w:r>
          </w:p>
          <w:p w14:paraId="252CDD0F">
            <w:pPr>
              <w:numPr>
                <w:ilvl w:val="0"/>
                <w:numId w:val="0"/>
              </w:numPr>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lang w:val="en-US" w:eastAsia="zh-CN"/>
              </w:rPr>
              <w:t>根据老院运营情况，医院检验用水量约0.1m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/d(36.5m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/a)。排放量约0.09t/d(32.9t/a)。检测后的血样、尿样等废液作为医疗废物处置。暂存在医废间内委托西畴铂鑫医疗废物处理有限公司进行处置。</w:t>
            </w:r>
          </w:p>
          <w:p w14:paraId="7122B154">
            <w:pPr>
              <w:pStyle w:val="13"/>
              <w:numPr>
                <w:ilvl w:val="0"/>
                <w:numId w:val="0"/>
              </w:numPr>
              <w:spacing w:line="360" w:lineRule="auto"/>
              <w:ind w:firstLine="482" w:firstLineChars="200"/>
              <w:rPr>
                <w:rFonts w:hint="eastAsia"/>
                <w:b/>
                <w:bCs/>
                <w:color w:val="auto"/>
                <w:sz w:val="24"/>
                <w:szCs w:val="24"/>
                <w:highlight w:val="none"/>
                <w:lang w:val="en-US" w:eastAsia="zh-CN"/>
              </w:rPr>
            </w:pPr>
            <w:r>
              <w:rPr>
                <w:rFonts w:hint="eastAsia" w:ascii="宋体" w:hAnsi="Courier New"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4</w:t>
            </w:r>
            <w:r>
              <w:rPr>
                <w:rFonts w:hint="eastAsia" w:ascii="宋体" w:hAnsi="Courier New" w:eastAsia="宋体" w:cs="Times New Roman"/>
                <w:b/>
                <w:bCs/>
                <w:color w:val="auto"/>
                <w:kern w:val="2"/>
                <w:sz w:val="24"/>
                <w:szCs w:val="24"/>
                <w:highlight w:val="none"/>
                <w:lang w:val="en-US" w:eastAsia="zh-CN" w:bidi="ar-SA"/>
              </w:rPr>
              <w:t>）</w:t>
            </w:r>
            <w:r>
              <w:rPr>
                <w:rFonts w:hint="eastAsia"/>
                <w:b/>
                <w:bCs/>
                <w:color w:val="auto"/>
                <w:sz w:val="24"/>
                <w:szCs w:val="24"/>
                <w:highlight w:val="none"/>
                <w:lang w:val="en-US" w:eastAsia="zh-CN"/>
              </w:rPr>
              <w:t>水平衡</w:t>
            </w:r>
          </w:p>
          <w:p w14:paraId="3F69E2CA">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检验室检测后的血样、尿样等废液作为医疗固废处置。故</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门诊废水、洗衣房废水、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淋浴房用水计入住院用水，不单独核算。</w:t>
            </w:r>
            <w:r>
              <w:rPr>
                <w:rFonts w:hint="eastAsia" w:ascii="Times New Roman" w:hAnsi="Times New Roman" w:cs="Times New Roman"/>
                <w:b w:val="0"/>
                <w:bCs w:val="0"/>
                <w:color w:val="auto"/>
                <w:sz w:val="24"/>
                <w:szCs w:val="24"/>
                <w:lang w:val="en-US" w:eastAsia="zh-CN"/>
              </w:rPr>
              <w:t>项目用水及废水产生汇总如下：</w:t>
            </w:r>
          </w:p>
          <w:p w14:paraId="0B1FA5F9">
            <w:pPr>
              <w:spacing w:line="360" w:lineRule="auto"/>
              <w:ind w:firstLine="361" w:firstLineChars="15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 xml:space="preserve"> 项目用水及废水产生情况统计表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4"/>
              <w:gridCol w:w="1089"/>
              <w:gridCol w:w="1117"/>
              <w:gridCol w:w="1088"/>
              <w:gridCol w:w="1117"/>
              <w:gridCol w:w="2809"/>
            </w:tblGrid>
            <w:tr w14:paraId="3114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657" w:type="pct"/>
                  <w:noWrap w:val="0"/>
                  <w:vAlign w:val="center"/>
                </w:tcPr>
                <w:p w14:paraId="7C7E9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用水项目</w:t>
                  </w:r>
                </w:p>
              </w:tc>
              <w:tc>
                <w:tcPr>
                  <w:tcW w:w="654" w:type="pct"/>
                  <w:noWrap w:val="0"/>
                  <w:vAlign w:val="center"/>
                </w:tcPr>
                <w:p w14:paraId="6D59B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日用水量</w:t>
                  </w:r>
                </w:p>
                <w:p w14:paraId="2EEA6D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r>
                    <w:rPr>
                      <w:rFonts w:hint="eastAsia" w:cs="Times New Roman"/>
                      <w:b/>
                      <w:bCs/>
                      <w:color w:val="auto"/>
                      <w:sz w:val="21"/>
                      <w:szCs w:val="21"/>
                      <w:lang w:eastAsia="zh-CN"/>
                    </w:rPr>
                    <w:t>)</w:t>
                  </w:r>
                </w:p>
              </w:tc>
              <w:tc>
                <w:tcPr>
                  <w:tcW w:w="671" w:type="pct"/>
                  <w:noWrap w:val="0"/>
                  <w:vAlign w:val="center"/>
                </w:tcPr>
                <w:p w14:paraId="29D0BE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年用水量</w:t>
                  </w:r>
                </w:p>
                <w:p w14:paraId="782020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cs="Times New Roman"/>
                      <w:b/>
                      <w:bCs/>
                      <w:color w:val="auto"/>
                      <w:sz w:val="21"/>
                      <w:szCs w:val="21"/>
                      <w:lang w:eastAsia="zh-CN"/>
                    </w:rPr>
                    <w:t>)</w:t>
                  </w:r>
                </w:p>
              </w:tc>
              <w:tc>
                <w:tcPr>
                  <w:tcW w:w="654" w:type="pct"/>
                  <w:noWrap w:val="0"/>
                  <w:vAlign w:val="center"/>
                </w:tcPr>
                <w:p w14:paraId="7FA35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日废水量（m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671" w:type="pct"/>
                  <w:noWrap w:val="0"/>
                  <w:vAlign w:val="center"/>
                </w:tcPr>
                <w:p w14:paraId="6824E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年废水量</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ascii="Times New Roman" w:hAnsi="Times New Roman" w:cs="Times New Roman"/>
                      <w:b/>
                      <w:bCs/>
                      <w:color w:val="auto"/>
                      <w:sz w:val="21"/>
                      <w:szCs w:val="21"/>
                      <w:lang w:eastAsia="zh-CN"/>
                    </w:rPr>
                    <w:t>）</w:t>
                  </w:r>
                </w:p>
              </w:tc>
              <w:tc>
                <w:tcPr>
                  <w:tcW w:w="1689" w:type="pct"/>
                  <w:noWrap w:val="0"/>
                  <w:vAlign w:val="center"/>
                </w:tcPr>
                <w:p w14:paraId="0297C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处理去向</w:t>
                  </w:r>
                </w:p>
              </w:tc>
            </w:tr>
            <w:tr w14:paraId="752B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48088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住院用水</w:t>
                  </w:r>
                </w:p>
              </w:tc>
              <w:tc>
                <w:tcPr>
                  <w:tcW w:w="654" w:type="pct"/>
                  <w:noWrap w:val="0"/>
                  <w:vAlign w:val="center"/>
                </w:tcPr>
                <w:p w14:paraId="367359A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671" w:type="pct"/>
                  <w:noWrap w:val="0"/>
                  <w:vAlign w:val="center"/>
                </w:tcPr>
                <w:p w14:paraId="1DE3F5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11826</w:t>
                  </w:r>
                </w:p>
              </w:tc>
              <w:tc>
                <w:tcPr>
                  <w:tcW w:w="654" w:type="pct"/>
                  <w:noWrap w:val="0"/>
                  <w:vAlign w:val="center"/>
                </w:tcPr>
                <w:p w14:paraId="4E2C3A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25.92</w:t>
                  </w:r>
                </w:p>
              </w:tc>
              <w:tc>
                <w:tcPr>
                  <w:tcW w:w="671" w:type="pct"/>
                  <w:noWrap w:val="0"/>
                  <w:vAlign w:val="center"/>
                </w:tcPr>
                <w:p w14:paraId="2BD9DF0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9460.8</w:t>
                  </w:r>
                </w:p>
              </w:tc>
              <w:tc>
                <w:tcPr>
                  <w:tcW w:w="1689" w:type="pct"/>
                  <w:vMerge w:val="restart"/>
                  <w:noWrap w:val="0"/>
                  <w:vAlign w:val="center"/>
                </w:tcPr>
                <w:p w14:paraId="0A650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1"/>
                      <w:szCs w:val="21"/>
                      <w:lang w:val="en-US" w:eastAsia="zh-CN"/>
                    </w:rPr>
                    <w:t>本次评价要求项目在倘甸镇污水处理厂投运之前不得投运。待倘甸镇污水处理厂投入运行且项目至污水处理厂的管网接通后，医院废水经自建污水处理站处理达到《医疗机构水污染物排放标准》（GB18466-2005）表2预处理标准后排入市政污水管网，最终排入倘甸镇污水处理厂。</w:t>
                  </w:r>
                </w:p>
              </w:tc>
            </w:tr>
            <w:tr w14:paraId="169F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2B9AD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门诊用水</w:t>
                  </w:r>
                </w:p>
              </w:tc>
              <w:tc>
                <w:tcPr>
                  <w:tcW w:w="654" w:type="pct"/>
                  <w:noWrap w:val="0"/>
                  <w:vAlign w:val="center"/>
                </w:tcPr>
                <w:p w14:paraId="1595B672">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0.0067</w:t>
                  </w:r>
                </w:p>
              </w:tc>
              <w:tc>
                <w:tcPr>
                  <w:tcW w:w="671" w:type="pct"/>
                  <w:noWrap w:val="0"/>
                  <w:vAlign w:val="center"/>
                </w:tcPr>
                <w:p w14:paraId="4DBD8EEE">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2.4455</w:t>
                  </w:r>
                </w:p>
              </w:tc>
              <w:tc>
                <w:tcPr>
                  <w:tcW w:w="654" w:type="pct"/>
                  <w:noWrap w:val="0"/>
                  <w:vAlign w:val="center"/>
                </w:tcPr>
                <w:p w14:paraId="4C6BD548">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0.0053</w:t>
                  </w:r>
                </w:p>
              </w:tc>
              <w:tc>
                <w:tcPr>
                  <w:tcW w:w="671" w:type="pct"/>
                  <w:noWrap w:val="0"/>
                  <w:vAlign w:val="center"/>
                </w:tcPr>
                <w:p w14:paraId="4115C77C">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1.9345</w:t>
                  </w:r>
                </w:p>
              </w:tc>
              <w:tc>
                <w:tcPr>
                  <w:tcW w:w="1689" w:type="pct"/>
                  <w:vMerge w:val="continue"/>
                  <w:noWrap w:val="0"/>
                  <w:vAlign w:val="center"/>
                </w:tcPr>
                <w:p w14:paraId="5C63A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5FF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4D334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员工用水</w:t>
                  </w:r>
                </w:p>
              </w:tc>
              <w:tc>
                <w:tcPr>
                  <w:tcW w:w="654" w:type="pct"/>
                  <w:noWrap w:val="0"/>
                  <w:vAlign w:val="center"/>
                </w:tcPr>
                <w:p w14:paraId="3B92ECAC">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w:t>
                  </w:r>
                </w:p>
              </w:tc>
              <w:tc>
                <w:tcPr>
                  <w:tcW w:w="671" w:type="pct"/>
                  <w:noWrap w:val="0"/>
                  <w:vAlign w:val="center"/>
                </w:tcPr>
                <w:p w14:paraId="58F0CE26">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146</w:t>
                  </w:r>
                </w:p>
              </w:tc>
              <w:tc>
                <w:tcPr>
                  <w:tcW w:w="654" w:type="pct"/>
                  <w:noWrap w:val="0"/>
                  <w:vAlign w:val="center"/>
                </w:tcPr>
                <w:p w14:paraId="1D5435EB">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0.32</w:t>
                  </w:r>
                </w:p>
              </w:tc>
              <w:tc>
                <w:tcPr>
                  <w:tcW w:w="671" w:type="pct"/>
                  <w:noWrap w:val="0"/>
                  <w:vAlign w:val="center"/>
                </w:tcPr>
                <w:p w14:paraId="77CF9F0F">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116.8</w:t>
                  </w:r>
                </w:p>
              </w:tc>
              <w:tc>
                <w:tcPr>
                  <w:tcW w:w="1689" w:type="pct"/>
                  <w:vMerge w:val="continue"/>
                  <w:noWrap w:val="0"/>
                  <w:vAlign w:val="center"/>
                </w:tcPr>
                <w:p w14:paraId="4508EB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4048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7" w:type="pct"/>
                  <w:noWrap w:val="0"/>
                  <w:vAlign w:val="center"/>
                </w:tcPr>
                <w:p w14:paraId="50A23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食堂用水</w:t>
                  </w:r>
                </w:p>
              </w:tc>
              <w:tc>
                <w:tcPr>
                  <w:tcW w:w="654" w:type="pct"/>
                  <w:noWrap w:val="0"/>
                  <w:vAlign w:val="center"/>
                </w:tcPr>
                <w:p w14:paraId="01058EE0">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3.33</w:t>
                  </w:r>
                </w:p>
              </w:tc>
              <w:tc>
                <w:tcPr>
                  <w:tcW w:w="671" w:type="pct"/>
                  <w:noWrap w:val="0"/>
                  <w:vAlign w:val="center"/>
                </w:tcPr>
                <w:p w14:paraId="4F32990D">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1215.45</w:t>
                  </w:r>
                </w:p>
              </w:tc>
              <w:tc>
                <w:tcPr>
                  <w:tcW w:w="654" w:type="pct"/>
                  <w:noWrap w:val="0"/>
                  <w:vAlign w:val="center"/>
                </w:tcPr>
                <w:p w14:paraId="32910453">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2.664</w:t>
                  </w:r>
                </w:p>
              </w:tc>
              <w:tc>
                <w:tcPr>
                  <w:tcW w:w="671" w:type="pct"/>
                  <w:noWrap w:val="0"/>
                  <w:vAlign w:val="center"/>
                </w:tcPr>
                <w:p w14:paraId="0D57A1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972.36</w:t>
                  </w:r>
                </w:p>
              </w:tc>
              <w:tc>
                <w:tcPr>
                  <w:tcW w:w="1689" w:type="pct"/>
                  <w:vMerge w:val="continue"/>
                  <w:noWrap w:val="0"/>
                  <w:vAlign w:val="center"/>
                </w:tcPr>
                <w:p w14:paraId="71C99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D7B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7" w:type="pct"/>
                  <w:noWrap w:val="0"/>
                  <w:vAlign w:val="center"/>
                </w:tcPr>
                <w:p w14:paraId="354C3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洗衣房用水</w:t>
                  </w:r>
                </w:p>
              </w:tc>
              <w:tc>
                <w:tcPr>
                  <w:tcW w:w="654" w:type="pct"/>
                  <w:noWrap w:val="0"/>
                  <w:vAlign w:val="center"/>
                </w:tcPr>
                <w:p w14:paraId="4EB249A5">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1.7</w:t>
                  </w:r>
                </w:p>
              </w:tc>
              <w:tc>
                <w:tcPr>
                  <w:tcW w:w="671" w:type="pct"/>
                  <w:noWrap w:val="0"/>
                  <w:vAlign w:val="center"/>
                </w:tcPr>
                <w:p w14:paraId="7B2A604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622.08</w:t>
                  </w:r>
                </w:p>
              </w:tc>
              <w:tc>
                <w:tcPr>
                  <w:tcW w:w="654" w:type="pct"/>
                  <w:noWrap w:val="0"/>
                  <w:vAlign w:val="center"/>
                </w:tcPr>
                <w:p w14:paraId="6242C61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1.53</w:t>
                  </w:r>
                </w:p>
              </w:tc>
              <w:tc>
                <w:tcPr>
                  <w:tcW w:w="671" w:type="pct"/>
                  <w:noWrap w:val="0"/>
                  <w:vAlign w:val="center"/>
                </w:tcPr>
                <w:p w14:paraId="216F4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558.45</w:t>
                  </w:r>
                </w:p>
              </w:tc>
              <w:tc>
                <w:tcPr>
                  <w:tcW w:w="1689" w:type="pct"/>
                  <w:vMerge w:val="continue"/>
                  <w:noWrap w:val="0"/>
                  <w:vAlign w:val="center"/>
                </w:tcPr>
                <w:p w14:paraId="1420A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7CCC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6600C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检验用水</w:t>
                  </w:r>
                </w:p>
              </w:tc>
              <w:tc>
                <w:tcPr>
                  <w:tcW w:w="654" w:type="pct"/>
                  <w:noWrap w:val="0"/>
                  <w:vAlign w:val="center"/>
                </w:tcPr>
                <w:p w14:paraId="20DDF2D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0.1</w:t>
                  </w:r>
                </w:p>
              </w:tc>
              <w:tc>
                <w:tcPr>
                  <w:tcW w:w="671" w:type="pct"/>
                  <w:noWrap w:val="0"/>
                  <w:vAlign w:val="center"/>
                </w:tcPr>
                <w:p w14:paraId="3C257133">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36.5</w:t>
                  </w:r>
                </w:p>
              </w:tc>
              <w:tc>
                <w:tcPr>
                  <w:tcW w:w="654" w:type="pct"/>
                  <w:noWrap w:val="0"/>
                  <w:vAlign w:val="center"/>
                </w:tcPr>
                <w:p w14:paraId="79C73464">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0.09</w:t>
                  </w:r>
                </w:p>
              </w:tc>
              <w:tc>
                <w:tcPr>
                  <w:tcW w:w="671" w:type="pct"/>
                  <w:noWrap w:val="0"/>
                  <w:vAlign w:val="center"/>
                </w:tcPr>
                <w:p w14:paraId="53BBE895">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32.9</w:t>
                  </w:r>
                </w:p>
              </w:tc>
              <w:tc>
                <w:tcPr>
                  <w:tcW w:w="1689" w:type="pct"/>
                  <w:noWrap w:val="0"/>
                  <w:vAlign w:val="center"/>
                </w:tcPr>
                <w:p w14:paraId="7CFDF1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清洗废水排入化粪池处理，处理后排入院内污水处理站处理。</w:t>
                  </w:r>
                </w:p>
                <w:p w14:paraId="27569E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bCs/>
                      <w:color w:val="auto"/>
                      <w:sz w:val="21"/>
                      <w:szCs w:val="21"/>
                      <w:lang w:val="en-US" w:eastAsia="zh-CN"/>
                    </w:rPr>
                  </w:pPr>
                  <w:r>
                    <w:rPr>
                      <w:rFonts w:hint="eastAsia" w:cs="Times New Roman"/>
                      <w:color w:val="auto"/>
                      <w:sz w:val="21"/>
                      <w:szCs w:val="21"/>
                      <w:lang w:val="en-US" w:eastAsia="zh-CN"/>
                    </w:rPr>
                    <w:t>检测后的血样、尿样等废液作为医疗固废处置，暂存在医疗固废间委托西畴铂鑫医疗废物处理有限公司进行处置。</w:t>
                  </w:r>
                </w:p>
              </w:tc>
            </w:tr>
            <w:tr w14:paraId="35C2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5FB22D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合计</w:t>
                  </w:r>
                </w:p>
              </w:tc>
              <w:tc>
                <w:tcPr>
                  <w:tcW w:w="654" w:type="pct"/>
                  <w:noWrap w:val="0"/>
                  <w:vAlign w:val="center"/>
                </w:tcPr>
                <w:p w14:paraId="753F40E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37.9367</w:t>
                  </w:r>
                </w:p>
              </w:tc>
              <w:tc>
                <w:tcPr>
                  <w:tcW w:w="671" w:type="pct"/>
                  <w:noWrap w:val="0"/>
                  <w:vAlign w:val="center"/>
                </w:tcPr>
                <w:p w14:paraId="054CE7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13848.4755</w:t>
                  </w:r>
                </w:p>
              </w:tc>
              <w:tc>
                <w:tcPr>
                  <w:tcW w:w="654" w:type="pct"/>
                  <w:noWrap w:val="0"/>
                  <w:vAlign w:val="center"/>
                </w:tcPr>
                <w:p w14:paraId="24E7FB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30.5293</w:t>
                  </w:r>
                </w:p>
              </w:tc>
              <w:tc>
                <w:tcPr>
                  <w:tcW w:w="671" w:type="pct"/>
                  <w:noWrap w:val="0"/>
                  <w:vAlign w:val="center"/>
                </w:tcPr>
                <w:p w14:paraId="439D8E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11143.2445</w:t>
                  </w:r>
                </w:p>
              </w:tc>
              <w:tc>
                <w:tcPr>
                  <w:tcW w:w="1689" w:type="pct"/>
                  <w:noWrap w:val="0"/>
                  <w:vAlign w:val="center"/>
                </w:tcPr>
                <w:p w14:paraId="4CB9F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r>
          </w:tbl>
          <w:p w14:paraId="2BB05CDB">
            <w:pPr>
              <w:numPr>
                <w:ilvl w:val="0"/>
                <w:numId w:val="0"/>
              </w:numPr>
              <w:spacing w:line="360" w:lineRule="auto"/>
              <w:ind w:firstLine="480" w:firstLineChars="200"/>
              <w:rPr>
                <w:rFonts w:hint="eastAsia" w:eastAsia="宋体"/>
                <w:b w:val="0"/>
                <w:bCs w:val="0"/>
                <w:color w:val="auto"/>
                <w:sz w:val="24"/>
                <w:szCs w:val="24"/>
                <w:lang w:val="en-US" w:eastAsia="zh-CN"/>
              </w:rPr>
            </w:pPr>
            <w:r>
              <w:rPr>
                <w:rFonts w:hint="eastAsia"/>
                <w:b w:val="0"/>
                <w:bCs w:val="0"/>
                <w:color w:val="auto"/>
                <w:sz w:val="24"/>
                <w:szCs w:val="24"/>
                <w:lang w:val="en-US" w:eastAsia="zh-CN"/>
              </w:rPr>
              <w:t>综上，本项目日用水量为37.9367</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b w:val="0"/>
                <w:bCs w:val="0"/>
                <w:color w:val="auto"/>
                <w:sz w:val="24"/>
                <w:szCs w:val="24"/>
                <w:lang w:val="en-US" w:eastAsia="zh-CN"/>
              </w:rPr>
              <w:t>年用水量为13848.4755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日废水量为</w:t>
            </w:r>
            <w:r>
              <w:rPr>
                <w:rFonts w:hint="eastAsia" w:cs="Times New Roman"/>
                <w:b w:val="0"/>
                <w:bCs w:val="0"/>
                <w:color w:val="auto"/>
                <w:sz w:val="24"/>
                <w:szCs w:val="24"/>
                <w:lang w:val="en-US" w:eastAsia="zh-CN"/>
              </w:rPr>
              <w:t>30.5293</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年废水量为</w:t>
            </w:r>
            <w:r>
              <w:rPr>
                <w:rFonts w:hint="eastAsia" w:cs="Times New Roman"/>
                <w:b w:val="0"/>
                <w:bCs w:val="0"/>
                <w:color w:val="auto"/>
                <w:sz w:val="24"/>
                <w:szCs w:val="24"/>
                <w:lang w:val="en-US" w:eastAsia="zh-CN"/>
              </w:rPr>
              <w:t>11143.2445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p>
          <w:p w14:paraId="67DC9AF7">
            <w:pPr>
              <w:numPr>
                <w:ilvl w:val="0"/>
                <w:numId w:val="0"/>
              </w:numPr>
              <w:spacing w:line="360" w:lineRule="auto"/>
              <w:ind w:firstLine="480" w:firstLineChars="200"/>
              <w:rPr>
                <w:rFonts w:hint="default"/>
                <w:b w:val="0"/>
                <w:bCs w:val="0"/>
                <w:color w:val="auto"/>
                <w:sz w:val="24"/>
                <w:szCs w:val="24"/>
                <w:lang w:val="en-US" w:eastAsia="zh-CN"/>
              </w:rPr>
            </w:pPr>
            <w:r>
              <w:rPr>
                <w:rFonts w:hint="eastAsia"/>
                <w:b w:val="0"/>
                <w:bCs w:val="0"/>
                <w:color w:val="auto"/>
                <w:sz w:val="24"/>
                <w:szCs w:val="24"/>
                <w:lang w:val="en-US" w:eastAsia="zh-CN"/>
              </w:rPr>
              <w:t>项目水平衡图见下图：</w:t>
            </w:r>
          </w:p>
          <w:p w14:paraId="6A6C0444">
            <w:pPr>
              <w:numPr>
                <w:ilvl w:val="0"/>
                <w:numId w:val="0"/>
              </w:numPr>
              <w:ind w:left="0" w:leftChars="0" w:right="0" w:rightChars="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object>
                <v:shape id="_x0000_i1025" o:spt="75" type="#_x0000_t75" style="height:281.95pt;width:416.2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r>
              <w:rPr>
                <w:rFonts w:hint="default" w:ascii="Times New Roman" w:hAnsi="Times New Roman" w:cs="Times New Roman"/>
                <w:b/>
                <w:bCs/>
                <w:color w:val="auto"/>
                <w:sz w:val="21"/>
                <w:szCs w:val="21"/>
                <w:highlight w:val="none"/>
                <w:lang w:val="en-US" w:eastAsia="zh-CN"/>
              </w:rPr>
              <w:t>图2-1</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项目水平衡图  单位：</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/d</w:t>
            </w:r>
          </w:p>
          <w:p w14:paraId="4F02CF20">
            <w:pPr>
              <w:numPr>
                <w:ilvl w:val="0"/>
                <w:numId w:val="0"/>
              </w:numPr>
              <w:ind w:firstLine="482" w:firstLineChars="200"/>
              <w:rPr>
                <w:rFonts w:hint="eastAsia"/>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7、</w:t>
            </w:r>
            <w:r>
              <w:rPr>
                <w:rFonts w:hint="eastAsia"/>
                <w:b/>
                <w:bCs/>
                <w:color w:val="auto"/>
                <w:sz w:val="24"/>
                <w:szCs w:val="24"/>
                <w:lang w:val="en-US" w:eastAsia="zh-CN"/>
              </w:rPr>
              <w:t>环保投资</w:t>
            </w:r>
          </w:p>
          <w:p w14:paraId="17D6DCE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项目总投资</w:t>
            </w:r>
            <w:r>
              <w:rPr>
                <w:rFonts w:hint="eastAsia" w:cs="Times New Roman"/>
                <w:color w:val="auto"/>
                <w:sz w:val="24"/>
                <w:szCs w:val="24"/>
                <w:lang w:val="en-US" w:eastAsia="zh-CN"/>
              </w:rPr>
              <w:t>200</w:t>
            </w:r>
            <w:r>
              <w:rPr>
                <w:rFonts w:hint="default" w:ascii="Times New Roman" w:hAnsi="Times New Roman" w:cs="Times New Roman"/>
                <w:color w:val="auto"/>
                <w:sz w:val="24"/>
                <w:szCs w:val="24"/>
              </w:rPr>
              <w:t>万元，其中环保投资</w:t>
            </w:r>
            <w:r>
              <w:rPr>
                <w:rFonts w:hint="eastAsia" w:cs="Times New Roman"/>
                <w:color w:val="auto"/>
                <w:sz w:val="24"/>
                <w:szCs w:val="24"/>
                <w:lang w:val="en-US" w:eastAsia="zh-CN"/>
              </w:rPr>
              <w:t>39.9</w:t>
            </w:r>
            <w:r>
              <w:rPr>
                <w:rFonts w:hint="default" w:ascii="Times New Roman" w:hAnsi="Times New Roman" w:cs="Times New Roman"/>
                <w:color w:val="auto"/>
                <w:sz w:val="24"/>
                <w:szCs w:val="24"/>
              </w:rPr>
              <w:t>万元，占总投资</w:t>
            </w:r>
            <w:r>
              <w:rPr>
                <w:rFonts w:hint="eastAsia" w:cs="Times New Roman"/>
                <w:color w:val="auto"/>
                <w:sz w:val="24"/>
                <w:szCs w:val="24"/>
                <w:lang w:val="en-US" w:eastAsia="zh-CN"/>
              </w:rPr>
              <w:t>19.95</w:t>
            </w:r>
            <w:r>
              <w:rPr>
                <w:rFonts w:hint="default" w:ascii="Times New Roman" w:hAnsi="Times New Roman" w:cs="Times New Roman"/>
                <w:color w:val="auto"/>
                <w:sz w:val="24"/>
                <w:szCs w:val="24"/>
              </w:rPr>
              <w:t>%。环保投资见下表。</w:t>
            </w:r>
          </w:p>
          <w:p w14:paraId="28E7C6D8">
            <w:pPr>
              <w:spacing w:line="24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w:t>
            </w:r>
            <w:r>
              <w:rPr>
                <w:rFonts w:hint="eastAsia" w:cs="Times New Roman"/>
                <w:b/>
                <w:color w:val="auto"/>
                <w:sz w:val="24"/>
                <w:szCs w:val="24"/>
                <w:lang w:val="en-US" w:eastAsia="zh-CN"/>
              </w:rPr>
              <w:t>20</w:t>
            </w:r>
            <w:r>
              <w:rPr>
                <w:rFonts w:hint="default" w:ascii="Times New Roman" w:hAnsi="Times New Roman" w:cs="Times New Roman"/>
                <w:b/>
                <w:color w:val="auto"/>
                <w:sz w:val="24"/>
                <w:szCs w:val="24"/>
              </w:rPr>
              <w:t xml:space="preserve"> 项目环保投资估算一览表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3"/>
              <w:gridCol w:w="767"/>
              <w:gridCol w:w="2797"/>
              <w:gridCol w:w="1684"/>
            </w:tblGrid>
            <w:tr w14:paraId="5AFC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noWrap w:val="0"/>
                  <w:vAlign w:val="center"/>
                </w:tcPr>
                <w:p w14:paraId="29FBA9F7">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360" w:type="pct"/>
                  <w:noWrap w:val="0"/>
                  <w:vAlign w:val="center"/>
                </w:tcPr>
                <w:p w14:paraId="08984C54">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环境保护设施</w:t>
                  </w:r>
                </w:p>
              </w:tc>
              <w:tc>
                <w:tcPr>
                  <w:tcW w:w="461" w:type="pct"/>
                  <w:noWrap w:val="0"/>
                  <w:vAlign w:val="center"/>
                </w:tcPr>
                <w:p w14:paraId="4B0105E8">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c>
                <w:tcPr>
                  <w:tcW w:w="1681" w:type="pct"/>
                  <w:noWrap w:val="0"/>
                  <w:vAlign w:val="center"/>
                </w:tcPr>
                <w:p w14:paraId="2CADC08E">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规模</w:t>
                  </w:r>
                </w:p>
              </w:tc>
              <w:tc>
                <w:tcPr>
                  <w:tcW w:w="1012" w:type="pct"/>
                  <w:noWrap w:val="0"/>
                  <w:vAlign w:val="center"/>
                </w:tcPr>
                <w:p w14:paraId="0A7B1984">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投资（万元）</w:t>
                  </w:r>
                </w:p>
              </w:tc>
            </w:tr>
            <w:tr w14:paraId="7B31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restart"/>
                  <w:noWrap w:val="0"/>
                  <w:vAlign w:val="center"/>
                </w:tcPr>
                <w:p w14:paraId="6A242FB2">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废气</w:t>
                  </w:r>
                </w:p>
              </w:tc>
              <w:tc>
                <w:tcPr>
                  <w:tcW w:w="1360" w:type="pct"/>
                  <w:noWrap w:val="0"/>
                  <w:vAlign w:val="center"/>
                </w:tcPr>
                <w:p w14:paraId="5349D31A">
                  <w:pPr>
                    <w:tabs>
                      <w:tab w:val="left" w:pos="475"/>
                    </w:tabs>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风机+</w:t>
                  </w:r>
                  <w:r>
                    <w:rPr>
                      <w:rFonts w:hint="default" w:ascii="Times New Roman" w:hAnsi="Times New Roman" w:cs="Times New Roman"/>
                      <w:color w:val="auto"/>
                      <w:szCs w:val="21"/>
                      <w:lang w:val="en-US" w:eastAsia="zh-CN"/>
                    </w:rPr>
                    <w:t>油烟净化器</w:t>
                  </w:r>
                  <w:r>
                    <w:rPr>
                      <w:rFonts w:hint="eastAsia" w:cs="Times New Roman"/>
                      <w:color w:val="auto"/>
                      <w:szCs w:val="21"/>
                      <w:lang w:val="en-US" w:eastAsia="zh-CN"/>
                    </w:rPr>
                    <w:t>+烟道</w:t>
                  </w:r>
                </w:p>
              </w:tc>
              <w:tc>
                <w:tcPr>
                  <w:tcW w:w="461" w:type="pct"/>
                  <w:noWrap w:val="0"/>
                  <w:vAlign w:val="center"/>
                </w:tcPr>
                <w:p w14:paraId="47E97D44">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1套</w:t>
                  </w:r>
                </w:p>
              </w:tc>
              <w:tc>
                <w:tcPr>
                  <w:tcW w:w="1681" w:type="pct"/>
                  <w:noWrap w:val="0"/>
                  <w:vAlign w:val="center"/>
                </w:tcPr>
                <w:p w14:paraId="608C8E4A">
                  <w:pPr>
                    <w:tabs>
                      <w:tab w:val="left" w:pos="306"/>
                    </w:tabs>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lang w:eastAsia="zh-CN"/>
                    </w:rPr>
                    <w:t>净化效率</w:t>
                  </w:r>
                  <w:r>
                    <w:rPr>
                      <w:rFonts w:hint="eastAsia" w:ascii="Times New Roman" w:hAnsi="Times New Roman" w:cs="Times New Roman"/>
                      <w:color w:val="auto"/>
                      <w:szCs w:val="21"/>
                      <w:lang w:val="en-US" w:eastAsia="zh-CN"/>
                    </w:rPr>
                    <w:t>60</w:t>
                  </w:r>
                  <w:r>
                    <w:rPr>
                      <w:rFonts w:hint="default" w:ascii="Times New Roman" w:hAnsi="Times New Roman" w:cs="Times New Roman"/>
                      <w:color w:val="auto"/>
                      <w:szCs w:val="21"/>
                      <w:lang w:val="en-US" w:eastAsia="zh-CN"/>
                    </w:rPr>
                    <w:t>%</w:t>
                  </w:r>
                </w:p>
              </w:tc>
              <w:tc>
                <w:tcPr>
                  <w:tcW w:w="1012" w:type="pct"/>
                  <w:noWrap w:val="0"/>
                  <w:vAlign w:val="center"/>
                </w:tcPr>
                <w:p w14:paraId="0CF19FA0">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Cs w:val="21"/>
                      <w:lang w:val="en-US" w:eastAsia="zh-CN"/>
                    </w:rPr>
                    <w:t>0.</w:t>
                  </w:r>
                  <w:r>
                    <w:rPr>
                      <w:rFonts w:hint="eastAsia" w:ascii="Times New Roman" w:hAnsi="Times New Roman" w:cs="Times New Roman"/>
                      <w:color w:val="auto"/>
                      <w:szCs w:val="21"/>
                      <w:lang w:val="en-US" w:eastAsia="zh-CN"/>
                    </w:rPr>
                    <w:t>5</w:t>
                  </w:r>
                </w:p>
              </w:tc>
            </w:tr>
            <w:tr w14:paraId="5EF6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continue"/>
                  <w:noWrap w:val="0"/>
                  <w:vAlign w:val="center"/>
                </w:tcPr>
                <w:p w14:paraId="4883BDF3">
                  <w:pPr>
                    <w:jc w:val="center"/>
                    <w:rPr>
                      <w:rFonts w:hint="default" w:ascii="Times New Roman" w:hAnsi="Times New Roman" w:cs="Times New Roman"/>
                      <w:color w:val="auto"/>
                      <w:szCs w:val="21"/>
                      <w:lang w:val="en-US" w:eastAsia="zh-CN"/>
                    </w:rPr>
                  </w:pPr>
                </w:p>
              </w:tc>
              <w:tc>
                <w:tcPr>
                  <w:tcW w:w="1360" w:type="pct"/>
                  <w:noWrap w:val="0"/>
                  <w:vAlign w:val="center"/>
                </w:tcPr>
                <w:p w14:paraId="1015775D">
                  <w:pPr>
                    <w:tabs>
                      <w:tab w:val="left" w:pos="475"/>
                    </w:tabs>
                    <w:jc w:val="center"/>
                    <w:rPr>
                      <w:rFonts w:hint="eastAsia"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污水处理设施密闭</w:t>
                  </w:r>
                </w:p>
              </w:tc>
              <w:tc>
                <w:tcPr>
                  <w:tcW w:w="461" w:type="pct"/>
                  <w:noWrap w:val="0"/>
                  <w:vAlign w:val="center"/>
                </w:tcPr>
                <w:p w14:paraId="41FC1960">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c>
                <w:tcPr>
                  <w:tcW w:w="1681" w:type="pct"/>
                  <w:noWrap w:val="0"/>
                  <w:vAlign w:val="center"/>
                </w:tcPr>
                <w:p w14:paraId="0936E353">
                  <w:pPr>
                    <w:tabs>
                      <w:tab w:val="left" w:pos="306"/>
                    </w:tabs>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c>
                <w:tcPr>
                  <w:tcW w:w="1012" w:type="pct"/>
                  <w:noWrap w:val="0"/>
                  <w:vAlign w:val="center"/>
                </w:tcPr>
                <w:p w14:paraId="1C0EB5B3">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0.5</w:t>
                  </w:r>
                </w:p>
              </w:tc>
            </w:tr>
            <w:tr w14:paraId="4079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restart"/>
                  <w:noWrap w:val="0"/>
                  <w:vAlign w:val="center"/>
                </w:tcPr>
                <w:p w14:paraId="0C693A84">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lang w:val="en-US" w:eastAsia="zh-CN"/>
                    </w:rPr>
                    <w:t>废水</w:t>
                  </w:r>
                </w:p>
              </w:tc>
              <w:tc>
                <w:tcPr>
                  <w:tcW w:w="1360" w:type="pct"/>
                  <w:noWrap w:val="0"/>
                  <w:vAlign w:val="center"/>
                </w:tcPr>
                <w:p w14:paraId="66F0E399">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化粪池</w:t>
                  </w:r>
                </w:p>
              </w:tc>
              <w:tc>
                <w:tcPr>
                  <w:tcW w:w="461" w:type="pct"/>
                  <w:noWrap w:val="0"/>
                  <w:vAlign w:val="center"/>
                </w:tcPr>
                <w:p w14:paraId="13A743C5">
                  <w:pPr>
                    <w:jc w:val="center"/>
                    <w:rPr>
                      <w:rFonts w:hint="default" w:ascii="Times New Roman" w:hAnsi="Times New Roman" w:cs="Times New Roman"/>
                      <w:color w:val="auto"/>
                      <w:sz w:val="21"/>
                      <w:szCs w:val="21"/>
                    </w:rPr>
                  </w:pPr>
                  <w:r>
                    <w:rPr>
                      <w:rFonts w:hint="eastAsia" w:cs="Times New Roman"/>
                      <w:color w:val="auto"/>
                      <w:szCs w:val="21"/>
                      <w:lang w:val="en-US" w:eastAsia="zh-CN"/>
                    </w:rPr>
                    <w:t>1</w:t>
                  </w:r>
                  <w:r>
                    <w:rPr>
                      <w:rFonts w:hint="default" w:ascii="Times New Roman" w:hAnsi="Times New Roman" w:cs="Times New Roman"/>
                      <w:color w:val="auto"/>
                      <w:szCs w:val="21"/>
                    </w:rPr>
                    <w:t>个</w:t>
                  </w:r>
                </w:p>
              </w:tc>
              <w:tc>
                <w:tcPr>
                  <w:tcW w:w="1681" w:type="pct"/>
                  <w:noWrap w:val="0"/>
                  <w:vAlign w:val="center"/>
                </w:tcPr>
                <w:p w14:paraId="3FEA8652">
                  <w:pPr>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15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12" w:type="pct"/>
                  <w:noWrap w:val="0"/>
                  <w:vAlign w:val="center"/>
                </w:tcPr>
                <w:p w14:paraId="2717FE8F">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5</w:t>
                  </w:r>
                </w:p>
              </w:tc>
            </w:tr>
            <w:tr w14:paraId="1E5B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pct"/>
                  <w:vMerge w:val="continue"/>
                  <w:noWrap w:val="0"/>
                  <w:vAlign w:val="center"/>
                </w:tcPr>
                <w:p w14:paraId="3C40CB56">
                  <w:pPr>
                    <w:jc w:val="center"/>
                    <w:rPr>
                      <w:rFonts w:hint="default" w:ascii="Times New Roman" w:hAnsi="Times New Roman" w:eastAsia="宋体" w:cs="Times New Roman"/>
                      <w:color w:val="auto"/>
                      <w:szCs w:val="21"/>
                      <w:lang w:val="en-US" w:eastAsia="zh-CN"/>
                    </w:rPr>
                  </w:pPr>
                </w:p>
              </w:tc>
              <w:tc>
                <w:tcPr>
                  <w:tcW w:w="1360" w:type="pct"/>
                  <w:noWrap w:val="0"/>
                  <w:vAlign w:val="center"/>
                </w:tcPr>
                <w:p w14:paraId="576997FA">
                  <w:pPr>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油水分离器</w:t>
                  </w:r>
                </w:p>
              </w:tc>
              <w:tc>
                <w:tcPr>
                  <w:tcW w:w="461" w:type="pct"/>
                  <w:noWrap w:val="0"/>
                  <w:vAlign w:val="center"/>
                </w:tcPr>
                <w:p w14:paraId="11DBB60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1个</w:t>
                  </w:r>
                </w:p>
              </w:tc>
              <w:tc>
                <w:tcPr>
                  <w:tcW w:w="1681" w:type="pct"/>
                  <w:noWrap w:val="0"/>
                  <w:vAlign w:val="center"/>
                </w:tcPr>
                <w:p w14:paraId="0CD97CDF">
                  <w:pPr>
                    <w:jc w:val="center"/>
                    <w:rPr>
                      <w:rFonts w:hint="eastAsia" w:ascii="Times New Roman" w:hAnsi="Times New Roman" w:eastAsia="宋体" w:cs="Times New Roman"/>
                      <w:color w:val="auto"/>
                      <w:szCs w:val="21"/>
                      <w:vertAlign w:val="baseline"/>
                      <w:lang w:val="en-US" w:eastAsia="zh-CN"/>
                    </w:rPr>
                  </w:pPr>
                  <w:r>
                    <w:rPr>
                      <w:rFonts w:hint="eastAsia" w:cs="Times New Roman"/>
                      <w:color w:val="auto"/>
                      <w:szCs w:val="21"/>
                      <w:lang w:val="en-US" w:eastAsia="zh-CN"/>
                    </w:rPr>
                    <w:t>0</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rPr>
                    <w:t>3</w:t>
                  </w:r>
                  <w:r>
                    <w:rPr>
                      <w:rFonts w:hint="eastAsia" w:cs="Times New Roman"/>
                      <w:color w:val="auto"/>
                      <w:szCs w:val="21"/>
                      <w:vertAlign w:val="baseline"/>
                      <w:lang w:val="en-US" w:eastAsia="zh-CN"/>
                    </w:rPr>
                    <w:t>/h</w:t>
                  </w:r>
                </w:p>
              </w:tc>
              <w:tc>
                <w:tcPr>
                  <w:tcW w:w="1012" w:type="pct"/>
                  <w:noWrap w:val="0"/>
                  <w:vAlign w:val="center"/>
                </w:tcPr>
                <w:p w14:paraId="32BBB112">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0.5</w:t>
                  </w:r>
                </w:p>
              </w:tc>
            </w:tr>
            <w:tr w14:paraId="6288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continue"/>
                  <w:noWrap w:val="0"/>
                  <w:vAlign w:val="center"/>
                </w:tcPr>
                <w:p w14:paraId="4DB80091">
                  <w:pPr>
                    <w:jc w:val="center"/>
                    <w:rPr>
                      <w:rFonts w:hint="default" w:ascii="Times New Roman" w:hAnsi="Times New Roman" w:cs="Times New Roman"/>
                      <w:color w:val="auto"/>
                      <w:sz w:val="21"/>
                      <w:szCs w:val="21"/>
                    </w:rPr>
                  </w:pPr>
                </w:p>
              </w:tc>
              <w:tc>
                <w:tcPr>
                  <w:tcW w:w="1360" w:type="pct"/>
                  <w:noWrap w:val="0"/>
                  <w:vAlign w:val="center"/>
                </w:tcPr>
                <w:p w14:paraId="50E71F16">
                  <w:pPr>
                    <w:jc w:val="center"/>
                    <w:rPr>
                      <w:rFonts w:hint="default" w:ascii="Times New Roman" w:hAnsi="Times New Roman" w:cs="Times New Roman"/>
                      <w:color w:val="auto"/>
                      <w:szCs w:val="21"/>
                      <w:lang w:val="en-US"/>
                    </w:rPr>
                  </w:pPr>
                  <w:r>
                    <w:rPr>
                      <w:rFonts w:hint="eastAsia" w:cs="Times New Roman"/>
                      <w:color w:val="auto"/>
                      <w:szCs w:val="21"/>
                      <w:lang w:val="en-US" w:eastAsia="zh-CN"/>
                    </w:rPr>
                    <w:t>利用原项目</w:t>
                  </w:r>
                  <w:r>
                    <w:rPr>
                      <w:rFonts w:hint="default" w:ascii="Times New Roman" w:hAnsi="Times New Roman" w:cs="Times New Roman"/>
                      <w:color w:val="auto"/>
                      <w:szCs w:val="21"/>
                    </w:rPr>
                    <w:t>污水处理</w:t>
                  </w:r>
                  <w:r>
                    <w:rPr>
                      <w:rFonts w:hint="eastAsia" w:cs="Times New Roman"/>
                      <w:color w:val="auto"/>
                      <w:szCs w:val="21"/>
                      <w:lang w:val="en-US" w:eastAsia="zh-CN"/>
                    </w:rPr>
                    <w:t>设备，并</w:t>
                  </w:r>
                  <w:r>
                    <w:rPr>
                      <w:rFonts w:hint="eastAsia" w:cs="Times New Roman"/>
                      <w:color w:val="auto"/>
                      <w:kern w:val="2"/>
                      <w:sz w:val="21"/>
                      <w:szCs w:val="21"/>
                      <w:lang w:val="en-US" w:eastAsia="zh-CN" w:bidi="ar-SA"/>
                    </w:rPr>
                    <w:t>新增一套污水处理设备，两套设备并列运行。</w:t>
                  </w:r>
                </w:p>
              </w:tc>
              <w:tc>
                <w:tcPr>
                  <w:tcW w:w="461" w:type="pct"/>
                  <w:noWrap w:val="0"/>
                  <w:vAlign w:val="center"/>
                </w:tcPr>
                <w:p w14:paraId="6D61EE7A">
                  <w:pPr>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681" w:type="pct"/>
                  <w:noWrap w:val="0"/>
                  <w:vAlign w:val="center"/>
                </w:tcPr>
                <w:p w14:paraId="259F6232">
                  <w:pPr>
                    <w:jc w:val="center"/>
                    <w:rPr>
                      <w:rFonts w:hint="default" w:ascii="Times New Roman" w:hAnsi="Times New Roman" w:cs="Times New Roman"/>
                      <w:color w:val="auto"/>
                      <w:szCs w:val="21"/>
                    </w:rPr>
                  </w:pPr>
                  <w:r>
                    <w:rPr>
                      <w:rFonts w:hint="eastAsia" w:cs="Times New Roman"/>
                      <w:color w:val="auto"/>
                      <w:szCs w:val="21"/>
                      <w:lang w:val="en-US" w:eastAsia="zh-CN"/>
                    </w:rPr>
                    <w:t>总</w:t>
                  </w:r>
                  <w:r>
                    <w:rPr>
                      <w:rFonts w:hint="default" w:ascii="Times New Roman" w:hAnsi="Times New Roman" w:cs="Times New Roman"/>
                      <w:color w:val="auto"/>
                      <w:szCs w:val="21"/>
                    </w:rPr>
                    <w:t>处理量</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1012" w:type="pct"/>
                  <w:noWrap w:val="0"/>
                  <w:vAlign w:val="center"/>
                </w:tcPr>
                <w:p w14:paraId="288B5749">
                  <w:pPr>
                    <w:jc w:val="center"/>
                    <w:rPr>
                      <w:rFonts w:hint="default" w:cs="Times New Roman"/>
                      <w:color w:val="auto"/>
                      <w:szCs w:val="21"/>
                      <w:lang w:val="en-US" w:eastAsia="zh-CN"/>
                    </w:rPr>
                  </w:pPr>
                  <w:r>
                    <w:rPr>
                      <w:rFonts w:hint="eastAsia" w:cs="Times New Roman"/>
                      <w:color w:val="auto"/>
                      <w:szCs w:val="21"/>
                      <w:lang w:val="en-US" w:eastAsia="zh-CN"/>
                    </w:rPr>
                    <w:t>25</w:t>
                  </w:r>
                </w:p>
              </w:tc>
            </w:tr>
            <w:tr w14:paraId="2E3C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continue"/>
                  <w:noWrap w:val="0"/>
                  <w:vAlign w:val="center"/>
                </w:tcPr>
                <w:p w14:paraId="4F73D04B">
                  <w:pPr>
                    <w:jc w:val="center"/>
                    <w:rPr>
                      <w:rFonts w:hint="default" w:ascii="Times New Roman" w:hAnsi="Times New Roman" w:cs="Times New Roman"/>
                      <w:color w:val="auto"/>
                      <w:sz w:val="21"/>
                      <w:szCs w:val="21"/>
                    </w:rPr>
                  </w:pPr>
                </w:p>
              </w:tc>
              <w:tc>
                <w:tcPr>
                  <w:tcW w:w="1360" w:type="pct"/>
                  <w:noWrap w:val="0"/>
                  <w:vAlign w:val="center"/>
                </w:tcPr>
                <w:p w14:paraId="3B7B2A6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事故应急池</w:t>
                  </w:r>
                </w:p>
              </w:tc>
              <w:tc>
                <w:tcPr>
                  <w:tcW w:w="461" w:type="pct"/>
                  <w:noWrap w:val="0"/>
                  <w:vAlign w:val="center"/>
                </w:tcPr>
                <w:p w14:paraId="2451A4BA">
                  <w:pPr>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681" w:type="pct"/>
                  <w:noWrap w:val="0"/>
                  <w:vAlign w:val="center"/>
                </w:tcPr>
                <w:p w14:paraId="42593C29">
                  <w:pPr>
                    <w:jc w:val="center"/>
                    <w:rPr>
                      <w:rFonts w:hint="default" w:ascii="Times New Roman" w:hAnsi="Times New Roman" w:cs="Times New Roman"/>
                      <w:color w:val="auto"/>
                      <w:szCs w:val="21"/>
                    </w:rPr>
                  </w:pP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12" w:type="pct"/>
                  <w:noWrap w:val="0"/>
                  <w:vAlign w:val="center"/>
                </w:tcPr>
                <w:p w14:paraId="63F9F819">
                  <w:pPr>
                    <w:jc w:val="center"/>
                    <w:rPr>
                      <w:rFonts w:hint="default" w:cs="Times New Roman"/>
                      <w:color w:val="auto"/>
                      <w:szCs w:val="21"/>
                      <w:lang w:val="en-US" w:eastAsia="zh-CN"/>
                    </w:rPr>
                  </w:pPr>
                  <w:r>
                    <w:rPr>
                      <w:rFonts w:hint="eastAsia" w:cs="Times New Roman"/>
                      <w:color w:val="auto"/>
                      <w:szCs w:val="21"/>
                      <w:lang w:val="en-US" w:eastAsia="zh-CN"/>
                    </w:rPr>
                    <w:t>5</w:t>
                  </w:r>
                </w:p>
              </w:tc>
            </w:tr>
            <w:tr w14:paraId="129C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84" w:type="pct"/>
                  <w:vMerge w:val="restart"/>
                  <w:noWrap w:val="0"/>
                  <w:vAlign w:val="center"/>
                </w:tcPr>
                <w:p w14:paraId="6BD663EB">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eastAsia="zh-CN"/>
                    </w:rPr>
                    <w:t>固废</w:t>
                  </w:r>
                </w:p>
              </w:tc>
              <w:tc>
                <w:tcPr>
                  <w:tcW w:w="1360" w:type="pct"/>
                  <w:noWrap w:val="0"/>
                  <w:vAlign w:val="center"/>
                </w:tcPr>
                <w:p w14:paraId="62CBDC3C">
                  <w:pPr>
                    <w:jc w:val="center"/>
                    <w:rPr>
                      <w:rFonts w:hint="default" w:ascii="Times New Roman" w:hAnsi="Times New Roman" w:cs="Times New Roman"/>
                      <w:iCs/>
                      <w:color w:val="auto"/>
                      <w:sz w:val="21"/>
                      <w:szCs w:val="21"/>
                      <w:vertAlign w:val="superscript"/>
                    </w:rPr>
                  </w:pPr>
                  <w:r>
                    <w:rPr>
                      <w:rFonts w:hint="default" w:ascii="Times New Roman" w:hAnsi="Times New Roman" w:cs="Times New Roman"/>
                      <w:color w:val="auto"/>
                      <w:szCs w:val="21"/>
                    </w:rPr>
                    <w:t>垃圾桶</w:t>
                  </w:r>
                </w:p>
              </w:tc>
              <w:tc>
                <w:tcPr>
                  <w:tcW w:w="461" w:type="pct"/>
                  <w:noWrap w:val="0"/>
                  <w:vAlign w:val="center"/>
                </w:tcPr>
                <w:p w14:paraId="7D479C28">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若干</w:t>
                  </w:r>
                </w:p>
              </w:tc>
              <w:tc>
                <w:tcPr>
                  <w:tcW w:w="1681" w:type="pct"/>
                  <w:noWrap w:val="0"/>
                  <w:vAlign w:val="center"/>
                </w:tcPr>
                <w:p w14:paraId="6D517BC0">
                  <w:pPr>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rPr>
                    <w:t>——</w:t>
                  </w:r>
                </w:p>
              </w:tc>
              <w:tc>
                <w:tcPr>
                  <w:tcW w:w="1012" w:type="pct"/>
                  <w:noWrap w:val="0"/>
                  <w:vAlign w:val="center"/>
                </w:tcPr>
                <w:p w14:paraId="3D9D6934">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0.2</w:t>
                  </w:r>
                </w:p>
              </w:tc>
            </w:tr>
            <w:tr w14:paraId="5941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5443A35A">
                  <w:pPr>
                    <w:jc w:val="center"/>
                    <w:rPr>
                      <w:rFonts w:hint="default" w:ascii="Times New Roman" w:hAnsi="Times New Roman" w:cs="Times New Roman"/>
                      <w:color w:val="auto"/>
                      <w:sz w:val="21"/>
                      <w:szCs w:val="21"/>
                    </w:rPr>
                  </w:pPr>
                </w:p>
              </w:tc>
              <w:tc>
                <w:tcPr>
                  <w:tcW w:w="1360" w:type="pct"/>
                  <w:noWrap w:val="0"/>
                  <w:vAlign w:val="center"/>
                </w:tcPr>
                <w:p w14:paraId="40DEDB43">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Cs w:val="21"/>
                      <w:lang w:eastAsia="zh-CN"/>
                    </w:rPr>
                    <w:t>医废</w:t>
                  </w:r>
                  <w:r>
                    <w:rPr>
                      <w:rFonts w:hint="default" w:ascii="Times New Roman" w:hAnsi="Times New Roman" w:cs="Times New Roman"/>
                      <w:color w:val="auto"/>
                      <w:szCs w:val="21"/>
                      <w:lang w:val="en-US" w:eastAsia="zh-CN"/>
                    </w:rPr>
                    <w:t>废物</w:t>
                  </w:r>
                  <w:r>
                    <w:rPr>
                      <w:rFonts w:hint="default" w:ascii="Times New Roman" w:hAnsi="Times New Roman" w:cs="Times New Roman"/>
                      <w:color w:val="auto"/>
                      <w:szCs w:val="21"/>
                      <w:lang w:eastAsia="zh-CN"/>
                    </w:rPr>
                    <w:t>收集桶</w:t>
                  </w:r>
                </w:p>
              </w:tc>
              <w:tc>
                <w:tcPr>
                  <w:tcW w:w="461" w:type="pct"/>
                  <w:noWrap w:val="0"/>
                  <w:vAlign w:val="center"/>
                </w:tcPr>
                <w:p w14:paraId="7D37A4C6">
                  <w:pPr>
                    <w:jc w:val="center"/>
                    <w:rPr>
                      <w:rFonts w:hint="default" w:ascii="Times New Roman" w:hAnsi="Times New Roman" w:cs="Times New Roman"/>
                      <w:color w:val="auto"/>
                      <w:sz w:val="21"/>
                      <w:szCs w:val="21"/>
                    </w:rPr>
                  </w:pPr>
                  <w:r>
                    <w:rPr>
                      <w:rFonts w:hint="eastAsia" w:cs="Times New Roman"/>
                      <w:color w:val="auto"/>
                      <w:szCs w:val="21"/>
                      <w:lang w:val="en-US" w:eastAsia="zh-CN"/>
                    </w:rPr>
                    <w:t>4</w:t>
                  </w:r>
                  <w:r>
                    <w:rPr>
                      <w:rFonts w:hint="default" w:ascii="Times New Roman" w:hAnsi="Times New Roman" w:cs="Times New Roman"/>
                      <w:color w:val="auto"/>
                      <w:szCs w:val="21"/>
                      <w:lang w:val="en-US" w:eastAsia="zh-CN"/>
                    </w:rPr>
                    <w:t>只</w:t>
                  </w:r>
                </w:p>
              </w:tc>
              <w:tc>
                <w:tcPr>
                  <w:tcW w:w="1681" w:type="pct"/>
                  <w:noWrap w:val="0"/>
                  <w:vAlign w:val="center"/>
                </w:tcPr>
                <w:p w14:paraId="0813CC11">
                  <w:pPr>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lang w:eastAsia="zh-CN"/>
                    </w:rPr>
                    <w:t>——</w:t>
                  </w:r>
                </w:p>
              </w:tc>
              <w:tc>
                <w:tcPr>
                  <w:tcW w:w="1012" w:type="pct"/>
                  <w:noWrap w:val="0"/>
                  <w:vAlign w:val="center"/>
                </w:tcPr>
                <w:p w14:paraId="6185339F">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0.</w:t>
                  </w:r>
                  <w:r>
                    <w:rPr>
                      <w:rFonts w:hint="eastAsia" w:ascii="Times New Roman" w:hAnsi="Times New Roman" w:cs="Times New Roman"/>
                      <w:color w:val="auto"/>
                      <w:szCs w:val="21"/>
                      <w:lang w:val="en-US" w:eastAsia="zh-CN"/>
                    </w:rPr>
                    <w:t>2</w:t>
                  </w:r>
                </w:p>
              </w:tc>
            </w:tr>
            <w:tr w14:paraId="77FA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24E8E237">
                  <w:pPr>
                    <w:jc w:val="center"/>
                    <w:rPr>
                      <w:rFonts w:hint="default" w:ascii="Times New Roman" w:hAnsi="Times New Roman" w:cs="Times New Roman"/>
                      <w:color w:val="auto"/>
                      <w:sz w:val="21"/>
                      <w:szCs w:val="21"/>
                    </w:rPr>
                  </w:pPr>
                </w:p>
              </w:tc>
              <w:tc>
                <w:tcPr>
                  <w:tcW w:w="1360" w:type="pct"/>
                  <w:noWrap w:val="0"/>
                  <w:vAlign w:val="center"/>
                </w:tcPr>
                <w:p w14:paraId="789000EB">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医疗废物暂存</w:t>
                  </w:r>
                  <w:r>
                    <w:rPr>
                      <w:rFonts w:hint="eastAsia" w:ascii="Times New Roman" w:hAnsi="Times New Roman" w:cs="Times New Roman"/>
                      <w:color w:val="auto"/>
                      <w:szCs w:val="21"/>
                      <w:lang w:val="en-US" w:eastAsia="zh-CN"/>
                    </w:rPr>
                    <w:t>处</w:t>
                  </w:r>
                </w:p>
              </w:tc>
              <w:tc>
                <w:tcPr>
                  <w:tcW w:w="461" w:type="pct"/>
                  <w:noWrap w:val="0"/>
                  <w:vAlign w:val="center"/>
                </w:tcPr>
                <w:p w14:paraId="6049008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1间</w:t>
                  </w:r>
                </w:p>
              </w:tc>
              <w:tc>
                <w:tcPr>
                  <w:tcW w:w="1681" w:type="pct"/>
                  <w:noWrap w:val="0"/>
                  <w:vAlign w:val="center"/>
                </w:tcPr>
                <w:p w14:paraId="7658D2B3">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4</w:t>
                  </w:r>
                  <w:r>
                    <w:rPr>
                      <w:rFonts w:hint="default" w:ascii="Times New Roman" w:hAnsi="Times New Roman" w:cs="Times New Roman"/>
                      <w:bCs/>
                      <w:color w:val="auto"/>
                      <w:szCs w:val="21"/>
                      <w:lang w:val="en-US" w:eastAsia="zh-CN"/>
                    </w:rPr>
                    <w:t>m</w:t>
                  </w:r>
                  <w:r>
                    <w:rPr>
                      <w:rFonts w:hint="default" w:ascii="Times New Roman" w:hAnsi="Times New Roman" w:cs="Times New Roman"/>
                      <w:bCs/>
                      <w:color w:val="auto"/>
                      <w:szCs w:val="21"/>
                      <w:vertAlign w:val="superscript"/>
                      <w:lang w:val="en-US" w:eastAsia="zh-CN"/>
                    </w:rPr>
                    <w:t>2</w:t>
                  </w:r>
                </w:p>
              </w:tc>
              <w:tc>
                <w:tcPr>
                  <w:tcW w:w="1012" w:type="pct"/>
                  <w:noWrap w:val="0"/>
                  <w:vAlign w:val="center"/>
                </w:tcPr>
                <w:p w14:paraId="508D7BD3">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r>
            <w:tr w14:paraId="1667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5" w:type="pct"/>
                  <w:gridSpan w:val="2"/>
                  <w:noWrap w:val="0"/>
                  <w:vAlign w:val="center"/>
                </w:tcPr>
                <w:p w14:paraId="4930F2A8">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风险防范措施</w:t>
                  </w:r>
                </w:p>
              </w:tc>
              <w:tc>
                <w:tcPr>
                  <w:tcW w:w="461" w:type="pct"/>
                  <w:noWrap w:val="0"/>
                  <w:vAlign w:val="center"/>
                </w:tcPr>
                <w:p w14:paraId="76F8297D">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1个</w:t>
                  </w:r>
                </w:p>
              </w:tc>
              <w:tc>
                <w:tcPr>
                  <w:tcW w:w="1681" w:type="pct"/>
                  <w:noWrap w:val="0"/>
                  <w:vAlign w:val="center"/>
                </w:tcPr>
                <w:p w14:paraId="757BA1F1">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事故池容积为</w:t>
                  </w:r>
                  <w:r>
                    <w:rPr>
                      <w:rFonts w:hint="eastAsia"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12" w:type="pct"/>
                  <w:noWrap w:val="0"/>
                  <w:vAlign w:val="center"/>
                </w:tcPr>
                <w:p w14:paraId="129C335C">
                  <w:pPr>
                    <w:jc w:val="center"/>
                    <w:rPr>
                      <w:rFonts w:hint="eastAsia" w:ascii="Times New Roman" w:hAnsi="Times New Roman" w:cs="Times New Roman"/>
                      <w:color w:val="auto"/>
                      <w:szCs w:val="21"/>
                      <w:lang w:val="en-US" w:eastAsia="zh-CN"/>
                    </w:rPr>
                  </w:pPr>
                  <w:r>
                    <w:rPr>
                      <w:rFonts w:hint="eastAsia" w:cs="Times New Roman"/>
                      <w:color w:val="auto"/>
                      <w:szCs w:val="21"/>
                      <w:lang w:val="en-US" w:eastAsia="zh-CN"/>
                    </w:rPr>
                    <w:t>1</w:t>
                  </w:r>
                </w:p>
              </w:tc>
            </w:tr>
            <w:tr w14:paraId="27FB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845" w:type="pct"/>
                  <w:gridSpan w:val="2"/>
                  <w:noWrap w:val="0"/>
                  <w:vAlign w:val="center"/>
                </w:tcPr>
                <w:p w14:paraId="52CABA7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461" w:type="pct"/>
                  <w:noWrap w:val="0"/>
                  <w:vAlign w:val="center"/>
                </w:tcPr>
                <w:p w14:paraId="00E838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81" w:type="pct"/>
                  <w:noWrap w:val="0"/>
                  <w:vAlign w:val="center"/>
                </w:tcPr>
                <w:p w14:paraId="49F2D1F7">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12" w:type="pct"/>
                  <w:noWrap w:val="0"/>
                  <w:vAlign w:val="center"/>
                </w:tcPr>
                <w:p w14:paraId="005E718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39.9</w:t>
                  </w:r>
                </w:p>
              </w:tc>
            </w:tr>
          </w:tbl>
          <w:p w14:paraId="78882DF8">
            <w:pPr>
              <w:pStyle w:val="32"/>
              <w:rPr>
                <w:color w:val="auto"/>
              </w:rPr>
            </w:pPr>
          </w:p>
        </w:tc>
      </w:tr>
      <w:tr w14:paraId="0A8AD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4" w:hRule="atLeast"/>
          <w:jc w:val="center"/>
        </w:trPr>
        <w:tc>
          <w:tcPr>
            <w:tcW w:w="514" w:type="dxa"/>
            <w:noWrap w:val="0"/>
            <w:vAlign w:val="center"/>
          </w:tcPr>
          <w:p w14:paraId="45563876">
            <w:pPr>
              <w:pStyle w:val="22"/>
              <w:adjustRightInd w:val="0"/>
              <w:snapToGrid w:val="0"/>
              <w:spacing w:before="0" w:beforeAutospacing="0" w:after="0" w:afterAutospacing="0" w:line="360" w:lineRule="auto"/>
              <w:jc w:val="center"/>
              <w:rPr>
                <w:rFonts w:cs="宋体"/>
                <w:b/>
                <w:bCs/>
                <w:color w:val="auto"/>
                <w:sz w:val="24"/>
                <w:szCs w:val="24"/>
              </w:rPr>
            </w:pPr>
            <w:r>
              <w:rPr>
                <w:rFonts w:hint="eastAsia" w:cs="宋体"/>
                <w:b/>
                <w:bCs/>
                <w:color w:val="auto"/>
                <w:sz w:val="24"/>
                <w:szCs w:val="24"/>
              </w:rPr>
              <w:t>工艺流程和产排污环节</w:t>
            </w:r>
          </w:p>
        </w:tc>
        <w:tc>
          <w:tcPr>
            <w:tcW w:w="8546" w:type="dxa"/>
            <w:noWrap w:val="0"/>
            <w:vAlign w:val="top"/>
          </w:tcPr>
          <w:p w14:paraId="722C1517">
            <w:pPr>
              <w:numPr>
                <w:ilvl w:val="0"/>
                <w:numId w:val="5"/>
              </w:numPr>
              <w:adjustRightInd w:val="0"/>
              <w:snapToGrid w:val="0"/>
              <w:spacing w:line="360" w:lineRule="auto"/>
              <w:ind w:firstLine="482" w:firstLineChars="20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施工期</w:t>
            </w:r>
          </w:p>
          <w:p w14:paraId="70A6C533">
            <w:pPr>
              <w:pStyle w:val="30"/>
              <w:numPr>
                <w:ilvl w:val="0"/>
                <w:numId w:val="0"/>
              </w:numPr>
              <w:spacing w:line="360" w:lineRule="auto"/>
              <w:ind w:firstLine="480" w:firstLineChars="200"/>
              <w:jc w:val="both"/>
              <w:rPr>
                <w:rFonts w:hint="default"/>
                <w:color w:val="auto"/>
                <w:sz w:val="24"/>
                <w:szCs w:val="24"/>
                <w:lang w:val="en-US" w:eastAsia="zh-CN"/>
              </w:rPr>
            </w:pPr>
            <w:r>
              <w:rPr>
                <w:rFonts w:hint="eastAsia"/>
                <w:color w:val="auto"/>
                <w:sz w:val="24"/>
                <w:szCs w:val="24"/>
                <w:lang w:val="en-US" w:eastAsia="zh-CN"/>
              </w:rPr>
              <w:t>本项目将现有场地上的构筑物根据使用需要进行简单装修及改造，改造后安装配套相应的设施设备。施工期工艺及产污节点如下图所示：</w:t>
            </w:r>
          </w:p>
          <w:p w14:paraId="2E852367">
            <w:pPr>
              <w:pStyle w:val="32"/>
              <w:ind w:left="0" w:leftChars="0" w:right="0" w:rightChars="0" w:firstLine="0" w:firstLineChars="0"/>
              <w:jc w:val="center"/>
              <w:rPr>
                <w:rFonts w:hint="eastAsia" w:ascii="Times New Roman" w:hAnsi="Times New Roman" w:cs="Times New Roman"/>
                <w:b/>
                <w:bCs/>
                <w:color w:val="auto"/>
                <w:sz w:val="21"/>
                <w:szCs w:val="21"/>
                <w:lang w:val="en-US" w:eastAsia="zh-CN"/>
              </w:rPr>
            </w:pPr>
            <w:r>
              <w:rPr>
                <w:rFonts w:hint="default"/>
                <w:color w:val="auto"/>
                <w:lang w:val="en-US" w:eastAsia="zh-CN"/>
              </w:rPr>
              <w:object>
                <v:shape id="_x0000_i1026" o:spt="75" type="#_x0000_t75" style="height:335pt;width:417.4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r>
              <w:rPr>
                <w:rFonts w:hint="default" w:ascii="Times New Roman" w:hAnsi="Times New Roman" w:cs="Times New Roman"/>
                <w:b/>
                <w:bCs/>
                <w:color w:val="auto"/>
                <w:sz w:val="21"/>
                <w:szCs w:val="21"/>
                <w:lang w:val="en-US" w:eastAsia="zh-CN"/>
              </w:rPr>
              <w:t>图2-</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施工期工艺流程图及产污节点图</w:t>
            </w:r>
          </w:p>
          <w:p w14:paraId="48824B66">
            <w:pPr>
              <w:pStyle w:val="32"/>
              <w:ind w:left="0" w:leftChars="0" w:right="0" w:rightChars="0" w:firstLine="496" w:firstLineChars="200"/>
              <w:jc w:val="left"/>
              <w:rPr>
                <w:rFonts w:hint="eastAsia" w:ascii="Times New Roman" w:hAnsi="Times New Roman" w:cs="Times New Roman"/>
                <w:b/>
                <w:bCs/>
                <w:color w:val="auto"/>
                <w:sz w:val="21"/>
                <w:szCs w:val="21"/>
                <w:lang w:val="en-US" w:eastAsia="zh-CN"/>
              </w:rPr>
            </w:pPr>
            <w:r>
              <w:rPr>
                <w:rFonts w:hint="eastAsia"/>
                <w:color w:val="auto"/>
                <w:sz w:val="24"/>
                <w:szCs w:val="24"/>
                <w:lang w:val="en-US" w:eastAsia="zh-CN"/>
              </w:rPr>
              <w:t>施工期主要污染为施工扬尘、机械废气、装修废气、施工噪声、施工废水和建筑垃圾、生活垃圾等。</w:t>
            </w:r>
          </w:p>
          <w:p w14:paraId="1ACCA0A7">
            <w:pPr>
              <w:pStyle w:val="32"/>
              <w:ind w:left="0" w:leftChars="0" w:right="0" w:rightChars="0" w:firstLine="498" w:firstLineChars="200"/>
              <w:jc w:val="both"/>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二、运营期</w:t>
            </w:r>
          </w:p>
          <w:p w14:paraId="500933DA">
            <w:pPr>
              <w:pStyle w:val="32"/>
              <w:spacing w:line="360" w:lineRule="auto"/>
              <w:ind w:left="0" w:leftChars="0" w:right="0" w:rightChars="0" w:firstLine="498" w:firstLineChars="200"/>
              <w:jc w:val="both"/>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1、项目工艺流程</w:t>
            </w:r>
          </w:p>
          <w:p w14:paraId="00A2BE51">
            <w:pPr>
              <w:pStyle w:val="32"/>
              <w:spacing w:line="360" w:lineRule="auto"/>
              <w:ind w:left="0" w:leftChars="0" w:right="0" w:rightChars="0" w:firstLine="496" w:firstLineChars="200"/>
              <w:jc w:val="both"/>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病人进入医院挂号后，进入候诊区等待就诊；根据诊断结果，部分病人依据医生建议拿药回家治疗，部分病人住院治疗，康复后出院。本项目主要接受有精神性疾病的患者进行康复治疗，不提供其他方面的疾病治疗服务，精神病患者住院期间若有其他疾病需要治疗，将由家属或工作人员负责送倘甸镇中心卫生院或寻甸县第一人民医院治疗。医院就医流程如图2-3所示：</w:t>
            </w:r>
          </w:p>
          <w:p w14:paraId="028D2103">
            <w:pPr>
              <w:pStyle w:val="32"/>
              <w:spacing w:line="360" w:lineRule="auto"/>
              <w:ind w:right="0" w:rightChars="0"/>
              <w:jc w:val="both"/>
              <w:rPr>
                <w:rFonts w:hint="eastAsia" w:ascii="Times New Roman" w:hAnsi="Times New Roman" w:cs="Times New Roman"/>
                <w:b w:val="0"/>
                <w:bCs w:val="0"/>
                <w:color w:val="auto"/>
                <w:sz w:val="24"/>
                <w:szCs w:val="24"/>
                <w:lang w:val="en-US" w:eastAsia="zh-CN"/>
              </w:rPr>
            </w:pPr>
            <w:r>
              <w:rPr>
                <w:color w:val="auto"/>
              </w:rPr>
              <w:object>
                <v:shape id="_x0000_i1027" o:spt="75" type="#_x0000_t75" style="height:179.45pt;width:351.9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14:paraId="5E18360E">
            <w:pPr>
              <w:pStyle w:val="32"/>
              <w:ind w:left="0" w:leftChars="0" w:right="0" w:rightChars="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图2-3  医院就医流程图</w:t>
            </w:r>
          </w:p>
          <w:p w14:paraId="2670E4F8">
            <w:pPr>
              <w:pStyle w:val="33"/>
              <w:bidi w:val="0"/>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2、产排污环节</w:t>
            </w:r>
          </w:p>
          <w:p w14:paraId="0DD93C53">
            <w:pPr>
              <w:spacing w:line="360" w:lineRule="auto"/>
              <w:ind w:firstLine="480" w:firstLineChars="200"/>
              <w:rPr>
                <w:rFonts w:hint="default" w:ascii="Times New Roman" w:hAnsi="Times New Roman" w:cs="Times New Roman"/>
                <w:color w:val="auto"/>
                <w:sz w:val="24"/>
                <w:szCs w:val="24"/>
              </w:rPr>
            </w:pPr>
            <w:r>
              <w:rPr>
                <w:rFonts w:hint="eastAsia"/>
                <w:color w:val="auto"/>
                <w:sz w:val="24"/>
                <w:szCs w:val="24"/>
                <w:lang w:eastAsia="zh-CN"/>
              </w:rPr>
              <w:t>本项目</w:t>
            </w:r>
            <w:r>
              <w:rPr>
                <w:rFonts w:hint="eastAsia"/>
                <w:color w:val="auto"/>
                <w:sz w:val="24"/>
                <w:szCs w:val="24"/>
                <w:lang w:val="en-US" w:eastAsia="zh-CN"/>
              </w:rPr>
              <w:t>门诊主要是咨询和预防保健，项目</w:t>
            </w:r>
            <w:r>
              <w:rPr>
                <w:rFonts w:hint="eastAsia"/>
                <w:color w:val="auto"/>
                <w:sz w:val="24"/>
                <w:szCs w:val="24"/>
                <w:lang w:eastAsia="zh-CN"/>
              </w:rPr>
              <w:t>运营期</w:t>
            </w:r>
            <w:r>
              <w:rPr>
                <w:rFonts w:hint="eastAsia"/>
                <w:color w:val="auto"/>
                <w:sz w:val="24"/>
                <w:szCs w:val="24"/>
                <w:lang w:val="en-US" w:eastAsia="zh-CN"/>
              </w:rPr>
              <w:t>化验不涉及试剂使用，分析完成的样品作为医疗废物处置，项目检验过程仅产生设备清洗废水。项目</w:t>
            </w:r>
            <w:r>
              <w:rPr>
                <w:rFonts w:hint="default" w:ascii="Times New Roman" w:hAnsi="Times New Roman" w:cs="Times New Roman"/>
                <w:color w:val="auto"/>
                <w:sz w:val="24"/>
                <w:szCs w:val="24"/>
              </w:rPr>
              <w:t>产生的污染</w:t>
            </w:r>
            <w:r>
              <w:rPr>
                <w:rFonts w:hint="eastAsia" w:cs="Times New Roman"/>
                <w:color w:val="auto"/>
                <w:sz w:val="24"/>
                <w:szCs w:val="24"/>
                <w:lang w:val="en-US" w:eastAsia="zh-CN"/>
              </w:rPr>
              <w:t>废水</w:t>
            </w:r>
            <w:r>
              <w:rPr>
                <w:rFonts w:hint="default" w:ascii="Times New Roman" w:hAnsi="Times New Roman" w:cs="Times New Roman"/>
                <w:color w:val="auto"/>
                <w:sz w:val="24"/>
                <w:szCs w:val="24"/>
              </w:rPr>
              <w:t>主要有</w:t>
            </w:r>
            <w:r>
              <w:rPr>
                <w:rFonts w:hint="eastAsia" w:cs="Times New Roman"/>
                <w:color w:val="auto"/>
                <w:sz w:val="24"/>
                <w:szCs w:val="24"/>
                <w:lang w:val="en-US" w:eastAsia="zh-CN"/>
              </w:rPr>
              <w:t>住院废水、门诊废水、检验废水、洗衣房废水、员工废水、食堂废水；项目产生的废气有污水处理站异味、化粪池、垃圾暂存异味、食堂油烟、医废间异味、医院室内消毒异味；项目产生的固废有医疗固废、生活垃圾、污水处理站污泥、化粪池污泥、废包装材料（未沾染感染性物质）、废紫外灯管、废矿物油；项目产生的噪声有</w:t>
            </w:r>
            <w:r>
              <w:rPr>
                <w:rFonts w:hint="default" w:ascii="Times New Roman" w:hAnsi="Times New Roman" w:cs="Times New Roman"/>
                <w:color w:val="auto"/>
                <w:sz w:val="24"/>
                <w:szCs w:val="24"/>
              </w:rPr>
              <w:t>污水处理站水泵噪声，营运期产污环节如下图</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所示。</w:t>
            </w:r>
          </w:p>
          <w:p w14:paraId="4298CDCE">
            <w:pPr>
              <w:pStyle w:val="32"/>
              <w:ind w:left="0" w:leftChars="0" w:right="0" w:rightChars="0" w:firstLine="0" w:firstLineChars="0"/>
              <w:jc w:val="both"/>
              <w:rPr>
                <w:rFonts w:hint="eastAsia" w:ascii="Times New Roman" w:hAnsi="Times New Roman" w:cs="Times New Roman"/>
                <w:b/>
                <w:bCs/>
                <w:color w:val="auto"/>
                <w:sz w:val="21"/>
                <w:szCs w:val="21"/>
                <w:lang w:val="en-US" w:eastAsia="zh-CN"/>
              </w:rPr>
            </w:pPr>
            <w:r>
              <w:rPr>
                <w:rFonts w:hint="default" w:ascii="Times New Roman" w:hAnsi="Times New Roman" w:cs="Times New Roman"/>
                <w:color w:val="auto"/>
              </w:rPr>
              <w:object>
                <v:shape id="_x0000_i1028" o:spt="75" type="#_x0000_t75" style="height:220.65pt;width:414.3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7DBD979D">
            <w:pPr>
              <w:pStyle w:val="32"/>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图2-4  </w:t>
            </w:r>
            <w:r>
              <w:rPr>
                <w:rFonts w:hint="eastAsia" w:cs="Times New Roman"/>
                <w:b/>
                <w:bCs/>
                <w:color w:val="auto"/>
                <w:sz w:val="21"/>
                <w:szCs w:val="21"/>
                <w:lang w:val="en-US" w:eastAsia="zh-CN"/>
              </w:rPr>
              <w:t>院区</w:t>
            </w:r>
            <w:r>
              <w:rPr>
                <w:rFonts w:hint="eastAsia" w:ascii="Times New Roman" w:hAnsi="Times New Roman" w:cs="Times New Roman"/>
                <w:b/>
                <w:bCs/>
                <w:color w:val="auto"/>
                <w:sz w:val="21"/>
                <w:szCs w:val="21"/>
                <w:lang w:val="en-US" w:eastAsia="zh-CN"/>
              </w:rPr>
              <w:t>产污节点图</w:t>
            </w:r>
          </w:p>
        </w:tc>
      </w:tr>
      <w:tr w14:paraId="0F117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9" w:hRule="atLeast"/>
          <w:jc w:val="center"/>
        </w:trPr>
        <w:tc>
          <w:tcPr>
            <w:tcW w:w="514" w:type="dxa"/>
            <w:noWrap w:val="0"/>
            <w:vAlign w:val="center"/>
          </w:tcPr>
          <w:p w14:paraId="08657B32">
            <w:pPr>
              <w:pStyle w:val="22"/>
              <w:adjustRightInd w:val="0"/>
              <w:snapToGrid w:val="0"/>
              <w:spacing w:before="0" w:beforeAutospacing="0" w:after="0" w:afterAutospacing="0" w:line="360" w:lineRule="auto"/>
              <w:jc w:val="center"/>
              <w:rPr>
                <w:rFonts w:cs="宋体"/>
                <w:b/>
                <w:bCs/>
                <w:color w:val="auto"/>
                <w:sz w:val="24"/>
                <w:szCs w:val="24"/>
              </w:rPr>
            </w:pPr>
            <w:r>
              <w:rPr>
                <w:rFonts w:hint="eastAsia" w:cs="宋体"/>
                <w:b/>
                <w:bCs/>
                <w:color w:val="auto"/>
                <w:kern w:val="2"/>
                <w:sz w:val="24"/>
                <w:szCs w:val="24"/>
              </w:rPr>
              <w:t>与项目有关的原有环境污染问题</w:t>
            </w:r>
          </w:p>
        </w:tc>
        <w:tc>
          <w:tcPr>
            <w:tcW w:w="8546" w:type="dxa"/>
            <w:noWrap w:val="0"/>
            <w:vAlign w:val="top"/>
          </w:tcPr>
          <w:p w14:paraId="0D34BC33">
            <w:pPr>
              <w:keepNext w:val="0"/>
              <w:keepLines w:val="0"/>
              <w:pageBreakBefore w:val="0"/>
              <w:widowControl w:val="0"/>
              <w:numPr>
                <w:ilvl w:val="0"/>
                <w:numId w:val="0"/>
              </w:numPr>
              <w:kinsoku/>
              <w:overflowPunct/>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一、原项目基本情况</w:t>
            </w:r>
          </w:p>
          <w:p w14:paraId="100EC5C1">
            <w:pPr>
              <w:keepNext w:val="0"/>
              <w:keepLines w:val="0"/>
              <w:pageBreakBefore w:val="0"/>
              <w:widowControl w:val="0"/>
              <w:kinsoku/>
              <w:overflowPunct/>
              <w:autoSpaceDE/>
              <w:autoSpaceDN/>
              <w:bidi w:val="0"/>
              <w:adjustRightInd w:val="0"/>
              <w:snapToGrid w:val="0"/>
              <w:spacing w:line="360" w:lineRule="auto"/>
              <w:ind w:firstLine="482"/>
              <w:jc w:val="left"/>
              <w:textAlignment w:val="auto"/>
              <w:outlineLvl w:val="1"/>
              <w:rPr>
                <w:rFonts w:hint="default" w:ascii="Times New Roman" w:hAnsi="Times New Roman" w:cs="Times New Roman"/>
                <w:b/>
                <w:bCs/>
                <w:color w:val="auto"/>
                <w:sz w:val="24"/>
                <w:szCs w:val="24"/>
              </w:rPr>
            </w:pPr>
            <w:bookmarkStart w:id="6" w:name="_Toc18328"/>
            <w:bookmarkStart w:id="7" w:name="_Toc21049"/>
            <w:r>
              <w:rPr>
                <w:rFonts w:hint="default" w:ascii="Times New Roman" w:hAnsi="Times New Roman" w:cs="Times New Roman"/>
                <w:b/>
                <w:bCs/>
                <w:color w:val="auto"/>
                <w:sz w:val="24"/>
                <w:szCs w:val="24"/>
              </w:rPr>
              <w:t>1、</w:t>
            </w:r>
            <w:r>
              <w:rPr>
                <w:rFonts w:hint="eastAsia" w:ascii="Times New Roman" w:hAnsi="Times New Roman" w:cs="Times New Roman"/>
                <w:b/>
                <w:bCs/>
                <w:color w:val="auto"/>
                <w:sz w:val="24"/>
                <w:szCs w:val="24"/>
                <w:lang w:val="en-US" w:eastAsia="zh-CN"/>
              </w:rPr>
              <w:t>原</w:t>
            </w:r>
            <w:r>
              <w:rPr>
                <w:rFonts w:hint="default" w:ascii="Times New Roman" w:hAnsi="Times New Roman" w:cs="Times New Roman"/>
                <w:b/>
                <w:bCs/>
                <w:color w:val="auto"/>
                <w:sz w:val="24"/>
                <w:szCs w:val="24"/>
              </w:rPr>
              <w:t>项目位置</w:t>
            </w:r>
            <w:bookmarkEnd w:id="6"/>
            <w:bookmarkEnd w:id="7"/>
          </w:p>
          <w:p w14:paraId="7ED6495A">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bookmarkStart w:id="8" w:name="_Toc5419"/>
            <w:bookmarkStart w:id="9" w:name="_Toc16041"/>
            <w:r>
              <w:rPr>
                <w:rFonts w:hint="eastAsia" w:ascii="Times New Roman" w:hAnsi="Times New Roman" w:cs="Times New Roman"/>
                <w:color w:val="auto"/>
                <w:sz w:val="24"/>
                <w:szCs w:val="24"/>
                <w:lang w:val="en-US" w:eastAsia="zh-CN"/>
              </w:rPr>
              <w:t>原</w:t>
            </w:r>
            <w:r>
              <w:rPr>
                <w:rFonts w:hint="default" w:ascii="Times New Roman" w:hAnsi="Times New Roman" w:cs="Times New Roman"/>
                <w:color w:val="auto"/>
                <w:sz w:val="24"/>
                <w:szCs w:val="24"/>
              </w:rPr>
              <w:t>项目位于</w:t>
            </w:r>
            <w:r>
              <w:rPr>
                <w:rFonts w:hint="default" w:ascii="Times New Roman" w:hAnsi="Times New Roman" w:cs="Times New Roman"/>
                <w:color w:val="auto"/>
                <w:sz w:val="24"/>
                <w:szCs w:val="24"/>
                <w:lang w:eastAsia="zh-CN"/>
              </w:rPr>
              <w:t>昆明市寻甸县倘甸镇者己村</w:t>
            </w:r>
            <w:r>
              <w:rPr>
                <w:rFonts w:hint="default" w:ascii="Times New Roman" w:hAnsi="Times New Roman" w:cs="Times New Roman"/>
                <w:color w:val="auto"/>
                <w:sz w:val="24"/>
                <w:szCs w:val="24"/>
              </w:rPr>
              <w:t>，地理位置坐标为东经</w:t>
            </w:r>
            <w:r>
              <w:rPr>
                <w:rFonts w:hint="default" w:ascii="Times New Roman" w:hAnsi="Times New Roman" w:cs="Times New Roman"/>
                <w:color w:val="auto"/>
                <w:sz w:val="24"/>
                <w:szCs w:val="24"/>
                <w:lang w:eastAsia="zh-CN"/>
              </w:rPr>
              <w:t>10</w:t>
            </w:r>
            <w:r>
              <w:rPr>
                <w:rFonts w:hint="eastAsia"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55</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38.969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，北纬</w:t>
            </w:r>
            <w:r>
              <w:rPr>
                <w:rFonts w:hint="default" w:ascii="Times New Roman" w:hAnsi="Times New Roman" w:cs="Times New Roman"/>
                <w:color w:val="auto"/>
                <w:sz w:val="24"/>
                <w:szCs w:val="24"/>
                <w:lang w:eastAsia="zh-CN"/>
              </w:rPr>
              <w:t>25°</w:t>
            </w:r>
            <w:r>
              <w:rPr>
                <w:rFonts w:hint="eastAsia" w:cs="Times New Roman"/>
                <w:color w:val="auto"/>
                <w:sz w:val="24"/>
                <w:szCs w:val="24"/>
                <w:lang w:val="en-US" w:eastAsia="zh-CN"/>
              </w:rPr>
              <w:t>47</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21.249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bookmarkEnd w:id="8"/>
            <w:bookmarkEnd w:id="9"/>
          </w:p>
          <w:p w14:paraId="2B81E905">
            <w:pPr>
              <w:adjustRightInd w:val="0"/>
              <w:snapToGrid w:val="0"/>
              <w:spacing w:line="360" w:lineRule="auto"/>
              <w:ind w:firstLine="482"/>
              <w:jc w:val="left"/>
              <w:outlineLvl w:val="1"/>
              <w:rPr>
                <w:rFonts w:hint="default" w:ascii="Times New Roman" w:hAnsi="Times New Roman" w:cs="Times New Roman"/>
                <w:b/>
                <w:bCs/>
                <w:color w:val="auto"/>
                <w:sz w:val="24"/>
                <w:szCs w:val="24"/>
              </w:rPr>
            </w:pPr>
            <w:bookmarkStart w:id="10" w:name="_Toc12375"/>
            <w:bookmarkStart w:id="11" w:name="_Toc15174"/>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原项目</w:t>
            </w:r>
            <w:r>
              <w:rPr>
                <w:rFonts w:hint="default" w:ascii="Times New Roman" w:hAnsi="Times New Roman" w:cs="Times New Roman"/>
                <w:b/>
                <w:bCs/>
                <w:color w:val="auto"/>
                <w:sz w:val="24"/>
                <w:szCs w:val="24"/>
              </w:rPr>
              <w:t>工程内容</w:t>
            </w:r>
            <w:bookmarkEnd w:id="10"/>
            <w:bookmarkEnd w:id="11"/>
          </w:p>
          <w:p w14:paraId="68CF407B">
            <w:pPr>
              <w:adjustRightInd w:val="0"/>
              <w:snapToGrid w:val="0"/>
              <w:spacing w:line="360" w:lineRule="auto"/>
              <w:ind w:firstLine="480"/>
              <w:jc w:val="left"/>
              <w:rPr>
                <w:rFonts w:hint="eastAsia" w:eastAsia="宋体"/>
                <w:color w:val="auto"/>
                <w:sz w:val="24"/>
                <w:szCs w:val="24"/>
                <w:lang w:eastAsia="zh-CN"/>
              </w:rPr>
            </w:pPr>
            <w:r>
              <w:rPr>
                <w:color w:val="auto"/>
                <w:sz w:val="24"/>
                <w:szCs w:val="24"/>
              </w:rPr>
              <w:t>项目名称：</w:t>
            </w:r>
            <w:r>
              <w:rPr>
                <w:rFonts w:hint="eastAsia"/>
                <w:color w:val="auto"/>
                <w:sz w:val="24"/>
                <w:szCs w:val="24"/>
                <w:lang w:eastAsia="zh-CN"/>
              </w:rPr>
              <w:t>昆明长青慈宁精神病医院扩建项目</w:t>
            </w:r>
          </w:p>
          <w:p w14:paraId="2D85874F">
            <w:pPr>
              <w:adjustRightInd w:val="0"/>
              <w:snapToGrid w:val="0"/>
              <w:spacing w:line="360" w:lineRule="auto"/>
              <w:ind w:firstLine="480"/>
              <w:jc w:val="left"/>
              <w:rPr>
                <w:rFonts w:hint="eastAsia" w:eastAsia="宋体"/>
                <w:color w:val="auto"/>
                <w:sz w:val="24"/>
                <w:szCs w:val="24"/>
                <w:lang w:eastAsia="zh-CN"/>
              </w:rPr>
            </w:pPr>
            <w:r>
              <w:rPr>
                <w:color w:val="auto"/>
                <w:sz w:val="24"/>
                <w:szCs w:val="24"/>
              </w:rPr>
              <w:t>建设单位：</w:t>
            </w:r>
            <w:r>
              <w:rPr>
                <w:rFonts w:hint="eastAsia"/>
                <w:color w:val="auto"/>
                <w:sz w:val="24"/>
                <w:szCs w:val="24"/>
                <w:lang w:eastAsia="zh-CN"/>
              </w:rPr>
              <w:t>昆明长青慈宁精神病医院有限公司</w:t>
            </w:r>
          </w:p>
          <w:p w14:paraId="2D36F6DA">
            <w:pPr>
              <w:adjustRightInd w:val="0"/>
              <w:snapToGrid w:val="0"/>
              <w:spacing w:line="360" w:lineRule="auto"/>
              <w:ind w:firstLine="480"/>
              <w:jc w:val="left"/>
              <w:rPr>
                <w:rFonts w:hint="eastAsia" w:eastAsia="宋体"/>
                <w:color w:val="auto"/>
                <w:sz w:val="24"/>
                <w:szCs w:val="24"/>
                <w:lang w:eastAsia="zh-CN"/>
              </w:rPr>
            </w:pPr>
            <w:r>
              <w:rPr>
                <w:color w:val="auto"/>
                <w:sz w:val="24"/>
                <w:szCs w:val="24"/>
              </w:rPr>
              <w:t>建设地点：</w:t>
            </w:r>
            <w:r>
              <w:rPr>
                <w:rFonts w:hint="eastAsia"/>
                <w:color w:val="auto"/>
                <w:sz w:val="24"/>
                <w:szCs w:val="24"/>
                <w:lang w:eastAsia="zh-CN"/>
              </w:rPr>
              <w:t>昆明市寻甸县倘甸镇者己村</w:t>
            </w:r>
          </w:p>
          <w:p w14:paraId="1D618F56">
            <w:pPr>
              <w:adjustRightInd w:val="0"/>
              <w:snapToGrid w:val="0"/>
              <w:spacing w:line="360" w:lineRule="auto"/>
              <w:ind w:firstLine="480"/>
              <w:jc w:val="left"/>
              <w:rPr>
                <w:color w:val="auto"/>
                <w:sz w:val="24"/>
                <w:szCs w:val="24"/>
              </w:rPr>
            </w:pPr>
            <w:r>
              <w:rPr>
                <w:color w:val="auto"/>
                <w:sz w:val="24"/>
                <w:szCs w:val="24"/>
              </w:rPr>
              <w:t>生产规模：床位</w:t>
            </w:r>
            <w:r>
              <w:rPr>
                <w:rFonts w:hint="eastAsia"/>
                <w:color w:val="auto"/>
                <w:sz w:val="24"/>
                <w:szCs w:val="24"/>
                <w:lang w:val="en-US" w:eastAsia="zh-CN"/>
              </w:rPr>
              <w:t>69</w:t>
            </w:r>
            <w:r>
              <w:rPr>
                <w:color w:val="auto"/>
                <w:sz w:val="24"/>
                <w:szCs w:val="24"/>
              </w:rPr>
              <w:t>张</w:t>
            </w:r>
          </w:p>
          <w:p w14:paraId="390CACA6">
            <w:pPr>
              <w:adjustRightInd w:val="0"/>
              <w:snapToGrid w:val="0"/>
              <w:spacing w:line="360" w:lineRule="auto"/>
              <w:ind w:firstLine="480"/>
              <w:jc w:val="left"/>
              <w:rPr>
                <w:rFonts w:hint="eastAsia" w:eastAsia="宋体"/>
                <w:color w:val="auto"/>
                <w:sz w:val="24"/>
                <w:szCs w:val="24"/>
                <w:lang w:eastAsia="zh-CN"/>
              </w:rPr>
            </w:pPr>
            <w:r>
              <w:rPr>
                <w:color w:val="auto"/>
                <w:sz w:val="24"/>
                <w:szCs w:val="24"/>
              </w:rPr>
              <w:t>建设性质：</w:t>
            </w:r>
            <w:r>
              <w:rPr>
                <w:rFonts w:hint="eastAsia"/>
                <w:color w:val="auto"/>
                <w:sz w:val="24"/>
                <w:szCs w:val="24"/>
                <w:lang w:val="en-US" w:eastAsia="zh-CN"/>
              </w:rPr>
              <w:t>改扩建</w:t>
            </w:r>
          </w:p>
          <w:p w14:paraId="2EC52DF7">
            <w:pPr>
              <w:spacing w:line="360" w:lineRule="auto"/>
              <w:ind w:firstLine="480" w:firstLineChars="200"/>
              <w:rPr>
                <w:rFonts w:hint="eastAsia" w:cs="Times New Roman"/>
                <w:color w:val="auto"/>
                <w:sz w:val="24"/>
                <w:szCs w:val="24"/>
                <w:lang w:val="en-US" w:eastAsia="zh-CN"/>
              </w:rPr>
            </w:pPr>
            <w:r>
              <w:rPr>
                <w:color w:val="auto"/>
                <w:sz w:val="24"/>
                <w:szCs w:val="24"/>
              </w:rPr>
              <w:t>建设内容：</w:t>
            </w:r>
            <w:r>
              <w:rPr>
                <w:rFonts w:hint="eastAsia" w:cs="Times New Roman"/>
                <w:b w:val="0"/>
                <w:bCs/>
                <w:color w:val="auto"/>
                <w:sz w:val="24"/>
                <w:szCs w:val="24"/>
                <w:lang w:val="en-US" w:eastAsia="zh-CN"/>
              </w:rPr>
              <w:t>项目租用原者己小学整个场地进行建设，在原者己小学已有建筑基础上进行简单装修后投入运营，扩建后</w:t>
            </w:r>
            <w:r>
              <w:rPr>
                <w:rFonts w:hint="eastAsia" w:cs="Times New Roman"/>
                <w:color w:val="auto"/>
                <w:sz w:val="24"/>
                <w:szCs w:val="24"/>
                <w:lang w:val="en-US" w:eastAsia="zh-CN"/>
              </w:rPr>
              <w:t>搭建部分彩钢板房。项目</w:t>
            </w:r>
            <w:r>
              <w:rPr>
                <w:color w:val="auto"/>
                <w:sz w:val="24"/>
                <w:szCs w:val="24"/>
              </w:rPr>
              <w:t>总投资</w:t>
            </w:r>
            <w:r>
              <w:rPr>
                <w:rFonts w:hint="eastAsia"/>
                <w:color w:val="auto"/>
                <w:spacing w:val="-22"/>
                <w:sz w:val="24"/>
                <w:szCs w:val="24"/>
                <w:lang w:val="en-US" w:eastAsia="zh-CN"/>
              </w:rPr>
              <w:t>51</w:t>
            </w:r>
            <w:r>
              <w:rPr>
                <w:color w:val="auto"/>
                <w:sz w:val="24"/>
                <w:szCs w:val="24"/>
              </w:rPr>
              <w:t>万元</w:t>
            </w:r>
            <w:r>
              <w:rPr>
                <w:rFonts w:hint="eastAsia"/>
                <w:color w:val="auto"/>
                <w:sz w:val="24"/>
                <w:szCs w:val="24"/>
                <w:lang w:eastAsia="zh-CN"/>
              </w:rPr>
              <w:t>，</w:t>
            </w:r>
            <w:r>
              <w:rPr>
                <w:rFonts w:hint="eastAsia" w:cs="Times New Roman"/>
                <w:color w:val="auto"/>
                <w:sz w:val="24"/>
                <w:szCs w:val="24"/>
                <w:lang w:val="en-US" w:eastAsia="zh-CN"/>
              </w:rPr>
              <w:t>占地面积1765m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，总建筑面积1227m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，主要建设住院楼、门诊楼、食堂、办公区及其他配套设施，</w:t>
            </w:r>
            <w:r>
              <w:rPr>
                <w:color w:val="auto"/>
                <w:sz w:val="24"/>
                <w:szCs w:val="24"/>
              </w:rPr>
              <w:t>设置床位</w:t>
            </w:r>
            <w:r>
              <w:rPr>
                <w:rFonts w:hint="eastAsia"/>
                <w:color w:val="auto"/>
                <w:sz w:val="24"/>
                <w:szCs w:val="24"/>
                <w:lang w:val="en-US" w:eastAsia="zh-CN"/>
              </w:rPr>
              <w:t>69</w:t>
            </w:r>
            <w:r>
              <w:rPr>
                <w:color w:val="auto"/>
                <w:sz w:val="24"/>
                <w:szCs w:val="24"/>
              </w:rPr>
              <w:t>张，</w:t>
            </w:r>
            <w:r>
              <w:rPr>
                <w:rFonts w:hint="eastAsia"/>
                <w:color w:val="auto"/>
                <w:sz w:val="24"/>
                <w:szCs w:val="24"/>
                <w:lang w:val="en-US" w:eastAsia="zh-CN"/>
              </w:rPr>
              <w:t>主要开设</w:t>
            </w:r>
            <w:r>
              <w:rPr>
                <w:rFonts w:hint="eastAsia" w:cs="Times New Roman"/>
                <w:b w:val="0"/>
                <w:bCs/>
                <w:color w:val="auto"/>
                <w:sz w:val="24"/>
                <w:szCs w:val="24"/>
                <w:lang w:val="en-US" w:eastAsia="zh-CN"/>
              </w:rPr>
              <w:t>内科、预防保健科、精神科、医学检验科</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原项目不涉及CT机等辐射性设备。</w:t>
            </w:r>
          </w:p>
          <w:p w14:paraId="3FDE6647">
            <w:pPr>
              <w:numPr>
                <w:ilvl w:val="0"/>
                <w:numId w:val="0"/>
              </w:numPr>
              <w:adjustRightInd w:val="0"/>
              <w:snapToGrid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二、</w:t>
            </w:r>
            <w:r>
              <w:rPr>
                <w:rFonts w:hint="eastAsia" w:ascii="Times New Roman" w:hAnsi="Times New Roman" w:eastAsia="宋体" w:cs="Times New Roman"/>
                <w:b/>
                <w:bCs/>
                <w:color w:val="auto"/>
                <w:sz w:val="24"/>
                <w:szCs w:val="24"/>
                <w:lang w:val="en-US" w:eastAsia="zh-CN"/>
              </w:rPr>
              <w:t>原项目环保手续履行情况</w:t>
            </w:r>
          </w:p>
          <w:p w14:paraId="35A53D1F">
            <w:pPr>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建设单位于</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月委托</w:t>
            </w:r>
            <w:r>
              <w:rPr>
                <w:rFonts w:hint="default" w:ascii="Times New Roman" w:hAnsi="Times New Roman" w:eastAsia="宋体" w:cs="Times New Roman"/>
                <w:color w:val="auto"/>
                <w:sz w:val="24"/>
                <w:szCs w:val="24"/>
                <w:lang w:val="en-US" w:eastAsia="zh-CN"/>
              </w:rPr>
              <w:t>云南保兴环境科技咨询有限公司</w:t>
            </w:r>
            <w:r>
              <w:rPr>
                <w:rFonts w:hint="default" w:ascii="Times New Roman" w:hAnsi="Times New Roman" w:eastAsia="宋体" w:cs="Times New Roman"/>
                <w:color w:val="auto"/>
                <w:sz w:val="24"/>
                <w:szCs w:val="24"/>
              </w:rPr>
              <w:t>编制《</w:t>
            </w:r>
            <w:r>
              <w:rPr>
                <w:rFonts w:hint="default" w:ascii="Times New Roman" w:hAnsi="Times New Roman" w:eastAsia="宋体" w:cs="Times New Roman"/>
                <w:color w:val="auto"/>
                <w:sz w:val="24"/>
                <w:szCs w:val="24"/>
                <w:lang w:eastAsia="zh-CN"/>
              </w:rPr>
              <w:t>昆明长青慈宁精神病医院扩建项目</w:t>
            </w:r>
            <w:r>
              <w:rPr>
                <w:rFonts w:hint="default" w:ascii="Times New Roman" w:hAnsi="Times New Roman" w:eastAsia="宋体" w:cs="Times New Roman"/>
                <w:color w:val="auto"/>
                <w:sz w:val="24"/>
                <w:szCs w:val="24"/>
              </w:rPr>
              <w:t>环境影响报告表》，</w:t>
            </w:r>
            <w:r>
              <w:rPr>
                <w:rFonts w:hint="default"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年3月</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日取得</w:t>
            </w:r>
            <w:r>
              <w:rPr>
                <w:rFonts w:hint="default" w:ascii="Times New Roman" w:hAnsi="Times New Roman" w:eastAsia="宋体" w:cs="Times New Roman"/>
                <w:color w:val="auto"/>
                <w:sz w:val="24"/>
                <w:szCs w:val="24"/>
                <w:lang w:eastAsia="zh-CN"/>
              </w:rPr>
              <w:t>昆明市生态环境局寻甸分局关于对《昆明长青慈宁精神病医院扩建项目环境影响报告表》的批复（昆生环寻复〔2022〕19号），</w:t>
            </w:r>
            <w:r>
              <w:rPr>
                <w:rFonts w:hint="default" w:ascii="Times New Roman" w:hAnsi="Times New Roman" w:eastAsia="宋体" w:cs="Times New Roman"/>
                <w:color w:val="auto"/>
                <w:sz w:val="24"/>
                <w:szCs w:val="24"/>
              </w:rPr>
              <w:t>同意项目按照《报告表》所述工程内容、规模、功能以及环保对策措施建设</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2022年4月云南进发环保设备有限公司对“昆明长青慈宁精神病医院扩建项目”展开竣工环境保护验收工作，2022年10月在全国建设项目竣工环境保护验收信息系统，完成验收备案。</w:t>
            </w:r>
          </w:p>
          <w:p w14:paraId="17461725">
            <w:pPr>
              <w:pStyle w:val="12"/>
              <w:numPr>
                <w:ilvl w:val="0"/>
                <w:numId w:val="0"/>
              </w:numPr>
              <w:ind w:firstLine="482" w:firstLineChars="200"/>
              <w:rPr>
                <w:rFonts w:hint="default"/>
                <w:b/>
                <w:bCs/>
                <w:color w:val="auto"/>
                <w:lang w:val="en-US" w:eastAsia="zh-CN"/>
              </w:rPr>
            </w:pPr>
            <w:r>
              <w:rPr>
                <w:rFonts w:hint="eastAsia" w:ascii="宋体" w:hAnsi="宋体" w:eastAsia="宋体" w:cs="宋体"/>
                <w:b/>
                <w:bCs/>
                <w:color w:val="auto"/>
                <w:kern w:val="2"/>
                <w:sz w:val="24"/>
                <w:szCs w:val="22"/>
                <w:lang w:val="en-US" w:eastAsia="zh-CN" w:bidi="ar-SA"/>
              </w:rPr>
              <w:t>三</w:t>
            </w:r>
            <w:r>
              <w:rPr>
                <w:rFonts w:hint="eastAsia" w:ascii="Times New Roman" w:hAnsi="Times New Roman" w:eastAsia="仿宋" w:cs="Times New Roman"/>
                <w:b/>
                <w:bCs/>
                <w:color w:val="auto"/>
                <w:kern w:val="2"/>
                <w:sz w:val="24"/>
                <w:szCs w:val="22"/>
                <w:lang w:val="en-US" w:eastAsia="zh-CN" w:bidi="ar-SA"/>
              </w:rPr>
              <w:t>、</w:t>
            </w:r>
            <w:r>
              <w:rPr>
                <w:rFonts w:hint="eastAsia" w:ascii="宋体" w:hAnsi="宋体" w:eastAsia="宋体" w:cs="宋体"/>
                <w:b/>
                <w:bCs/>
                <w:color w:val="auto"/>
                <w:lang w:val="en-US" w:eastAsia="zh-CN"/>
              </w:rPr>
              <w:t>原有项目建设内容</w:t>
            </w:r>
          </w:p>
          <w:p w14:paraId="4A5B1F3D">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原有</w:t>
            </w:r>
            <w:r>
              <w:rPr>
                <w:rFonts w:hint="default" w:ascii="Times New Roman" w:hAnsi="Times New Roman" w:cs="Times New Roman"/>
                <w:color w:val="auto"/>
                <w:sz w:val="24"/>
                <w:szCs w:val="24"/>
              </w:rPr>
              <w:t>项目</w:t>
            </w:r>
            <w:r>
              <w:rPr>
                <w:rFonts w:hint="eastAsia" w:cs="Times New Roman"/>
                <w:color w:val="auto"/>
                <w:sz w:val="24"/>
                <w:szCs w:val="24"/>
                <w:lang w:val="en-US" w:eastAsia="zh-CN"/>
              </w:rPr>
              <w:t>建设内容</w:t>
            </w:r>
            <w:r>
              <w:rPr>
                <w:rFonts w:hint="default" w:ascii="Times New Roman" w:hAnsi="Times New Roman" w:cs="Times New Roman"/>
                <w:color w:val="auto"/>
                <w:sz w:val="24"/>
                <w:szCs w:val="24"/>
              </w:rPr>
              <w:t>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cs="Times New Roman"/>
                <w:color w:val="auto"/>
                <w:sz w:val="24"/>
                <w:szCs w:val="24"/>
                <w:lang w:val="en-US" w:eastAsia="zh-CN"/>
              </w:rPr>
              <w:t>6</w:t>
            </w:r>
            <w:r>
              <w:rPr>
                <w:rFonts w:hint="default" w:ascii="Times New Roman" w:hAnsi="Times New Roman" w:cs="Times New Roman"/>
                <w:color w:val="auto"/>
                <w:sz w:val="24"/>
                <w:szCs w:val="24"/>
              </w:rPr>
              <w:t>。</w:t>
            </w:r>
          </w:p>
          <w:p w14:paraId="4C1C017D">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2</w:t>
            </w:r>
            <w:r>
              <w:rPr>
                <w:rFonts w:hint="eastAsia" w:cs="Times New Roman"/>
                <w:b/>
                <w:color w:val="auto"/>
                <w:sz w:val="21"/>
                <w:szCs w:val="21"/>
                <w:lang w:val="en-US" w:eastAsia="zh-CN"/>
              </w:rPr>
              <w:t>-6</w:t>
            </w:r>
            <w:r>
              <w:rPr>
                <w:rFonts w:hint="default" w:ascii="Times New Roman" w:hAnsi="Times New Roman" w:cs="Times New Roman"/>
                <w:b/>
                <w:color w:val="auto"/>
                <w:sz w:val="21"/>
                <w:szCs w:val="21"/>
              </w:rPr>
              <w:t xml:space="preserve">  </w:t>
            </w:r>
            <w:r>
              <w:rPr>
                <w:rFonts w:hint="eastAsia" w:ascii="Times New Roman" w:hAnsi="Times New Roman" w:cs="Times New Roman"/>
                <w:b/>
                <w:color w:val="auto"/>
                <w:sz w:val="21"/>
                <w:szCs w:val="21"/>
                <w:lang w:val="en-US" w:eastAsia="zh-CN"/>
              </w:rPr>
              <w:t>原有</w:t>
            </w:r>
            <w:r>
              <w:rPr>
                <w:rFonts w:hint="default" w:ascii="Times New Roman" w:hAnsi="Times New Roman" w:cs="Times New Roman"/>
                <w:b/>
                <w:color w:val="auto"/>
                <w:sz w:val="21"/>
                <w:szCs w:val="21"/>
              </w:rPr>
              <w:t>项目工程组成一览表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58"/>
              <w:gridCol w:w="638"/>
              <w:gridCol w:w="6562"/>
            </w:tblGrid>
            <w:tr w14:paraId="2CCB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57" w:type="pct"/>
                  <w:shd w:val="clear" w:color="auto" w:fill="auto"/>
                  <w:vAlign w:val="center"/>
                </w:tcPr>
                <w:p w14:paraId="07EE68D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工程类别</w:t>
                  </w:r>
                </w:p>
              </w:tc>
              <w:tc>
                <w:tcPr>
                  <w:tcW w:w="598" w:type="pct"/>
                  <w:gridSpan w:val="2"/>
                  <w:shd w:val="clear" w:color="auto" w:fill="auto"/>
                  <w:vAlign w:val="center"/>
                </w:tcPr>
                <w:p w14:paraId="01CD44F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工程名称</w:t>
                  </w:r>
                </w:p>
              </w:tc>
              <w:tc>
                <w:tcPr>
                  <w:tcW w:w="3943" w:type="pct"/>
                  <w:shd w:val="clear" w:color="auto" w:fill="auto"/>
                  <w:vAlign w:val="center"/>
                </w:tcPr>
                <w:p w14:paraId="1B05998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项目实际建设</w:t>
                  </w:r>
                </w:p>
              </w:tc>
            </w:tr>
            <w:tr w14:paraId="1740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457" w:type="pct"/>
                  <w:vMerge w:val="restart"/>
                  <w:shd w:val="clear" w:color="auto" w:fill="auto"/>
                  <w:noWrap/>
                  <w:vAlign w:val="center"/>
                </w:tcPr>
                <w:p w14:paraId="0A21B91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主体工程</w:t>
                  </w:r>
                </w:p>
              </w:tc>
              <w:tc>
                <w:tcPr>
                  <w:tcW w:w="598" w:type="pct"/>
                  <w:gridSpan w:val="2"/>
                  <w:shd w:val="clear" w:color="auto" w:fill="auto"/>
                  <w:noWrap/>
                  <w:vAlign w:val="center"/>
                </w:tcPr>
                <w:p w14:paraId="6F7B54E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检验室、护理库房</w:t>
                  </w:r>
                </w:p>
              </w:tc>
              <w:tc>
                <w:tcPr>
                  <w:tcW w:w="3943" w:type="pct"/>
                  <w:shd w:val="clear" w:color="auto" w:fill="auto"/>
                  <w:noWrap/>
                  <w:vAlign w:val="center"/>
                </w:tcPr>
                <w:p w14:paraId="5F5766E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位于原项目北侧，为1层彩钢板房，检验室建筑面积为15m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，护理库房建筑面积为12m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，检验室主要</w:t>
                  </w:r>
                  <w:r>
                    <w:rPr>
                      <w:rFonts w:hint="eastAsia" w:cs="Times New Roman"/>
                      <w:color w:val="auto"/>
                      <w:sz w:val="21"/>
                      <w:szCs w:val="21"/>
                      <w:lang w:val="en-US" w:eastAsia="zh-CN"/>
                    </w:rPr>
                    <w:t>使用</w:t>
                  </w:r>
                  <w:r>
                    <w:rPr>
                      <w:rFonts w:hint="eastAsia" w:ascii="Times New Roman" w:hAnsi="Times New Roman" w:cs="Times New Roman"/>
                      <w:color w:val="auto"/>
                      <w:sz w:val="21"/>
                      <w:szCs w:val="21"/>
                      <w:lang w:val="en-US" w:eastAsia="zh-CN"/>
                    </w:rPr>
                    <w:t>血样、尿样等仪器</w:t>
                  </w:r>
                  <w:r>
                    <w:rPr>
                      <w:rFonts w:hint="eastAsia" w:cs="Times New Roman"/>
                      <w:color w:val="auto"/>
                      <w:sz w:val="21"/>
                      <w:szCs w:val="21"/>
                      <w:lang w:val="en-US" w:eastAsia="zh-CN"/>
                    </w:rPr>
                    <w:t>进行</w:t>
                  </w:r>
                  <w:r>
                    <w:rPr>
                      <w:rFonts w:hint="eastAsia" w:ascii="Times New Roman" w:hAnsi="Times New Roman" w:cs="Times New Roman"/>
                      <w:color w:val="auto"/>
                      <w:sz w:val="21"/>
                      <w:szCs w:val="21"/>
                      <w:lang w:val="en-US" w:eastAsia="zh-CN"/>
                    </w:rPr>
                    <w:t>简单分析，不涉及使用化学药剂，故不会产生检验废水。</w:t>
                  </w:r>
                </w:p>
              </w:tc>
            </w:tr>
            <w:tr w14:paraId="480F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57" w:type="pct"/>
                  <w:vMerge w:val="continue"/>
                  <w:vAlign w:val="center"/>
                </w:tcPr>
                <w:p w14:paraId="5C75157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58E41FD2">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观影区</w:t>
                  </w:r>
                </w:p>
              </w:tc>
              <w:tc>
                <w:tcPr>
                  <w:tcW w:w="3943" w:type="pct"/>
                  <w:shd w:val="clear" w:color="auto" w:fill="auto"/>
                  <w:noWrap/>
                  <w:vAlign w:val="center"/>
                </w:tcPr>
                <w:p w14:paraId="41FC51CD">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位于检验室、护理库房东侧，为彩钢大棚，建筑面积35m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，主要用于患者观看影片。</w:t>
                  </w:r>
                </w:p>
              </w:tc>
            </w:tr>
            <w:tr w14:paraId="5BD5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57" w:type="pct"/>
                  <w:vMerge w:val="restart"/>
                  <w:shd w:val="clear" w:color="auto" w:fill="auto"/>
                  <w:noWrap/>
                  <w:vAlign w:val="center"/>
                </w:tcPr>
                <w:p w14:paraId="10AC46A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辅助工程</w:t>
                  </w:r>
                </w:p>
              </w:tc>
              <w:tc>
                <w:tcPr>
                  <w:tcW w:w="598" w:type="pct"/>
                  <w:gridSpan w:val="2"/>
                  <w:shd w:val="clear" w:color="auto" w:fill="auto"/>
                  <w:noWrap/>
                  <w:vAlign w:val="center"/>
                </w:tcPr>
                <w:p w14:paraId="04CF630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sz w:val="21"/>
                      <w:szCs w:val="21"/>
                      <w:lang w:val="en-US" w:eastAsia="zh-CN"/>
                    </w:rPr>
                    <w:t>洗衣房、会议室</w:t>
                  </w:r>
                </w:p>
              </w:tc>
              <w:tc>
                <w:tcPr>
                  <w:tcW w:w="3943" w:type="pct"/>
                  <w:shd w:val="clear" w:color="auto" w:fill="auto"/>
                  <w:vAlign w:val="center"/>
                </w:tcPr>
                <w:p w14:paraId="1709F97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位于</w:t>
                  </w:r>
                  <w:r>
                    <w:rPr>
                      <w:rFonts w:hint="eastAsia" w:ascii="Times New Roman" w:hAnsi="Times New Roman" w:cs="Times New Roman"/>
                      <w:color w:val="auto"/>
                      <w:kern w:val="0"/>
                      <w:sz w:val="21"/>
                      <w:szCs w:val="21"/>
                      <w:lang w:val="en-US" w:eastAsia="zh-CN"/>
                    </w:rPr>
                    <w:t>原</w:t>
                  </w:r>
                  <w:r>
                    <w:rPr>
                      <w:rFonts w:hint="eastAsia" w:ascii="Times New Roman" w:hAnsi="Times New Roman" w:cs="Times New Roman"/>
                      <w:color w:val="auto"/>
                      <w:kern w:val="0"/>
                      <w:sz w:val="21"/>
                      <w:szCs w:val="21"/>
                      <w:lang w:eastAsia="zh-CN"/>
                    </w:rPr>
                    <w:t>项目南侧，在原项目住院楼基础上加设半层彩钢板房作为洗衣房及会议室，建筑面积160m</w:t>
                  </w:r>
                  <w:r>
                    <w:rPr>
                      <w:rFonts w:hint="eastAsia" w:ascii="Times New Roman" w:hAnsi="Times New Roman" w:cs="Times New Roman"/>
                      <w:color w:val="auto"/>
                      <w:kern w:val="0"/>
                      <w:sz w:val="21"/>
                      <w:szCs w:val="21"/>
                      <w:vertAlign w:val="superscript"/>
                      <w:lang w:eastAsia="zh-CN"/>
                    </w:rPr>
                    <w:t>2</w:t>
                  </w:r>
                  <w:r>
                    <w:rPr>
                      <w:rFonts w:hint="eastAsia" w:ascii="Times New Roman" w:hAnsi="Times New Roman" w:cs="Times New Roman"/>
                      <w:color w:val="auto"/>
                      <w:kern w:val="0"/>
                      <w:sz w:val="21"/>
                      <w:szCs w:val="21"/>
                      <w:lang w:eastAsia="zh-CN"/>
                    </w:rPr>
                    <w:t>，洗衣房用于清洗病人床单及衣服。</w:t>
                  </w:r>
                </w:p>
              </w:tc>
            </w:tr>
            <w:tr w14:paraId="52F9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7" w:type="pct"/>
                  <w:vMerge w:val="continue"/>
                  <w:vAlign w:val="center"/>
                </w:tcPr>
                <w:p w14:paraId="28DB7E3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2D42978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员工宿舍</w:t>
                  </w:r>
                </w:p>
              </w:tc>
              <w:tc>
                <w:tcPr>
                  <w:tcW w:w="3943" w:type="pct"/>
                  <w:shd w:val="clear" w:color="auto" w:fill="auto"/>
                  <w:vAlign w:val="center"/>
                </w:tcPr>
                <w:p w14:paraId="766DF1D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cs="Times New Roman"/>
                      <w:color w:val="auto"/>
                      <w:sz w:val="21"/>
                      <w:szCs w:val="21"/>
                      <w:lang w:val="en-US" w:eastAsia="zh-CN"/>
                    </w:rPr>
                    <w:t>项目东北侧，在原项目门诊区及宿舍区基础上加设1层彩钢板房作为员工宿舍，建筑面积230m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14:paraId="64F2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pct"/>
                  <w:vMerge w:val="continue"/>
                  <w:vAlign w:val="center"/>
                </w:tcPr>
                <w:p w14:paraId="3A9B0A5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15DC5DB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办公区</w:t>
                  </w:r>
                </w:p>
              </w:tc>
              <w:tc>
                <w:tcPr>
                  <w:tcW w:w="3943" w:type="pct"/>
                  <w:shd w:val="clear" w:color="auto" w:fill="auto"/>
                  <w:vAlign w:val="center"/>
                </w:tcPr>
                <w:p w14:paraId="0AA9343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cs="Times New Roman"/>
                      <w:color w:val="auto"/>
                      <w:sz w:val="21"/>
                      <w:szCs w:val="21"/>
                      <w:lang w:val="en-US" w:eastAsia="zh-CN"/>
                    </w:rPr>
                    <w:t>项目西北侧，为1层彩钢板房，建筑面积为36m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，设有3间办公室，用于员工办公。</w:t>
                  </w:r>
                </w:p>
              </w:tc>
            </w:tr>
            <w:tr w14:paraId="65C0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continue"/>
                  <w:vAlign w:val="center"/>
                </w:tcPr>
                <w:p w14:paraId="3120B9B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65ED4A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rPr>
                  </w:pPr>
                  <w:r>
                    <w:rPr>
                      <w:rFonts w:hint="eastAsia" w:ascii="Times New Roman" w:hAnsi="Times New Roman" w:cs="Times New Roman"/>
                      <w:color w:val="auto"/>
                      <w:sz w:val="21"/>
                      <w:szCs w:val="21"/>
                      <w:lang w:val="en-US" w:eastAsia="zh-CN"/>
                    </w:rPr>
                    <w:t>门卫室、配电室</w:t>
                  </w:r>
                </w:p>
              </w:tc>
              <w:tc>
                <w:tcPr>
                  <w:tcW w:w="3943" w:type="pct"/>
                  <w:shd w:val="clear" w:color="auto" w:fill="auto"/>
                  <w:vAlign w:val="center"/>
                </w:tcPr>
                <w:p w14:paraId="6B8593E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cs="Times New Roman"/>
                      <w:color w:val="auto"/>
                      <w:sz w:val="21"/>
                      <w:szCs w:val="21"/>
                      <w:lang w:val="en-US" w:eastAsia="zh-CN"/>
                    </w:rPr>
                    <w:t>项目办公区西侧，与办公区相连，为1层彩钢板房，建筑面积均为12m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14:paraId="4E6F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7" w:type="pct"/>
                  <w:vMerge w:val="continue"/>
                  <w:vAlign w:val="center"/>
                </w:tcPr>
                <w:p w14:paraId="64899E8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CA9290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厕所</w:t>
                  </w:r>
                </w:p>
              </w:tc>
              <w:tc>
                <w:tcPr>
                  <w:tcW w:w="3943" w:type="pct"/>
                  <w:shd w:val="clear" w:color="auto" w:fill="auto"/>
                  <w:vAlign w:val="center"/>
                </w:tcPr>
                <w:p w14:paraId="09947E9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ascii="Times New Roman" w:hAnsi="Times New Roman" w:cs="Times New Roman"/>
                      <w:color w:val="auto"/>
                      <w:sz w:val="21"/>
                      <w:szCs w:val="21"/>
                      <w:lang w:val="en-US" w:eastAsia="zh-CN"/>
                    </w:rPr>
                    <w:t>项目西南侧，建筑面积为10m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，为旱厕。</w:t>
                  </w:r>
                </w:p>
              </w:tc>
            </w:tr>
            <w:tr w14:paraId="50B3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restart"/>
                  <w:shd w:val="clear" w:color="auto" w:fill="auto"/>
                  <w:noWrap/>
                  <w:vAlign w:val="center"/>
                </w:tcPr>
                <w:p w14:paraId="3180518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公用工程</w:t>
                  </w:r>
                </w:p>
              </w:tc>
              <w:tc>
                <w:tcPr>
                  <w:tcW w:w="598" w:type="pct"/>
                  <w:gridSpan w:val="2"/>
                  <w:shd w:val="clear" w:color="auto" w:fill="auto"/>
                  <w:noWrap/>
                  <w:vAlign w:val="center"/>
                </w:tcPr>
                <w:p w14:paraId="5FE55EC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给水</w:t>
                  </w:r>
                </w:p>
              </w:tc>
              <w:tc>
                <w:tcPr>
                  <w:tcW w:w="3943" w:type="pct"/>
                  <w:shd w:val="clear" w:color="auto" w:fill="auto"/>
                  <w:vAlign w:val="center"/>
                </w:tcPr>
                <w:p w14:paraId="01C236D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宋体" w:cs="Times New Roman"/>
                      <w:color w:val="auto"/>
                      <w:sz w:val="21"/>
                      <w:szCs w:val="21"/>
                      <w:lang w:val="en-US" w:eastAsia="zh-CN"/>
                    </w:rPr>
                  </w:pPr>
                  <w:r>
                    <w:rPr>
                      <w:rFonts w:hint="eastAsia" w:cs="Times New Roman"/>
                      <w:color w:val="auto"/>
                      <w:sz w:val="21"/>
                      <w:szCs w:val="21"/>
                      <w:lang w:val="en-US" w:eastAsia="zh-CN"/>
                    </w:rPr>
                    <w:t>倘甸镇自来水</w:t>
                  </w:r>
                  <w:r>
                    <w:rPr>
                      <w:rFonts w:hint="default" w:ascii="Times New Roman" w:hAnsi="Times New Roman" w:cs="Times New Roman"/>
                      <w:color w:val="auto"/>
                      <w:sz w:val="21"/>
                      <w:szCs w:val="21"/>
                    </w:rPr>
                    <w:t>管网供给</w:t>
                  </w:r>
                  <w:r>
                    <w:rPr>
                      <w:rFonts w:hint="eastAsia" w:cs="Times New Roman"/>
                      <w:color w:val="auto"/>
                      <w:sz w:val="21"/>
                      <w:szCs w:val="21"/>
                      <w:lang w:eastAsia="zh-CN"/>
                    </w:rPr>
                    <w:t>。</w:t>
                  </w:r>
                </w:p>
              </w:tc>
            </w:tr>
            <w:tr w14:paraId="4E14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57" w:type="pct"/>
                  <w:vMerge w:val="continue"/>
                  <w:vAlign w:val="center"/>
                </w:tcPr>
                <w:p w14:paraId="30D62D8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511806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排水</w:t>
                  </w:r>
                </w:p>
              </w:tc>
              <w:tc>
                <w:tcPr>
                  <w:tcW w:w="3943" w:type="pct"/>
                  <w:shd w:val="clear" w:color="auto" w:fill="auto"/>
                  <w:vAlign w:val="center"/>
                </w:tcPr>
                <w:p w14:paraId="5CEFC5D7">
                  <w:pPr>
                    <w:keepNext w:val="0"/>
                    <w:keepLines w:val="0"/>
                    <w:pageBreakBefore w:val="0"/>
                    <w:widowControl/>
                    <w:kinsoku/>
                    <w:wordWrap/>
                    <w:overflowPunct/>
                    <w:topLinePunct w:val="0"/>
                    <w:autoSpaceDE/>
                    <w:autoSpaceDN/>
                    <w:bidi w:val="0"/>
                    <w:snapToGrid/>
                    <w:spacing w:line="24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原</w:t>
                  </w:r>
                  <w:r>
                    <w:rPr>
                      <w:rFonts w:hint="default" w:ascii="Times New Roman" w:hAnsi="Times New Roman" w:eastAsia="宋体" w:cs="Times New Roman"/>
                      <w:color w:val="auto"/>
                      <w:sz w:val="21"/>
                      <w:szCs w:val="21"/>
                      <w:lang w:eastAsia="zh-CN"/>
                    </w:rPr>
                    <w:t>项目排水系统采用雨污分流制。</w:t>
                  </w:r>
                  <w:r>
                    <w:rPr>
                      <w:rFonts w:hint="eastAsia" w:ascii="Times New Roman" w:hAnsi="Times New Roman" w:cs="Times New Roman"/>
                      <w:color w:val="auto"/>
                      <w:sz w:val="21"/>
                      <w:szCs w:val="21"/>
                      <w:lang w:val="en-US" w:eastAsia="zh-CN"/>
                    </w:rPr>
                    <w:t>进入</w:t>
                  </w:r>
                  <w:r>
                    <w:rPr>
                      <w:rFonts w:hint="default" w:ascii="Times New Roman" w:hAnsi="Times New Roman" w:eastAsia="宋体" w:cs="Times New Roman"/>
                      <w:color w:val="auto"/>
                      <w:sz w:val="21"/>
                      <w:szCs w:val="21"/>
                      <w:lang w:eastAsia="zh-CN"/>
                    </w:rPr>
                    <w:t>原项目雨水系统，最终排入周边沟渠。</w:t>
                  </w:r>
                </w:p>
                <w:p w14:paraId="3BD11DFD">
                  <w:pPr>
                    <w:keepNext w:val="0"/>
                    <w:keepLines w:val="0"/>
                    <w:pageBreakBefore w:val="0"/>
                    <w:widowControl/>
                    <w:kinsoku/>
                    <w:wordWrap/>
                    <w:overflowPunct/>
                    <w:topLinePunct w:val="0"/>
                    <w:autoSpaceDE/>
                    <w:autoSpaceDN/>
                    <w:bidi w:val="0"/>
                    <w:snapToGrid/>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根据现场踏勘，</w:t>
                  </w:r>
                  <w:r>
                    <w:rPr>
                      <w:rFonts w:hint="default" w:ascii="Times New Roman" w:hAnsi="Times New Roman" w:eastAsia="宋体" w:cs="Times New Roman"/>
                      <w:color w:val="auto"/>
                      <w:sz w:val="21"/>
                      <w:szCs w:val="21"/>
                      <w:lang w:eastAsia="zh-CN"/>
                    </w:rPr>
                    <w:t>倘甸镇污水处理厂</w:t>
                  </w:r>
                  <w:r>
                    <w:rPr>
                      <w:rFonts w:hint="eastAsia" w:cs="Times New Roman"/>
                      <w:color w:val="auto"/>
                      <w:sz w:val="21"/>
                      <w:szCs w:val="21"/>
                      <w:lang w:val="en-US" w:eastAsia="zh-CN"/>
                    </w:rPr>
                    <w:t>尚</w:t>
                  </w:r>
                  <w:r>
                    <w:rPr>
                      <w:rFonts w:hint="default" w:ascii="Times New Roman" w:hAnsi="Times New Roman" w:eastAsia="宋体" w:cs="Times New Roman"/>
                      <w:color w:val="auto"/>
                      <w:sz w:val="21"/>
                      <w:szCs w:val="21"/>
                      <w:lang w:eastAsia="zh-CN"/>
                    </w:rPr>
                    <w:t>未运行，且项目区至倘甸镇污水处理厂的污水管网未接通，</w:t>
                  </w:r>
                  <w:r>
                    <w:rPr>
                      <w:rFonts w:hint="eastAsia" w:cs="Times New Roman"/>
                      <w:color w:val="auto"/>
                      <w:sz w:val="21"/>
                      <w:szCs w:val="21"/>
                      <w:lang w:val="en-US" w:eastAsia="zh-CN"/>
                    </w:rPr>
                    <w:t>排水执行近期方案。即</w:t>
                  </w:r>
                  <w:r>
                    <w:rPr>
                      <w:rFonts w:hint="default" w:ascii="Times New Roman" w:hAnsi="Times New Roman" w:eastAsia="宋体" w:cs="Times New Roman"/>
                      <w:color w:val="auto"/>
                      <w:sz w:val="21"/>
                      <w:szCs w:val="21"/>
                      <w:lang w:eastAsia="zh-CN"/>
                    </w:rPr>
                    <w:t>项目产生废水经化粪池处理后进入自建污水处理站处理达到《医疗机构水污染物排放标准》（GB18466-2005）表2排放标准、总磷处理达到（GB18918-2002）《城镇污水处理厂污染物排放标准》表1一级A标准限值后排入项目东南侧沟渠，最终排入马街河</w:t>
                  </w:r>
                  <w:r>
                    <w:rPr>
                      <w:rFonts w:hint="eastAsia" w:cs="Times New Roman"/>
                      <w:color w:val="auto"/>
                      <w:sz w:val="21"/>
                      <w:szCs w:val="21"/>
                      <w:lang w:eastAsia="zh-CN"/>
                    </w:rPr>
                    <w:t>。</w:t>
                  </w:r>
                </w:p>
              </w:tc>
            </w:tr>
            <w:tr w14:paraId="7966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7" w:type="pct"/>
                  <w:vMerge w:val="continue"/>
                  <w:vAlign w:val="center"/>
                </w:tcPr>
                <w:p w14:paraId="64F8E74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683D71F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供电</w:t>
                  </w:r>
                </w:p>
              </w:tc>
              <w:tc>
                <w:tcPr>
                  <w:tcW w:w="3943" w:type="pct"/>
                  <w:shd w:val="clear" w:color="auto" w:fill="auto"/>
                  <w:vAlign w:val="center"/>
                </w:tcPr>
                <w:p w14:paraId="4F281EF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接市政供电电网。</w:t>
                  </w:r>
                </w:p>
              </w:tc>
            </w:tr>
            <w:tr w14:paraId="43F1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57" w:type="pct"/>
                  <w:vMerge w:val="continue"/>
                  <w:vAlign w:val="center"/>
                </w:tcPr>
                <w:p w14:paraId="4EFC7B4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135E070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消防</w:t>
                  </w:r>
                </w:p>
              </w:tc>
              <w:tc>
                <w:tcPr>
                  <w:tcW w:w="3943" w:type="pct"/>
                  <w:shd w:val="clear" w:color="auto" w:fill="auto"/>
                  <w:vAlign w:val="center"/>
                </w:tcPr>
                <w:p w14:paraId="35283D1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室外消火栓系统由</w:t>
                  </w:r>
                  <w:r>
                    <w:rPr>
                      <w:rFonts w:hint="default" w:ascii="Times New Roman" w:hAnsi="Times New Roman" w:cs="Times New Roman"/>
                      <w:color w:val="auto"/>
                      <w:kern w:val="0"/>
                      <w:sz w:val="21"/>
                      <w:szCs w:val="21"/>
                      <w:lang w:eastAsia="zh-CN"/>
                    </w:rPr>
                    <w:t>医院</w:t>
                  </w:r>
                  <w:r>
                    <w:rPr>
                      <w:rFonts w:hint="default" w:ascii="Times New Roman" w:hAnsi="Times New Roman" w:cs="Times New Roman"/>
                      <w:color w:val="auto"/>
                      <w:kern w:val="0"/>
                      <w:sz w:val="21"/>
                      <w:szCs w:val="21"/>
                    </w:rPr>
                    <w:t>供水管网供水，</w:t>
                  </w:r>
                  <w:r>
                    <w:rPr>
                      <w:rFonts w:hint="default" w:ascii="Times New Roman" w:hAnsi="Times New Roman" w:cs="Times New Roman"/>
                      <w:color w:val="auto"/>
                      <w:kern w:val="0"/>
                      <w:sz w:val="21"/>
                      <w:szCs w:val="21"/>
                      <w:lang w:eastAsia="zh-CN"/>
                    </w:rPr>
                    <w:t>住院部内</w:t>
                  </w:r>
                  <w:r>
                    <w:rPr>
                      <w:rFonts w:hint="default" w:ascii="Times New Roman" w:hAnsi="Times New Roman" w:cs="Times New Roman"/>
                      <w:color w:val="auto"/>
                      <w:kern w:val="0"/>
                      <w:sz w:val="21"/>
                      <w:szCs w:val="21"/>
                    </w:rPr>
                    <w:t>设置泡沫灭火器等消防设施。</w:t>
                  </w:r>
                </w:p>
              </w:tc>
            </w:tr>
            <w:tr w14:paraId="5315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57" w:type="pct"/>
                  <w:vMerge w:val="restart"/>
                  <w:shd w:val="clear" w:color="auto" w:fill="auto"/>
                  <w:noWrap/>
                  <w:vAlign w:val="center"/>
                </w:tcPr>
                <w:p w14:paraId="005EAFD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环保工程</w:t>
                  </w:r>
                </w:p>
              </w:tc>
              <w:tc>
                <w:tcPr>
                  <w:tcW w:w="215" w:type="pct"/>
                  <w:shd w:val="clear" w:color="auto" w:fill="auto"/>
                  <w:noWrap/>
                  <w:vAlign w:val="center"/>
                </w:tcPr>
                <w:p w14:paraId="538E4E2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383" w:type="pct"/>
                  <w:shd w:val="clear" w:color="auto" w:fill="auto"/>
                  <w:vAlign w:val="center"/>
                </w:tcPr>
                <w:p w14:paraId="3B475F9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油烟净化器</w:t>
                  </w:r>
                </w:p>
              </w:tc>
              <w:tc>
                <w:tcPr>
                  <w:tcW w:w="3943" w:type="pct"/>
                  <w:shd w:val="clear" w:color="auto" w:fill="auto"/>
                  <w:vAlign w:val="center"/>
                </w:tcPr>
                <w:p w14:paraId="6AFBB17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w:t>
                  </w:r>
                  <w:r>
                    <w:rPr>
                      <w:rFonts w:hint="default" w:ascii="Times New Roman" w:hAnsi="Times New Roman" w:cs="Times New Roman"/>
                      <w:color w:val="auto"/>
                      <w:kern w:val="0"/>
                      <w:sz w:val="21"/>
                      <w:szCs w:val="21"/>
                      <w:lang w:eastAsia="zh-CN"/>
                    </w:rPr>
                    <w:t>食堂设</w:t>
                  </w:r>
                  <w:r>
                    <w:rPr>
                      <w:rFonts w:hint="eastAsia" w:ascii="Times New Roman" w:hAnsi="Times New Roman" w:cs="Times New Roman"/>
                      <w:color w:val="auto"/>
                      <w:kern w:val="0"/>
                      <w:sz w:val="21"/>
                      <w:szCs w:val="21"/>
                      <w:lang w:val="en-US" w:eastAsia="zh-CN"/>
                    </w:rPr>
                    <w:t>置</w:t>
                  </w:r>
                  <w:r>
                    <w:rPr>
                      <w:rFonts w:hint="default" w:ascii="Times New Roman" w:hAnsi="Times New Roman" w:cs="Times New Roman"/>
                      <w:color w:val="auto"/>
                      <w:kern w:val="0"/>
                      <w:sz w:val="21"/>
                      <w:szCs w:val="21"/>
                      <w:lang w:val="en-US" w:eastAsia="zh-CN"/>
                    </w:rPr>
                    <w:t>1套</w:t>
                  </w:r>
                  <w:r>
                    <w:rPr>
                      <w:rFonts w:hint="default" w:ascii="Times New Roman" w:hAnsi="Times New Roman" w:cs="Times New Roman"/>
                      <w:color w:val="auto"/>
                      <w:kern w:val="0"/>
                      <w:sz w:val="21"/>
                      <w:szCs w:val="21"/>
                      <w:lang w:eastAsia="zh-CN"/>
                    </w:rPr>
                    <w:t>处理效率</w:t>
                  </w:r>
                  <w:r>
                    <w:rPr>
                      <w:rFonts w:hint="eastAsia" w:cs="Times New Roman"/>
                      <w:color w:val="auto"/>
                      <w:kern w:val="0"/>
                      <w:sz w:val="21"/>
                      <w:szCs w:val="21"/>
                      <w:lang w:val="en-US" w:eastAsia="zh-CN"/>
                    </w:rPr>
                    <w:t>为80</w:t>
                  </w: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油烟净化</w:t>
                  </w:r>
                  <w:r>
                    <w:rPr>
                      <w:rFonts w:hint="default" w:ascii="Times New Roman" w:hAnsi="Times New Roman" w:cs="Times New Roman"/>
                      <w:color w:val="auto"/>
                      <w:kern w:val="0"/>
                      <w:sz w:val="21"/>
                      <w:szCs w:val="21"/>
                      <w:lang w:eastAsia="zh-CN"/>
                    </w:rPr>
                    <w:t>器，</w:t>
                  </w:r>
                  <w:r>
                    <w:rPr>
                      <w:rFonts w:hint="eastAsia" w:ascii="Times New Roman" w:hAnsi="Times New Roman" w:cs="Times New Roman"/>
                      <w:color w:val="auto"/>
                      <w:kern w:val="0"/>
                      <w:sz w:val="21"/>
                      <w:szCs w:val="21"/>
                      <w:lang w:val="en-US" w:eastAsia="zh-CN"/>
                    </w:rPr>
                    <w:t>食堂油烟经风机引入油烟净化器处理达标后排放</w:t>
                  </w:r>
                  <w:r>
                    <w:rPr>
                      <w:rFonts w:hint="default" w:ascii="Times New Roman" w:hAnsi="Times New Roman" w:cs="Times New Roman"/>
                      <w:color w:val="auto"/>
                      <w:kern w:val="0"/>
                      <w:sz w:val="21"/>
                      <w:szCs w:val="21"/>
                      <w:lang w:val="en-US" w:eastAsia="zh-CN"/>
                    </w:rPr>
                    <w:t>。</w:t>
                  </w:r>
                </w:p>
              </w:tc>
            </w:tr>
            <w:tr w14:paraId="024C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vMerge w:val="continue"/>
                  <w:vAlign w:val="center"/>
                </w:tcPr>
                <w:p w14:paraId="683D881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restart"/>
                  <w:shd w:val="clear" w:color="auto" w:fill="auto"/>
                  <w:noWrap/>
                  <w:vAlign w:val="center"/>
                </w:tcPr>
                <w:p w14:paraId="6176883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383" w:type="pct"/>
                  <w:shd w:val="clear" w:color="auto" w:fill="auto"/>
                  <w:vAlign w:val="center"/>
                </w:tcPr>
                <w:p w14:paraId="4990419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油水分离器</w:t>
                  </w:r>
                </w:p>
              </w:tc>
              <w:tc>
                <w:tcPr>
                  <w:tcW w:w="3943" w:type="pct"/>
                  <w:shd w:val="clear" w:color="auto" w:fill="auto"/>
                  <w:vAlign w:val="center"/>
                </w:tcPr>
                <w:p w14:paraId="06E3D51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原项目</w:t>
                  </w:r>
                  <w:r>
                    <w:rPr>
                      <w:rFonts w:hint="eastAsia" w:ascii="Times New Roman" w:hAnsi="Times New Roman" w:cs="Times New Roman"/>
                      <w:color w:val="auto"/>
                      <w:kern w:val="0"/>
                      <w:sz w:val="21"/>
                      <w:szCs w:val="21"/>
                      <w:lang w:val="en-US" w:eastAsia="zh-CN"/>
                    </w:rPr>
                    <w:t>在食堂设置1个处理规模为0.5m</w:t>
                  </w:r>
                  <w:r>
                    <w:rPr>
                      <w:rFonts w:hint="eastAsia" w:ascii="Times New Roman" w:hAnsi="Times New Roman" w:cs="Times New Roman"/>
                      <w:color w:val="auto"/>
                      <w:kern w:val="0"/>
                      <w:sz w:val="21"/>
                      <w:szCs w:val="21"/>
                      <w:vertAlign w:val="superscript"/>
                      <w:lang w:val="en-US" w:eastAsia="zh-CN"/>
                    </w:rPr>
                    <w:t>3</w:t>
                  </w:r>
                  <w:r>
                    <w:rPr>
                      <w:rFonts w:hint="eastAsia" w:ascii="Times New Roman" w:hAnsi="Times New Roman" w:cs="Times New Roman"/>
                      <w:color w:val="auto"/>
                      <w:kern w:val="0"/>
                      <w:sz w:val="21"/>
                      <w:szCs w:val="21"/>
                      <w:lang w:val="en-US" w:eastAsia="zh-CN"/>
                    </w:rPr>
                    <w:t>/h的油水分离器</w:t>
                  </w:r>
                  <w:r>
                    <w:rPr>
                      <w:rFonts w:hint="eastAsia" w:cs="Times New Roman"/>
                      <w:color w:val="auto"/>
                      <w:kern w:val="0"/>
                      <w:sz w:val="21"/>
                      <w:szCs w:val="21"/>
                      <w:lang w:val="en-US" w:eastAsia="zh-CN"/>
                    </w:rPr>
                    <w:t>对食堂废水进行预处理。</w:t>
                  </w:r>
                </w:p>
              </w:tc>
            </w:tr>
            <w:tr w14:paraId="29B5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57" w:type="pct"/>
                  <w:vMerge w:val="continue"/>
                  <w:vAlign w:val="center"/>
                </w:tcPr>
                <w:p w14:paraId="55A04ED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continue"/>
                  <w:vAlign w:val="center"/>
                </w:tcPr>
                <w:p w14:paraId="077FAD3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383" w:type="pct"/>
                  <w:shd w:val="clear" w:color="auto" w:fill="auto"/>
                  <w:vAlign w:val="center"/>
                </w:tcPr>
                <w:p w14:paraId="442766B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化粪池</w:t>
                  </w:r>
                </w:p>
              </w:tc>
              <w:tc>
                <w:tcPr>
                  <w:tcW w:w="3943" w:type="pct"/>
                  <w:shd w:val="clear" w:color="auto" w:fill="auto"/>
                  <w:vAlign w:val="center"/>
                </w:tcPr>
                <w:p w14:paraId="43B6D8A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原项目在</w:t>
                  </w:r>
                  <w:r>
                    <w:rPr>
                      <w:rFonts w:hint="eastAsia" w:ascii="Times New Roman" w:hAnsi="Times New Roman" w:cs="Times New Roman"/>
                      <w:color w:val="auto"/>
                      <w:kern w:val="0"/>
                      <w:sz w:val="21"/>
                      <w:szCs w:val="21"/>
                      <w:lang w:val="en-US" w:eastAsia="zh-CN"/>
                    </w:rPr>
                    <w:t>食堂南侧设置</w:t>
                  </w:r>
                  <w:r>
                    <w:rPr>
                      <w:rFonts w:hint="eastAsia" w:cs="Times New Roman"/>
                      <w:color w:val="auto"/>
                      <w:kern w:val="0"/>
                      <w:sz w:val="21"/>
                      <w:szCs w:val="21"/>
                      <w:lang w:val="en-US" w:eastAsia="zh-CN"/>
                    </w:rPr>
                    <w:t>1个</w:t>
                  </w:r>
                  <w:r>
                    <w:rPr>
                      <w:rFonts w:hint="default" w:ascii="Times New Roman" w:hAnsi="Times New Roman" w:cs="Times New Roman"/>
                      <w:color w:val="auto"/>
                      <w:kern w:val="0"/>
                      <w:sz w:val="21"/>
                      <w:szCs w:val="21"/>
                      <w:lang w:val="en-US" w:eastAsia="zh-CN"/>
                    </w:rPr>
                    <w:t>容积为</w:t>
                  </w:r>
                  <w:r>
                    <w:rPr>
                      <w:rFonts w:hint="eastAsia" w:ascii="Times New Roman" w:hAnsi="Times New Roman" w:cs="Times New Roman"/>
                      <w:color w:val="auto"/>
                      <w:kern w:val="0"/>
                      <w:sz w:val="21"/>
                      <w:szCs w:val="21"/>
                      <w:lang w:val="en-US" w:eastAsia="zh-CN"/>
                    </w:rPr>
                    <w:t>100m</w:t>
                  </w:r>
                  <w:r>
                    <w:rPr>
                      <w:rFonts w:hint="eastAsia" w:ascii="Times New Roman" w:hAnsi="Times New Roman"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的化粪池</w:t>
                  </w:r>
                  <w:r>
                    <w:rPr>
                      <w:rFonts w:hint="eastAsia" w:ascii="Times New Roman" w:hAnsi="Times New Roman" w:cs="Times New Roman"/>
                      <w:color w:val="auto"/>
                      <w:kern w:val="0"/>
                      <w:sz w:val="21"/>
                      <w:szCs w:val="21"/>
                      <w:lang w:val="en-US" w:eastAsia="zh-CN"/>
                    </w:rPr>
                    <w:t>，用于预处理</w:t>
                  </w:r>
                  <w:r>
                    <w:rPr>
                      <w:rFonts w:hint="eastAsia" w:cs="Times New Roman"/>
                      <w:color w:val="auto"/>
                      <w:kern w:val="0"/>
                      <w:sz w:val="21"/>
                      <w:szCs w:val="21"/>
                      <w:lang w:val="en-US" w:eastAsia="zh-CN"/>
                    </w:rPr>
                    <w:t>生活污水</w:t>
                  </w:r>
                  <w:r>
                    <w:rPr>
                      <w:rFonts w:hint="eastAsia" w:ascii="Times New Roman" w:hAnsi="Times New Roman" w:cs="Times New Roman"/>
                      <w:color w:val="auto"/>
                      <w:kern w:val="0"/>
                      <w:sz w:val="21"/>
                      <w:szCs w:val="21"/>
                      <w:lang w:val="en-US" w:eastAsia="zh-CN"/>
                    </w:rPr>
                    <w:t>及医疗废水</w:t>
                  </w:r>
                  <w:r>
                    <w:rPr>
                      <w:rFonts w:hint="default" w:ascii="Times New Roman" w:hAnsi="Times New Roman" w:cs="Times New Roman"/>
                      <w:color w:val="auto"/>
                      <w:kern w:val="0"/>
                      <w:sz w:val="21"/>
                      <w:szCs w:val="21"/>
                      <w:lang w:val="en-US" w:eastAsia="zh-CN"/>
                    </w:rPr>
                    <w:t>。</w:t>
                  </w:r>
                </w:p>
              </w:tc>
            </w:tr>
            <w:tr w14:paraId="74A6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57" w:type="pct"/>
                  <w:vMerge w:val="continue"/>
                  <w:vAlign w:val="center"/>
                </w:tcPr>
                <w:p w14:paraId="0670E39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continue"/>
                  <w:vAlign w:val="center"/>
                </w:tcPr>
                <w:p w14:paraId="32A24D3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383" w:type="pct"/>
                  <w:shd w:val="clear" w:color="auto" w:fill="auto"/>
                  <w:vAlign w:val="center"/>
                </w:tcPr>
                <w:p w14:paraId="4B4D4C1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污水处理</w:t>
                  </w:r>
                  <w:r>
                    <w:rPr>
                      <w:rFonts w:hint="eastAsia" w:ascii="Times New Roman" w:hAnsi="Times New Roman" w:cs="Times New Roman"/>
                      <w:color w:val="auto"/>
                      <w:kern w:val="0"/>
                      <w:sz w:val="21"/>
                      <w:szCs w:val="21"/>
                      <w:lang w:val="en-US" w:eastAsia="zh-CN"/>
                    </w:rPr>
                    <w:t>站</w:t>
                  </w:r>
                </w:p>
              </w:tc>
              <w:tc>
                <w:tcPr>
                  <w:tcW w:w="3943" w:type="pct"/>
                  <w:shd w:val="clear" w:color="auto" w:fill="auto"/>
                  <w:vAlign w:val="center"/>
                </w:tcPr>
                <w:p w14:paraId="7122F83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医院</w:t>
                  </w:r>
                  <w:r>
                    <w:rPr>
                      <w:rFonts w:hint="default" w:ascii="Times New Roman" w:hAnsi="Times New Roman" w:cs="Times New Roman"/>
                      <w:color w:val="auto"/>
                      <w:kern w:val="0"/>
                      <w:sz w:val="21"/>
                      <w:szCs w:val="21"/>
                    </w:rPr>
                    <w:t>建设</w:t>
                  </w:r>
                  <w:r>
                    <w:rPr>
                      <w:rFonts w:hint="eastAsia" w:cs="Times New Roman"/>
                      <w:color w:val="auto"/>
                      <w:kern w:val="0"/>
                      <w:sz w:val="21"/>
                      <w:szCs w:val="21"/>
                      <w:lang w:val="en-US" w:eastAsia="zh-CN"/>
                    </w:rPr>
                    <w:t>一套</w:t>
                  </w:r>
                  <w:r>
                    <w:rPr>
                      <w:rFonts w:hint="default" w:ascii="Times New Roman" w:hAnsi="Times New Roman" w:cs="Times New Roman"/>
                      <w:color w:val="auto"/>
                      <w:kern w:val="0"/>
                      <w:sz w:val="21"/>
                      <w:szCs w:val="21"/>
                    </w:rPr>
                    <w:t>污水处理规模为</w:t>
                  </w:r>
                  <w:r>
                    <w:rPr>
                      <w:rFonts w:hint="eastAsia" w:ascii="Times New Roman" w:hAnsi="Times New Roman" w:cs="Times New Roman"/>
                      <w:color w:val="auto"/>
                      <w:kern w:val="0"/>
                      <w:sz w:val="21"/>
                      <w:szCs w:val="21"/>
                      <w:lang w:val="en-US" w:eastAsia="zh-CN"/>
                    </w:rPr>
                    <w:t>15</w:t>
                  </w:r>
                  <w:r>
                    <w:rPr>
                      <w:rFonts w:hint="default" w:ascii="Times New Roman" w:hAnsi="Times New Roman" w:cs="Times New Roman"/>
                      <w:color w:val="auto"/>
                      <w:kern w:val="0"/>
                      <w:sz w:val="21"/>
                      <w:szCs w:val="21"/>
                      <w:lang w:val="en-US" w:eastAsia="zh-CN"/>
                    </w:rPr>
                    <w:t>m</w:t>
                  </w:r>
                  <w:r>
                    <w:rPr>
                      <w:rFonts w:hint="eastAsia"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w:t>
                  </w:r>
                  <w:r>
                    <w:rPr>
                      <w:rFonts w:hint="default" w:ascii="Times New Roman" w:hAnsi="Times New Roman" w:cs="Times New Roman"/>
                      <w:color w:val="auto"/>
                      <w:kern w:val="0"/>
                      <w:sz w:val="21"/>
                      <w:szCs w:val="21"/>
                    </w:rPr>
                    <w:t>的</w:t>
                  </w:r>
                  <w:r>
                    <w:rPr>
                      <w:rFonts w:hint="eastAsia" w:cs="Times New Roman"/>
                      <w:color w:val="auto"/>
                      <w:kern w:val="0"/>
                      <w:sz w:val="21"/>
                      <w:szCs w:val="21"/>
                      <w:lang w:val="en-US" w:eastAsia="zh-CN"/>
                    </w:rPr>
                    <w:t>一体化</w:t>
                  </w:r>
                  <w:r>
                    <w:rPr>
                      <w:rFonts w:hint="default" w:ascii="Times New Roman" w:hAnsi="Times New Roman" w:cs="Times New Roman"/>
                      <w:color w:val="auto"/>
                      <w:kern w:val="0"/>
                      <w:sz w:val="21"/>
                      <w:szCs w:val="21"/>
                    </w:rPr>
                    <w:t>污水处理站（采用</w:t>
                  </w:r>
                  <w:r>
                    <w:rPr>
                      <w:rFonts w:hint="default" w:ascii="Times New Roman" w:hAnsi="Times New Roman" w:cs="Times New Roman"/>
                      <w:color w:val="auto"/>
                      <w:kern w:val="0"/>
                      <w:sz w:val="21"/>
                      <w:szCs w:val="21"/>
                      <w:lang w:val="en-US" w:eastAsia="zh-CN"/>
                    </w:rPr>
                    <w:t>二级</w:t>
                  </w:r>
                  <w:r>
                    <w:rPr>
                      <w:rFonts w:hint="eastAsia" w:ascii="Times New Roman" w:hAnsi="Times New Roman" w:cs="Times New Roman"/>
                      <w:color w:val="auto"/>
                      <w:kern w:val="0"/>
                      <w:sz w:val="21"/>
                      <w:szCs w:val="21"/>
                      <w:lang w:val="en-US" w:eastAsia="zh-CN"/>
                    </w:rPr>
                    <w:t>生物接触氧化</w:t>
                  </w:r>
                  <w:r>
                    <w:rPr>
                      <w:rFonts w:hint="default" w:ascii="Times New Roman" w:hAnsi="Times New Roman" w:cs="Times New Roman"/>
                      <w:color w:val="auto"/>
                      <w:kern w:val="0"/>
                      <w:sz w:val="21"/>
                      <w:szCs w:val="21"/>
                      <w:lang w:val="en-US" w:eastAsia="zh-CN"/>
                    </w:rPr>
                    <w:t>+消毒工艺</w:t>
                  </w:r>
                  <w:r>
                    <w:rPr>
                      <w:rFonts w:hint="default" w:ascii="Times New Roman" w:hAnsi="Times New Roman" w:cs="Times New Roman"/>
                      <w:color w:val="auto"/>
                      <w:kern w:val="0"/>
                      <w:sz w:val="21"/>
                      <w:szCs w:val="21"/>
                    </w:rPr>
                    <w:t>），用于处理</w:t>
                  </w:r>
                  <w:r>
                    <w:rPr>
                      <w:rFonts w:hint="eastAsia" w:cs="Times New Roman"/>
                      <w:color w:val="auto"/>
                      <w:kern w:val="0"/>
                      <w:sz w:val="21"/>
                      <w:szCs w:val="21"/>
                      <w:lang w:val="en-US" w:eastAsia="zh-CN"/>
                    </w:rPr>
                    <w:t>医院</w:t>
                  </w:r>
                  <w:r>
                    <w:rPr>
                      <w:rFonts w:hint="default" w:ascii="Times New Roman" w:hAnsi="Times New Roman" w:cs="Times New Roman"/>
                      <w:color w:val="auto"/>
                      <w:kern w:val="0"/>
                      <w:sz w:val="21"/>
                      <w:szCs w:val="21"/>
                    </w:rPr>
                    <w:t>内产生的废水</w:t>
                  </w:r>
                  <w:r>
                    <w:rPr>
                      <w:rFonts w:hint="eastAsia" w:cs="Times New Roman"/>
                      <w:color w:val="auto"/>
                      <w:kern w:val="0"/>
                      <w:sz w:val="21"/>
                      <w:szCs w:val="21"/>
                      <w:lang w:eastAsia="zh-CN"/>
                    </w:rPr>
                    <w:t>，</w:t>
                  </w:r>
                  <w:r>
                    <w:rPr>
                      <w:rFonts w:hint="eastAsia" w:cs="Times New Roman"/>
                      <w:color w:val="auto"/>
                      <w:sz w:val="21"/>
                      <w:szCs w:val="21"/>
                      <w:lang w:val="en-US" w:eastAsia="zh-CN"/>
                    </w:rPr>
                    <w:t>根据现场踏勘，</w:t>
                  </w:r>
                  <w:r>
                    <w:rPr>
                      <w:rFonts w:hint="default" w:ascii="Times New Roman" w:hAnsi="Times New Roman" w:eastAsia="宋体" w:cs="Times New Roman"/>
                      <w:color w:val="auto"/>
                      <w:sz w:val="21"/>
                      <w:szCs w:val="21"/>
                      <w:lang w:eastAsia="zh-CN"/>
                    </w:rPr>
                    <w:t>倘甸镇污水处理厂</w:t>
                  </w:r>
                  <w:r>
                    <w:rPr>
                      <w:rFonts w:hint="eastAsia" w:cs="Times New Roman"/>
                      <w:color w:val="auto"/>
                      <w:sz w:val="21"/>
                      <w:szCs w:val="21"/>
                      <w:lang w:val="en-US" w:eastAsia="zh-CN"/>
                    </w:rPr>
                    <w:t>尚未</w:t>
                  </w:r>
                  <w:r>
                    <w:rPr>
                      <w:rFonts w:hint="default" w:ascii="Times New Roman" w:hAnsi="Times New Roman" w:eastAsia="宋体" w:cs="Times New Roman"/>
                      <w:color w:val="auto"/>
                      <w:sz w:val="21"/>
                      <w:szCs w:val="21"/>
                      <w:lang w:eastAsia="zh-CN"/>
                    </w:rPr>
                    <w:t>运行，且项目区至倘甸镇污水处理厂的污水管网未接通，</w:t>
                  </w:r>
                  <w:r>
                    <w:rPr>
                      <w:rFonts w:hint="eastAsia" w:ascii="Times New Roman" w:hAnsi="Times New Roman" w:cs="Times New Roman"/>
                      <w:color w:val="auto"/>
                      <w:kern w:val="0"/>
                      <w:sz w:val="21"/>
                      <w:szCs w:val="21"/>
                      <w:lang w:val="en-US" w:eastAsia="zh-CN"/>
                    </w:rPr>
                    <w:t>污水处理</w:t>
                  </w:r>
                  <w:r>
                    <w:rPr>
                      <w:rFonts w:hint="eastAsia" w:cs="Times New Roman"/>
                      <w:color w:val="auto"/>
                      <w:kern w:val="0"/>
                      <w:sz w:val="21"/>
                      <w:szCs w:val="21"/>
                      <w:lang w:val="en-US" w:eastAsia="zh-CN"/>
                    </w:rPr>
                    <w:t>达标</w:t>
                  </w:r>
                  <w:r>
                    <w:rPr>
                      <w:rFonts w:hint="eastAsia" w:ascii="Times New Roman" w:hAnsi="Times New Roman" w:cs="Times New Roman"/>
                      <w:color w:val="auto"/>
                      <w:kern w:val="0"/>
                      <w:sz w:val="21"/>
                      <w:szCs w:val="21"/>
                      <w:lang w:val="en-US" w:eastAsia="zh-CN"/>
                    </w:rPr>
                    <w:t>后</w:t>
                  </w:r>
                  <w:r>
                    <w:rPr>
                      <w:rFonts w:hint="default" w:ascii="Times New Roman" w:hAnsi="Times New Roman" w:cs="Times New Roman"/>
                      <w:color w:val="auto"/>
                      <w:kern w:val="0"/>
                      <w:sz w:val="21"/>
                      <w:szCs w:val="21"/>
                      <w:lang w:val="en-US" w:eastAsia="zh-CN"/>
                    </w:rPr>
                    <w:t>排入</w:t>
                  </w:r>
                  <w:r>
                    <w:rPr>
                      <w:rFonts w:hint="eastAsia" w:ascii="Times New Roman" w:hAnsi="Times New Roman" w:cs="Times New Roman"/>
                      <w:color w:val="auto"/>
                      <w:kern w:val="0"/>
                      <w:sz w:val="21"/>
                      <w:szCs w:val="21"/>
                      <w:lang w:val="en-US" w:eastAsia="zh-CN"/>
                    </w:rPr>
                    <w:t>项目东南侧沟渠，最终排入马街河</w:t>
                  </w:r>
                  <w:r>
                    <w:rPr>
                      <w:rFonts w:hint="eastAsia" w:cs="Times New Roman"/>
                      <w:color w:val="auto"/>
                      <w:kern w:val="0"/>
                      <w:sz w:val="21"/>
                      <w:szCs w:val="21"/>
                      <w:lang w:val="en-US" w:eastAsia="zh-CN"/>
                    </w:rPr>
                    <w:t>。</w:t>
                  </w:r>
                </w:p>
              </w:tc>
            </w:tr>
            <w:tr w14:paraId="55D3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57" w:type="pct"/>
                  <w:vMerge w:val="continue"/>
                  <w:vAlign w:val="center"/>
                </w:tcPr>
                <w:p w14:paraId="0866093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restart"/>
                  <w:shd w:val="clear" w:color="auto" w:fill="auto"/>
                  <w:noWrap/>
                  <w:vAlign w:val="center"/>
                </w:tcPr>
                <w:p w14:paraId="3276CF6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固废</w:t>
                  </w:r>
                </w:p>
              </w:tc>
              <w:tc>
                <w:tcPr>
                  <w:tcW w:w="383" w:type="pct"/>
                  <w:shd w:val="clear" w:color="auto" w:fill="auto"/>
                  <w:vAlign w:val="center"/>
                </w:tcPr>
                <w:p w14:paraId="6E1FD43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垃圾桶</w:t>
                  </w:r>
                </w:p>
              </w:tc>
              <w:tc>
                <w:tcPr>
                  <w:tcW w:w="3943" w:type="pct"/>
                  <w:shd w:val="clear" w:color="auto" w:fill="auto"/>
                  <w:vAlign w:val="center"/>
                </w:tcPr>
                <w:p w14:paraId="4750326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医院设置若干个垃圾桶对生活垃圾进行收集。</w:t>
                  </w:r>
                </w:p>
              </w:tc>
            </w:tr>
            <w:tr w14:paraId="6030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57" w:type="pct"/>
                  <w:vMerge w:val="continue"/>
                  <w:vAlign w:val="center"/>
                </w:tcPr>
                <w:p w14:paraId="0CB079B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continue"/>
                  <w:vAlign w:val="center"/>
                </w:tcPr>
                <w:p w14:paraId="44AF540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383" w:type="pct"/>
                  <w:shd w:val="clear" w:color="auto" w:fill="auto"/>
                  <w:vAlign w:val="center"/>
                </w:tcPr>
                <w:p w14:paraId="108F345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医疗废物</w:t>
                  </w:r>
                  <w:r>
                    <w:rPr>
                      <w:rFonts w:hint="eastAsia" w:ascii="Times New Roman" w:hAnsi="Times New Roman" w:cs="Times New Roman"/>
                      <w:color w:val="auto"/>
                      <w:kern w:val="0"/>
                      <w:sz w:val="21"/>
                      <w:szCs w:val="21"/>
                      <w:lang w:val="en-US" w:eastAsia="zh-CN"/>
                    </w:rPr>
                    <w:t>暂存处</w:t>
                  </w:r>
                </w:p>
              </w:tc>
              <w:tc>
                <w:tcPr>
                  <w:tcW w:w="3943" w:type="pct"/>
                  <w:shd w:val="clear" w:color="auto" w:fill="auto"/>
                  <w:vAlign w:val="center"/>
                </w:tcPr>
                <w:p w14:paraId="6C6C45E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原项目在住院楼一层西侧设置了1</w:t>
                  </w:r>
                  <w:r>
                    <w:rPr>
                      <w:rFonts w:hint="eastAsia" w:cs="Times New Roman"/>
                      <w:color w:val="auto"/>
                      <w:kern w:val="0"/>
                      <w:sz w:val="21"/>
                      <w:szCs w:val="21"/>
                      <w:lang w:val="en-US" w:eastAsia="zh-CN"/>
                    </w:rPr>
                    <w:t>间医疗废物</w:t>
                  </w:r>
                  <w:r>
                    <w:rPr>
                      <w:rFonts w:hint="eastAsia" w:ascii="Times New Roman" w:hAnsi="Times New Roman" w:cs="Times New Roman"/>
                      <w:color w:val="auto"/>
                      <w:kern w:val="0"/>
                      <w:sz w:val="21"/>
                      <w:szCs w:val="21"/>
                      <w:lang w:val="en-US" w:eastAsia="zh-CN"/>
                    </w:rPr>
                    <w:t>暂存间，面积为5m</w:t>
                  </w:r>
                  <w:r>
                    <w:rPr>
                      <w:rFonts w:hint="eastAsia"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，房间</w:t>
                  </w:r>
                  <w:r>
                    <w:rPr>
                      <w:rFonts w:hint="default" w:ascii="Times New Roman" w:hAnsi="Times New Roman" w:cs="Times New Roman"/>
                      <w:color w:val="auto"/>
                      <w:kern w:val="0"/>
                      <w:sz w:val="21"/>
                      <w:szCs w:val="21"/>
                      <w:lang w:val="en-US" w:eastAsia="zh-CN"/>
                    </w:rPr>
                    <w:t>内设置</w:t>
                  </w:r>
                  <w:r>
                    <w:rPr>
                      <w:rFonts w:hint="eastAsia"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lang w:val="en-US" w:eastAsia="zh-CN"/>
                    </w:rPr>
                    <w:t>个</w:t>
                  </w:r>
                  <w:r>
                    <w:rPr>
                      <w:rFonts w:hint="eastAsia" w:ascii="Times New Roman" w:hAnsi="Times New Roman" w:cs="Times New Roman"/>
                      <w:color w:val="auto"/>
                      <w:kern w:val="0"/>
                      <w:sz w:val="21"/>
                      <w:szCs w:val="21"/>
                      <w:lang w:val="en-US" w:eastAsia="zh-CN"/>
                    </w:rPr>
                    <w:t>中型</w:t>
                  </w:r>
                  <w:r>
                    <w:rPr>
                      <w:rFonts w:hint="default" w:ascii="Times New Roman" w:hAnsi="Times New Roman" w:cs="Times New Roman"/>
                      <w:color w:val="auto"/>
                      <w:kern w:val="0"/>
                      <w:sz w:val="21"/>
                      <w:szCs w:val="21"/>
                      <w:lang w:val="en-US" w:eastAsia="zh-CN"/>
                    </w:rPr>
                    <w:t>带盖医疗废物收集桶，用于</w:t>
                  </w:r>
                  <w:r>
                    <w:rPr>
                      <w:rFonts w:hint="eastAsia" w:ascii="Times New Roman" w:hAnsi="Times New Roman" w:cs="Times New Roman"/>
                      <w:color w:val="auto"/>
                      <w:kern w:val="0"/>
                      <w:sz w:val="21"/>
                      <w:szCs w:val="21"/>
                      <w:lang w:val="en-US" w:eastAsia="zh-CN"/>
                    </w:rPr>
                    <w:t>分类</w:t>
                  </w:r>
                  <w:r>
                    <w:rPr>
                      <w:rFonts w:hint="default" w:ascii="Times New Roman" w:hAnsi="Times New Roman" w:cs="Times New Roman"/>
                      <w:color w:val="auto"/>
                      <w:kern w:val="0"/>
                      <w:sz w:val="21"/>
                      <w:szCs w:val="21"/>
                      <w:lang w:val="en-US" w:eastAsia="zh-CN"/>
                    </w:rPr>
                    <w:t>收集本项目产生的医疗废物，</w:t>
                  </w:r>
                  <w:r>
                    <w:rPr>
                      <w:rFonts w:hint="eastAsia" w:cs="Times New Roman"/>
                      <w:color w:val="auto"/>
                      <w:kern w:val="0"/>
                      <w:sz w:val="21"/>
                      <w:szCs w:val="21"/>
                      <w:lang w:val="en-US" w:eastAsia="zh-CN"/>
                    </w:rPr>
                    <w:t>并</w:t>
                  </w:r>
                  <w:r>
                    <w:rPr>
                      <w:rFonts w:hint="eastAsia" w:ascii="Times New Roman" w:hAnsi="Times New Roman" w:cs="Times New Roman"/>
                      <w:color w:val="auto"/>
                      <w:kern w:val="0"/>
                      <w:sz w:val="21"/>
                      <w:szCs w:val="21"/>
                      <w:lang w:val="en-US" w:eastAsia="zh-CN"/>
                    </w:rPr>
                    <w:t>在</w:t>
                  </w:r>
                  <w:r>
                    <w:rPr>
                      <w:rFonts w:hint="eastAsia" w:cs="Times New Roman"/>
                      <w:color w:val="auto"/>
                      <w:kern w:val="0"/>
                      <w:sz w:val="21"/>
                      <w:szCs w:val="21"/>
                      <w:lang w:val="en-US" w:eastAsia="zh-CN"/>
                    </w:rPr>
                    <w:t>各科室及病房</w:t>
                  </w:r>
                  <w:r>
                    <w:rPr>
                      <w:rFonts w:hint="default" w:ascii="Times New Roman" w:hAnsi="Times New Roman" w:cs="Times New Roman"/>
                      <w:color w:val="auto"/>
                      <w:kern w:val="0"/>
                      <w:sz w:val="21"/>
                      <w:szCs w:val="21"/>
                      <w:lang w:val="en-US" w:eastAsia="zh-CN"/>
                    </w:rPr>
                    <w:t>设置若干个</w:t>
                  </w:r>
                  <w:r>
                    <w:rPr>
                      <w:rFonts w:hint="eastAsia" w:ascii="Times New Roman" w:hAnsi="Times New Roman" w:cs="Times New Roman"/>
                      <w:color w:val="auto"/>
                      <w:kern w:val="0"/>
                      <w:sz w:val="21"/>
                      <w:szCs w:val="21"/>
                      <w:lang w:val="en-US" w:eastAsia="zh-CN"/>
                    </w:rPr>
                    <w:t>小型</w:t>
                  </w:r>
                  <w:r>
                    <w:rPr>
                      <w:rFonts w:hint="default" w:ascii="Times New Roman" w:hAnsi="Times New Roman" w:cs="Times New Roman"/>
                      <w:color w:val="auto"/>
                      <w:kern w:val="0"/>
                      <w:sz w:val="21"/>
                      <w:szCs w:val="21"/>
                      <w:lang w:val="en-US" w:eastAsia="zh-CN"/>
                    </w:rPr>
                    <w:t>医疗废物收集桶</w:t>
                  </w:r>
                  <w:r>
                    <w:rPr>
                      <w:rFonts w:hint="eastAsia" w:ascii="Times New Roman" w:hAnsi="Times New Roman" w:cs="Times New Roman"/>
                      <w:color w:val="auto"/>
                      <w:kern w:val="0"/>
                      <w:sz w:val="21"/>
                      <w:szCs w:val="21"/>
                      <w:lang w:val="en-US" w:eastAsia="zh-CN"/>
                    </w:rPr>
                    <w:t>。医疗废物暂存间已采取</w:t>
                  </w:r>
                  <w:r>
                    <w:rPr>
                      <w:rFonts w:hint="default" w:ascii="Times New Roman" w:hAnsi="Times New Roman" w:cs="Times New Roman"/>
                      <w:color w:val="auto"/>
                      <w:kern w:val="0"/>
                      <w:sz w:val="21"/>
                      <w:szCs w:val="21"/>
                      <w:lang w:val="en-US" w:eastAsia="zh-CN"/>
                    </w:rPr>
                    <w:t>25cm厚的C25混凝土硬化+2mm厚的高密度</w:t>
                  </w:r>
                  <w:r>
                    <w:rPr>
                      <w:rFonts w:hint="eastAsia" w:ascii="Times New Roman" w:hAnsi="Times New Roman" w:cs="Times New Roman"/>
                      <w:color w:val="auto"/>
                      <w:kern w:val="0"/>
                      <w:sz w:val="21"/>
                      <w:szCs w:val="21"/>
                      <w:lang w:val="en-US" w:eastAsia="zh-CN"/>
                    </w:rPr>
                    <w:t>树脂材料</w:t>
                  </w:r>
                  <w:r>
                    <w:rPr>
                      <w:rFonts w:hint="default" w:ascii="Times New Roman" w:hAnsi="Times New Roman" w:cs="Times New Roman"/>
                      <w:color w:val="auto"/>
                      <w:kern w:val="0"/>
                      <w:sz w:val="21"/>
                      <w:szCs w:val="21"/>
                      <w:lang w:val="en-US" w:eastAsia="zh-CN"/>
                    </w:rPr>
                    <w:t>防渗</w:t>
                  </w:r>
                  <w:r>
                    <w:rPr>
                      <w:rFonts w:hint="eastAsia" w:ascii="Times New Roman" w:hAnsi="Times New Roman" w:cs="Times New Roman"/>
                      <w:color w:val="auto"/>
                      <w:kern w:val="0"/>
                      <w:sz w:val="21"/>
                      <w:szCs w:val="21"/>
                      <w:lang w:val="en-US" w:eastAsia="zh-CN"/>
                    </w:rPr>
                    <w:t>，渗透系数可以达到</w:t>
                  </w:r>
                  <w:r>
                    <w:rPr>
                      <w:rFonts w:hint="default" w:ascii="Times New Roman" w:hAnsi="Times New Roman" w:cs="Times New Roman"/>
                      <w:color w:val="auto"/>
                      <w:kern w:val="0"/>
                      <w:sz w:val="21"/>
                      <w:szCs w:val="21"/>
                      <w:lang w:val="en-US" w:eastAsia="zh-CN"/>
                    </w:rPr>
                    <w:t>1.0×10</w:t>
                  </w:r>
                  <w:r>
                    <w:rPr>
                      <w:rFonts w:hint="default" w:ascii="Times New Roman" w:hAnsi="Times New Roman" w:cs="Times New Roman"/>
                      <w:color w:val="auto"/>
                      <w:kern w:val="0"/>
                      <w:sz w:val="21"/>
                      <w:szCs w:val="21"/>
                      <w:vertAlign w:val="superscript"/>
                      <w:lang w:val="en-US" w:eastAsia="zh-CN"/>
                    </w:rPr>
                    <w:t>-</w:t>
                  </w:r>
                  <w:r>
                    <w:rPr>
                      <w:rFonts w:hint="eastAsia" w:ascii="Times New Roman" w:hAnsi="Times New Roman" w:cs="Times New Roman"/>
                      <w:color w:val="auto"/>
                      <w:kern w:val="0"/>
                      <w:sz w:val="21"/>
                      <w:szCs w:val="21"/>
                      <w:vertAlign w:val="superscript"/>
                      <w:lang w:val="en-US" w:eastAsia="zh-CN"/>
                    </w:rPr>
                    <w:t>10</w:t>
                  </w:r>
                  <w:r>
                    <w:rPr>
                      <w:rFonts w:hint="default" w:ascii="Times New Roman" w:hAnsi="Times New Roman" w:cs="Times New Roman"/>
                      <w:color w:val="auto"/>
                      <w:kern w:val="0"/>
                      <w:sz w:val="21"/>
                      <w:szCs w:val="21"/>
                      <w:lang w:val="en-US" w:eastAsia="zh-CN"/>
                    </w:rPr>
                    <w:t>cm/s</w:t>
                  </w:r>
                  <w:r>
                    <w:rPr>
                      <w:rFonts w:hint="eastAsia" w:ascii="Times New Roman" w:hAnsi="Times New Roman" w:cs="Times New Roman"/>
                      <w:color w:val="auto"/>
                      <w:kern w:val="0"/>
                      <w:sz w:val="21"/>
                      <w:szCs w:val="21"/>
                      <w:lang w:val="en-US" w:eastAsia="zh-CN"/>
                    </w:rPr>
                    <w:t>。</w:t>
                  </w:r>
                </w:p>
              </w:tc>
            </w:tr>
            <w:tr w14:paraId="717D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57" w:type="pct"/>
                  <w:vMerge w:val="continue"/>
                  <w:vAlign w:val="center"/>
                </w:tcPr>
                <w:p w14:paraId="6BBBEE4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shd w:val="clear" w:color="auto" w:fill="auto"/>
                  <w:noWrap/>
                  <w:vAlign w:val="center"/>
                </w:tcPr>
                <w:p w14:paraId="7066469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4326" w:type="pct"/>
                  <w:gridSpan w:val="2"/>
                  <w:shd w:val="clear" w:color="auto" w:fill="auto"/>
                  <w:noWrap/>
                  <w:vAlign w:val="center"/>
                </w:tcPr>
                <w:p w14:paraId="28A8A96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①</w:t>
                  </w:r>
                  <w:r>
                    <w:rPr>
                      <w:rFonts w:hint="eastAsia" w:cs="Times New Roman"/>
                      <w:color w:val="auto"/>
                      <w:sz w:val="21"/>
                      <w:szCs w:val="21"/>
                      <w:lang w:val="en-US" w:eastAsia="zh-CN"/>
                    </w:rPr>
                    <w:t>选用低噪设备，</w:t>
                  </w:r>
                  <w:r>
                    <w:rPr>
                      <w:rFonts w:hint="default" w:ascii="Times New Roman" w:hAnsi="Times New Roman" w:cs="Times New Roman"/>
                      <w:color w:val="auto"/>
                      <w:spacing w:val="-2"/>
                      <w:sz w:val="21"/>
                      <w:szCs w:val="21"/>
                    </w:rPr>
                    <w:t>并安装减震垫</w:t>
                  </w:r>
                  <w:r>
                    <w:rPr>
                      <w:rFonts w:hint="eastAsia" w:cs="Times New Roman"/>
                      <w:color w:val="auto"/>
                      <w:spacing w:val="-2"/>
                      <w:sz w:val="21"/>
                      <w:szCs w:val="21"/>
                      <w:lang w:eastAsia="zh-CN"/>
                    </w:rPr>
                    <w:t>；</w:t>
                  </w:r>
                  <w:r>
                    <w:rPr>
                      <w:rFonts w:hint="default" w:ascii="Times New Roman" w:hAnsi="Times New Roman" w:cs="Times New Roman"/>
                      <w:color w:val="auto"/>
                      <w:sz w:val="21"/>
                      <w:szCs w:val="21"/>
                    </w:rPr>
                    <w:t>②</w:t>
                  </w:r>
                  <w:r>
                    <w:rPr>
                      <w:rFonts w:hint="eastAsia" w:cs="Times New Roman"/>
                      <w:color w:val="auto"/>
                      <w:sz w:val="21"/>
                      <w:szCs w:val="21"/>
                      <w:lang w:val="en-US" w:eastAsia="zh-CN"/>
                    </w:rPr>
                    <w:t>规范操作；</w:t>
                  </w:r>
                  <w:r>
                    <w:rPr>
                      <w:rFonts w:hint="default" w:ascii="Times New Roman" w:hAnsi="Times New Roman" w:cs="Times New Roman"/>
                      <w:color w:val="auto"/>
                      <w:sz w:val="21"/>
                      <w:szCs w:val="21"/>
                    </w:rPr>
                    <w:t>③</w:t>
                  </w:r>
                  <w:r>
                    <w:rPr>
                      <w:rFonts w:hint="eastAsia" w:cs="Times New Roman"/>
                      <w:color w:val="auto"/>
                      <w:sz w:val="21"/>
                      <w:szCs w:val="21"/>
                      <w:lang w:val="en-US" w:eastAsia="zh-CN"/>
                    </w:rPr>
                    <w:t>墙体隔声</w:t>
                  </w:r>
                </w:p>
              </w:tc>
            </w:tr>
            <w:tr w14:paraId="315B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57" w:type="pct"/>
                  <w:vMerge w:val="continue"/>
                  <w:vAlign w:val="center"/>
                </w:tcPr>
                <w:p w14:paraId="39349C5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shd w:val="clear" w:color="auto" w:fill="auto"/>
                  <w:noWrap/>
                  <w:vAlign w:val="center"/>
                </w:tcPr>
                <w:p w14:paraId="515D68D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绿化</w:t>
                  </w:r>
                </w:p>
              </w:tc>
              <w:tc>
                <w:tcPr>
                  <w:tcW w:w="4326" w:type="pct"/>
                  <w:gridSpan w:val="2"/>
                  <w:shd w:val="clear" w:color="auto" w:fill="auto"/>
                  <w:noWrap/>
                  <w:vAlign w:val="center"/>
                </w:tcPr>
                <w:p w14:paraId="04AF881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原项目</w:t>
                  </w:r>
                  <w:r>
                    <w:rPr>
                      <w:rFonts w:hint="eastAsia" w:cs="Times New Roman"/>
                      <w:color w:val="auto"/>
                      <w:sz w:val="21"/>
                      <w:szCs w:val="21"/>
                      <w:lang w:val="en-US" w:eastAsia="zh-CN"/>
                    </w:rPr>
                    <w:t>内绿化主要为盆景绿化</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面积</w:t>
                  </w:r>
                  <w:r>
                    <w:rPr>
                      <w:rFonts w:hint="eastAsia" w:cs="Times New Roman"/>
                      <w:color w:val="auto"/>
                      <w:sz w:val="21"/>
                      <w:szCs w:val="21"/>
                      <w:lang w:val="en-US" w:eastAsia="zh-CN"/>
                    </w:rPr>
                    <w:t>约为</w:t>
                  </w:r>
                  <w:r>
                    <w:rPr>
                      <w:rFonts w:hint="eastAsia" w:ascii="Times New Roman" w:hAnsi="Times New Roman" w:cs="Times New Roman"/>
                      <w:color w:val="auto"/>
                      <w:sz w:val="21"/>
                      <w:szCs w:val="21"/>
                      <w:lang w:val="en-US" w:eastAsia="zh-CN"/>
                    </w:rPr>
                    <w:t>5m</w:t>
                  </w:r>
                  <w:r>
                    <w:rPr>
                      <w:rFonts w:hint="eastAsia" w:ascii="Times New Roman" w:hAnsi="Times New Roman" w:cs="Times New Roman"/>
                      <w:color w:val="auto"/>
                      <w:sz w:val="21"/>
                      <w:szCs w:val="21"/>
                      <w:vertAlign w:val="superscript"/>
                      <w:lang w:val="en-US" w:eastAsia="zh-CN"/>
                    </w:rPr>
                    <w:t>2</w:t>
                  </w:r>
                  <w:r>
                    <w:rPr>
                      <w:rFonts w:hint="eastAsia" w:cs="Times New Roman"/>
                      <w:color w:val="auto"/>
                      <w:sz w:val="21"/>
                      <w:szCs w:val="21"/>
                      <w:lang w:val="en-US" w:eastAsia="zh-CN"/>
                    </w:rPr>
                    <w:t>。</w:t>
                  </w:r>
                </w:p>
              </w:tc>
            </w:tr>
            <w:tr w14:paraId="2231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5E8F439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shd w:val="clear" w:color="auto" w:fill="auto"/>
                  <w:noWrap/>
                  <w:vAlign w:val="center"/>
                </w:tcPr>
                <w:p w14:paraId="373489F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rPr>
                    <w:t>风险</w:t>
                  </w:r>
                </w:p>
              </w:tc>
              <w:tc>
                <w:tcPr>
                  <w:tcW w:w="4326" w:type="pct"/>
                  <w:gridSpan w:val="2"/>
                  <w:shd w:val="clear" w:color="auto" w:fill="auto"/>
                  <w:noWrap/>
                  <w:vAlign w:val="center"/>
                </w:tcPr>
                <w:p w14:paraId="43D7DA0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项目污水处理站下方设有</w:t>
                  </w:r>
                  <w:r>
                    <w:rPr>
                      <w:rFonts w:hint="default" w:ascii="Times New Roman" w:hAnsi="Times New Roman" w:cs="Times New Roman"/>
                      <w:color w:val="auto"/>
                      <w:kern w:val="0"/>
                      <w:sz w:val="21"/>
                      <w:szCs w:val="21"/>
                      <w:lang w:eastAsia="zh-CN"/>
                    </w:rPr>
                    <w:t>1个事故池，容积</w:t>
                  </w:r>
                  <w:r>
                    <w:rPr>
                      <w:rFonts w:hint="eastAsia"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lang w:eastAsia="zh-CN"/>
                    </w:rPr>
                    <w:t>m</w:t>
                  </w:r>
                  <w:r>
                    <w:rPr>
                      <w:rFonts w:hint="default" w:ascii="Times New Roman" w:hAnsi="Times New Roman" w:cs="Times New Roman"/>
                      <w:color w:val="auto"/>
                      <w:kern w:val="0"/>
                      <w:sz w:val="21"/>
                      <w:szCs w:val="21"/>
                      <w:vertAlign w:val="superscript"/>
                      <w:lang w:eastAsia="zh-CN"/>
                    </w:rPr>
                    <w:t>3</w:t>
                  </w:r>
                  <w:r>
                    <w:rPr>
                      <w:rFonts w:hint="default" w:ascii="Times New Roman" w:hAnsi="Times New Roman" w:cs="Times New Roman"/>
                      <w:color w:val="auto"/>
                      <w:kern w:val="0"/>
                      <w:sz w:val="21"/>
                      <w:szCs w:val="21"/>
                      <w:lang w:eastAsia="zh-CN"/>
                    </w:rPr>
                    <w:t>，用于存储事故状态废水。</w:t>
                  </w:r>
                </w:p>
              </w:tc>
            </w:tr>
            <w:tr w14:paraId="171F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restart"/>
                  <w:vAlign w:val="center"/>
                </w:tcPr>
                <w:p w14:paraId="32B20D1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bCs/>
                      <w:color w:val="auto"/>
                      <w:szCs w:val="21"/>
                      <w:lang w:val="en-US" w:eastAsia="zh-CN"/>
                    </w:rPr>
                    <w:t>依托工程</w:t>
                  </w:r>
                </w:p>
              </w:tc>
              <w:tc>
                <w:tcPr>
                  <w:tcW w:w="598" w:type="pct"/>
                  <w:gridSpan w:val="2"/>
                  <w:shd w:val="clear" w:color="auto" w:fill="auto"/>
                  <w:noWrap/>
                  <w:vAlign w:val="center"/>
                </w:tcPr>
                <w:p w14:paraId="0156760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住院楼</w:t>
                  </w:r>
                </w:p>
              </w:tc>
              <w:tc>
                <w:tcPr>
                  <w:tcW w:w="3943" w:type="pct"/>
                  <w:shd w:val="clear" w:color="auto" w:fill="auto"/>
                  <w:noWrap/>
                  <w:vAlign w:val="center"/>
                </w:tcPr>
                <w:p w14:paraId="13EE0C4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住院楼为2层砖混结构，位于项目南侧。</w:t>
                  </w:r>
                </w:p>
              </w:tc>
            </w:tr>
            <w:tr w14:paraId="57F0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613B7C3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5435988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门诊区</w:t>
                  </w:r>
                </w:p>
              </w:tc>
              <w:tc>
                <w:tcPr>
                  <w:tcW w:w="3943" w:type="pct"/>
                  <w:shd w:val="clear" w:color="auto" w:fill="auto"/>
                  <w:noWrap/>
                  <w:vAlign w:val="center"/>
                </w:tcPr>
                <w:p w14:paraId="3E2C1F7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原项目门诊区，位于项目中部，为1层砖混结构，本次扩建</w:t>
                  </w:r>
                  <w:r>
                    <w:rPr>
                      <w:rFonts w:hint="eastAsia" w:cs="Times New Roman"/>
                      <w:color w:val="auto"/>
                      <w:kern w:val="0"/>
                      <w:sz w:val="21"/>
                      <w:szCs w:val="21"/>
                      <w:lang w:val="en-US" w:eastAsia="zh-CN"/>
                    </w:rPr>
                    <w:t>仅</w:t>
                  </w:r>
                  <w:r>
                    <w:rPr>
                      <w:rFonts w:hint="eastAsia" w:ascii="Times New Roman" w:hAnsi="Times New Roman" w:cs="Times New Roman"/>
                      <w:color w:val="auto"/>
                      <w:kern w:val="0"/>
                      <w:sz w:val="21"/>
                      <w:szCs w:val="21"/>
                      <w:lang w:val="en-US" w:eastAsia="zh-CN"/>
                    </w:rPr>
                    <w:t>对原门诊区功能布置进行调整，主要包括心理治疗室、物理治疗室、药房等。</w:t>
                  </w:r>
                </w:p>
              </w:tc>
            </w:tr>
            <w:tr w14:paraId="043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19C1645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7D0CC4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食堂</w:t>
                  </w:r>
                </w:p>
              </w:tc>
              <w:tc>
                <w:tcPr>
                  <w:tcW w:w="3943" w:type="pct"/>
                  <w:shd w:val="clear" w:color="auto" w:fill="auto"/>
                  <w:noWrap/>
                  <w:vAlign w:val="center"/>
                </w:tcPr>
                <w:p w14:paraId="4B02EAC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为1层砖混结构，食堂内部设置2个灶头，为项目内部分职工及患者提供三餐。</w:t>
                  </w:r>
                </w:p>
              </w:tc>
            </w:tr>
            <w:tr w14:paraId="7D7E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69BA272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2E5CC90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厕所</w:t>
                  </w:r>
                </w:p>
              </w:tc>
              <w:tc>
                <w:tcPr>
                  <w:tcW w:w="3943" w:type="pct"/>
                  <w:shd w:val="clear" w:color="auto" w:fill="auto"/>
                  <w:noWrap/>
                  <w:vAlign w:val="center"/>
                </w:tcPr>
                <w:p w14:paraId="19998CD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原项目公厕，为旱厕，建筑面积12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w:t>
                  </w:r>
                </w:p>
              </w:tc>
            </w:tr>
            <w:tr w14:paraId="3058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17091D1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17116A1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工娱室、洗浴室</w:t>
                  </w:r>
                </w:p>
              </w:tc>
              <w:tc>
                <w:tcPr>
                  <w:tcW w:w="3943" w:type="pct"/>
                  <w:shd w:val="clear" w:color="auto" w:fill="auto"/>
                  <w:noWrap/>
                  <w:vAlign w:val="center"/>
                </w:tcPr>
                <w:p w14:paraId="27B0A11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原项目工娱室、洗浴室，位于住院楼东侧，为1层砖混结构，工娱室建筑面积为15</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，洗浴室建筑面积13m</w:t>
                  </w:r>
                  <w:r>
                    <w:rPr>
                      <w:rFonts w:hint="eastAsia"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w:t>
                  </w:r>
                </w:p>
              </w:tc>
            </w:tr>
          </w:tbl>
          <w:p w14:paraId="33731742">
            <w:pPr>
              <w:pStyle w:val="12"/>
              <w:bidi w:val="0"/>
              <w:ind w:left="0" w:leftChars="0" w:firstLine="482" w:firstLineChars="20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四、原有项目污染物产生及排放情况</w:t>
            </w:r>
          </w:p>
          <w:p w14:paraId="091034CD">
            <w:pPr>
              <w:pStyle w:val="38"/>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1、废气</w:t>
            </w:r>
          </w:p>
          <w:p w14:paraId="3B512275">
            <w:pPr>
              <w:pStyle w:val="38"/>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（1）主要污染源</w:t>
            </w:r>
          </w:p>
          <w:p w14:paraId="50D6A255">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原</w:t>
            </w:r>
            <w:r>
              <w:rPr>
                <w:rFonts w:hint="default" w:ascii="Times New Roman" w:hAnsi="Times New Roman" w:cs="Times New Roman"/>
                <w:color w:val="auto"/>
                <w:sz w:val="24"/>
                <w:szCs w:val="24"/>
              </w:rPr>
              <w:t>项目营运期间产生的废气主要为医院消毒异味、污水处理设施</w:t>
            </w:r>
            <w:r>
              <w:rPr>
                <w:rFonts w:hint="eastAsia" w:cs="Times New Roman"/>
                <w:color w:val="auto"/>
                <w:sz w:val="24"/>
                <w:szCs w:val="24"/>
                <w:lang w:val="en-US" w:eastAsia="zh-CN"/>
              </w:rPr>
              <w:t>产生的</w:t>
            </w:r>
            <w:r>
              <w:rPr>
                <w:rFonts w:hint="default" w:ascii="Times New Roman" w:hAnsi="Times New Roman" w:cs="Times New Roman"/>
                <w:color w:val="auto"/>
                <w:sz w:val="24"/>
                <w:szCs w:val="24"/>
              </w:rPr>
              <w:t>异味</w:t>
            </w:r>
            <w:r>
              <w:rPr>
                <w:rFonts w:hint="eastAsia" w:cs="Times New Roman"/>
                <w:color w:val="auto"/>
                <w:sz w:val="24"/>
                <w:szCs w:val="24"/>
                <w:lang w:eastAsia="zh-CN"/>
              </w:rPr>
              <w:t>、</w:t>
            </w:r>
            <w:r>
              <w:rPr>
                <w:rFonts w:hint="eastAsia" w:cs="Times New Roman"/>
                <w:color w:val="auto"/>
                <w:sz w:val="24"/>
                <w:szCs w:val="24"/>
                <w:lang w:val="en-US" w:eastAsia="zh-CN"/>
              </w:rPr>
              <w:t>厨房油烟及进出汽车尾气</w:t>
            </w:r>
            <w:r>
              <w:rPr>
                <w:rFonts w:hint="default" w:ascii="Times New Roman" w:hAnsi="Times New Roman" w:cs="Times New Roman"/>
                <w:color w:val="auto"/>
                <w:sz w:val="24"/>
                <w:szCs w:val="24"/>
              </w:rPr>
              <w:t>。</w:t>
            </w:r>
          </w:p>
          <w:p w14:paraId="76525243">
            <w:pPr>
              <w:pStyle w:val="38"/>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（2）污染物处理和排放流程</w:t>
            </w:r>
          </w:p>
          <w:p w14:paraId="43FB6FCA">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①消毒异味主要为消毒剂挥发物，产生量不大，且主要产生在室内，为无组织排放。</w:t>
            </w:r>
            <w:r>
              <w:rPr>
                <w:rFonts w:hint="default" w:ascii="Times New Roman" w:hAnsi="Times New Roman" w:cs="Times New Roman"/>
                <w:color w:val="auto"/>
                <w:sz w:val="24"/>
                <w:szCs w:val="24"/>
                <w:lang w:val="en-US" w:eastAsia="zh-CN"/>
              </w:rPr>
              <w:t>经</w:t>
            </w:r>
            <w:r>
              <w:rPr>
                <w:rFonts w:hint="default" w:ascii="Times New Roman" w:hAnsi="Times New Roman" w:cs="Times New Roman"/>
                <w:color w:val="auto"/>
                <w:sz w:val="24"/>
                <w:szCs w:val="24"/>
              </w:rPr>
              <w:t>自然扩散</w:t>
            </w:r>
            <w:r>
              <w:rPr>
                <w:rFonts w:hint="default" w:ascii="Times New Roman" w:hAnsi="Times New Roman" w:cs="Times New Roman"/>
                <w:color w:val="auto"/>
                <w:sz w:val="24"/>
                <w:szCs w:val="24"/>
                <w:lang w:eastAsia="zh-CN"/>
              </w:rPr>
              <w:t>后对周围环境影响较小。</w:t>
            </w:r>
          </w:p>
          <w:p w14:paraId="405FB71D">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②化粪池为地埋式，异味</w:t>
            </w:r>
            <w:r>
              <w:rPr>
                <w:rFonts w:hint="eastAsia" w:cs="Times New Roman"/>
                <w:color w:val="auto"/>
                <w:sz w:val="24"/>
                <w:szCs w:val="24"/>
                <w:lang w:val="en-US" w:eastAsia="zh-CN"/>
              </w:rPr>
              <w:t>产生</w:t>
            </w:r>
            <w:r>
              <w:rPr>
                <w:rFonts w:hint="default" w:ascii="Times New Roman" w:hAnsi="Times New Roman" w:cs="Times New Roman"/>
                <w:color w:val="auto"/>
                <w:sz w:val="24"/>
                <w:szCs w:val="24"/>
              </w:rPr>
              <w:t>量较少，污水处理站采用一体化设备，</w:t>
            </w:r>
            <w:r>
              <w:rPr>
                <w:rFonts w:hint="eastAsia" w:cs="Times New Roman"/>
                <w:color w:val="auto"/>
                <w:sz w:val="24"/>
                <w:szCs w:val="24"/>
                <w:lang w:val="en-US" w:eastAsia="zh-CN"/>
              </w:rPr>
              <w:t>密封运行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pacing w:val="-6"/>
                <w:sz w:val="24"/>
                <w:szCs w:val="24"/>
              </w:rPr>
              <w:t>恶臭产生量不大，呈无组织排放。</w:t>
            </w:r>
            <w:r>
              <w:rPr>
                <w:rFonts w:hint="default" w:ascii="Times New Roman" w:hAnsi="Times New Roman" w:cs="Times New Roman"/>
                <w:color w:val="auto"/>
                <w:sz w:val="24"/>
                <w:szCs w:val="24"/>
                <w:lang w:val="en-US" w:eastAsia="zh-CN"/>
              </w:rPr>
              <w:t>经</w:t>
            </w:r>
            <w:r>
              <w:rPr>
                <w:rFonts w:hint="default" w:ascii="Times New Roman" w:hAnsi="Times New Roman" w:cs="Times New Roman"/>
                <w:color w:val="auto"/>
                <w:sz w:val="24"/>
                <w:szCs w:val="24"/>
              </w:rPr>
              <w:t>自然扩散</w:t>
            </w:r>
            <w:r>
              <w:rPr>
                <w:rFonts w:hint="default" w:ascii="Times New Roman" w:hAnsi="Times New Roman" w:cs="Times New Roman"/>
                <w:color w:val="auto"/>
                <w:sz w:val="24"/>
                <w:szCs w:val="24"/>
                <w:lang w:eastAsia="zh-CN"/>
              </w:rPr>
              <w:t>后对周围环境影响较小。</w:t>
            </w:r>
          </w:p>
          <w:p w14:paraId="616DD7E0">
            <w:pPr>
              <w:spacing w:line="360" w:lineRule="auto"/>
              <w:ind w:firstLine="470" w:firstLineChars="196"/>
              <w:rPr>
                <w:rFonts w:hint="default" w:ascii="Times New Roman" w:hAnsi="Times New Roman" w:eastAsia="宋体" w:cs="Times New Roman"/>
                <w:color w:val="auto"/>
                <w:spacing w:val="-6"/>
                <w:sz w:val="24"/>
                <w:szCs w:val="24"/>
                <w:lang w:val="en-US" w:eastAsia="zh-CN"/>
              </w:rPr>
            </w:pPr>
            <w:r>
              <w:rPr>
                <w:rFonts w:hint="default" w:ascii="Times New Roman" w:hAnsi="Times New Roman" w:cs="Times New Roman"/>
                <w:color w:val="auto"/>
                <w:sz w:val="24"/>
                <w:szCs w:val="24"/>
              </w:rPr>
              <w:t>③</w:t>
            </w:r>
            <w:r>
              <w:rPr>
                <w:rFonts w:hint="eastAsia" w:cs="Times New Roman"/>
                <w:color w:val="auto"/>
                <w:sz w:val="24"/>
                <w:szCs w:val="24"/>
                <w:lang w:val="en-US" w:eastAsia="zh-CN"/>
              </w:rPr>
              <w:t>厨房油烟经1套处理效率为80% 的油烟净化器处理后达标排放。</w:t>
            </w:r>
          </w:p>
          <w:p w14:paraId="2D304A8F">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val="en-US" w:eastAsia="zh-CN"/>
              </w:rPr>
              <w:t>项目为专科医院，门诊人数很少，进出的车辆较少，且项目内停车位很少，故产生的汽车尾气较少，通过大气的扩散作用及周围绿化的吸收，对周围大气环境影响较小</w:t>
            </w:r>
            <w:r>
              <w:rPr>
                <w:rFonts w:hint="default" w:ascii="Times New Roman" w:hAnsi="Times New Roman" w:cs="Times New Roman"/>
                <w:color w:val="auto"/>
                <w:sz w:val="24"/>
                <w:szCs w:val="24"/>
              </w:rPr>
              <w:t>。</w:t>
            </w:r>
          </w:p>
          <w:p w14:paraId="480F3C93">
            <w:pPr>
              <w:pStyle w:val="10"/>
              <w:tabs>
                <w:tab w:val="left" w:pos="7200"/>
              </w:tabs>
              <w:spacing w:line="360" w:lineRule="auto"/>
              <w:ind w:firstLine="482"/>
              <w:jc w:val="both"/>
              <w:rPr>
                <w:rFonts w:hint="default" w:ascii="Times New Roman" w:hAnsi="Times New Roman" w:cs="Times New Roman" w:eastAsiaTheme="minorEastAsia"/>
                <w:b w:val="0"/>
                <w:bCs/>
                <w:color w:val="auto"/>
                <w:sz w:val="24"/>
                <w:szCs w:val="24"/>
                <w:lang w:eastAsia="zh-CN"/>
              </w:rPr>
            </w:pPr>
            <w:r>
              <w:rPr>
                <w:rFonts w:hint="eastAsia" w:ascii="Times New Roman" w:cs="Times New Roman"/>
                <w:b w:val="0"/>
                <w:bCs/>
                <w:color w:val="auto"/>
                <w:sz w:val="24"/>
                <w:szCs w:val="24"/>
                <w:lang w:val="en-US" w:eastAsia="zh-CN"/>
              </w:rPr>
              <w:t>根据“昆明长青慈宁精神病医院扩建项目竣工环境保护验收检测”</w:t>
            </w:r>
            <w:r>
              <w:rPr>
                <w:rFonts w:hint="default" w:ascii="Times New Roman" w:hAnsi="Times New Roman" w:cs="Times New Roman"/>
                <w:b w:val="0"/>
                <w:bCs/>
                <w:color w:val="auto"/>
                <w:sz w:val="24"/>
                <w:szCs w:val="24"/>
              </w:rPr>
              <w:t>项目</w:t>
            </w:r>
            <w:r>
              <w:rPr>
                <w:rFonts w:hint="default" w:ascii="Times New Roman" w:hAnsi="Times New Roman" w:cs="Times New Roman"/>
                <w:b w:val="0"/>
                <w:bCs/>
                <w:color w:val="auto"/>
                <w:sz w:val="24"/>
                <w:szCs w:val="24"/>
                <w:lang w:eastAsia="zh-CN"/>
              </w:rPr>
              <w:t>污水处理站</w:t>
            </w:r>
            <w:r>
              <w:rPr>
                <w:rFonts w:hint="eastAsia" w:ascii="Times New Roman" w:cs="Times New Roman"/>
                <w:b w:val="0"/>
                <w:bCs/>
                <w:color w:val="auto"/>
                <w:sz w:val="24"/>
                <w:szCs w:val="24"/>
                <w:lang w:val="en-US" w:eastAsia="zh-CN"/>
              </w:rPr>
              <w:t>周围废气</w:t>
            </w:r>
            <w:r>
              <w:rPr>
                <w:rFonts w:hint="default" w:ascii="Times New Roman" w:hAnsi="Times New Roman" w:cs="Times New Roman"/>
                <w:b w:val="0"/>
                <w:bCs/>
                <w:color w:val="auto"/>
                <w:sz w:val="24"/>
                <w:szCs w:val="24"/>
              </w:rPr>
              <w:t>监测结果见下表：</w:t>
            </w:r>
          </w:p>
          <w:p w14:paraId="526EC28A">
            <w:pPr>
              <w:ind w:firstLine="0" w:firstLineChars="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eastAsia="zh-CN"/>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eastAsia="zh-CN"/>
              </w:rPr>
              <w:t>-</w:t>
            </w:r>
            <w:r>
              <w:rPr>
                <w:rFonts w:hint="eastAsia" w:cs="Times New Roman" w:eastAsiaTheme="minorEastAsia"/>
                <w:b/>
                <w:color w:val="auto"/>
                <w:sz w:val="21"/>
                <w:szCs w:val="21"/>
                <w:lang w:val="en-US" w:eastAsia="zh-CN"/>
              </w:rPr>
              <w:t xml:space="preserve">7 </w:t>
            </w:r>
            <w:r>
              <w:rPr>
                <w:rFonts w:hint="default" w:ascii="Times New Roman" w:hAnsi="Times New Roman" w:cs="Times New Roman" w:eastAsiaTheme="minorEastAsia"/>
                <w:b/>
                <w:color w:val="auto"/>
                <w:sz w:val="21"/>
                <w:szCs w:val="21"/>
                <w:lang w:eastAsia="zh-CN"/>
              </w:rPr>
              <w:t xml:space="preserve">  </w:t>
            </w:r>
            <w:r>
              <w:rPr>
                <w:rFonts w:hint="eastAsia" w:cs="Times New Roman" w:eastAsiaTheme="minorEastAsia"/>
                <w:b/>
                <w:color w:val="auto"/>
                <w:sz w:val="21"/>
                <w:szCs w:val="21"/>
                <w:lang w:val="en-US" w:eastAsia="zh-CN"/>
              </w:rPr>
              <w:t>无组织废气</w:t>
            </w:r>
            <w:r>
              <w:rPr>
                <w:rFonts w:hint="default" w:ascii="Times New Roman" w:hAnsi="Times New Roman" w:cs="Times New Roman" w:eastAsiaTheme="minorEastAsia"/>
                <w:b/>
                <w:color w:val="auto"/>
                <w:sz w:val="21"/>
                <w:szCs w:val="21"/>
                <w:lang w:eastAsia="zh-CN"/>
              </w:rPr>
              <w:t>检测结果</w:t>
            </w:r>
            <w:r>
              <w:rPr>
                <w:rFonts w:hint="eastAsia" w:cs="Times New Roman" w:eastAsiaTheme="minorEastAsia"/>
                <w:b/>
                <w:color w:val="auto"/>
                <w:sz w:val="21"/>
                <w:szCs w:val="21"/>
                <w:lang w:val="en-US" w:eastAsia="zh-CN"/>
              </w:rPr>
              <w:t>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318"/>
              <w:gridCol w:w="1933"/>
              <w:gridCol w:w="1713"/>
              <w:gridCol w:w="1892"/>
            </w:tblGrid>
            <w:tr w14:paraId="227E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Align w:val="center"/>
                </w:tcPr>
                <w:p w14:paraId="0C046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采样点位</w:t>
                  </w:r>
                </w:p>
              </w:tc>
              <w:tc>
                <w:tcPr>
                  <w:tcW w:w="1367" w:type="dxa"/>
                  <w:vAlign w:val="center"/>
                </w:tcPr>
                <w:p w14:paraId="4981D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采样日期</w:t>
                  </w:r>
                </w:p>
              </w:tc>
              <w:tc>
                <w:tcPr>
                  <w:tcW w:w="2008" w:type="dxa"/>
                  <w:vAlign w:val="center"/>
                </w:tcPr>
                <w:p w14:paraId="20FE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采样时间</w:t>
                  </w:r>
                </w:p>
              </w:tc>
              <w:tc>
                <w:tcPr>
                  <w:tcW w:w="1778" w:type="dxa"/>
                  <w:vAlign w:val="center"/>
                </w:tcPr>
                <w:p w14:paraId="634342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lang w:val="en-US" w:eastAsia="zh-CN"/>
                    </w:rPr>
                    <w:t>氨</w:t>
                  </w: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965" w:type="dxa"/>
                  <w:vAlign w:val="center"/>
                </w:tcPr>
                <w:p w14:paraId="43BF48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硫化氢</w:t>
                  </w: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r>
            <w:tr w14:paraId="2DA3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33ADF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污水处理站上风向1#</w:t>
                  </w:r>
                </w:p>
              </w:tc>
              <w:tc>
                <w:tcPr>
                  <w:tcW w:w="1367" w:type="dxa"/>
                  <w:vMerge w:val="restart"/>
                  <w:vAlign w:val="center"/>
                </w:tcPr>
                <w:p w14:paraId="14DABB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3887F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7BA2D6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0.04 </w:t>
                  </w:r>
                </w:p>
              </w:tc>
              <w:tc>
                <w:tcPr>
                  <w:tcW w:w="1965" w:type="dxa"/>
                  <w:vAlign w:val="center"/>
                </w:tcPr>
                <w:p w14:paraId="2B3448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0.004 </w:t>
                  </w:r>
                </w:p>
              </w:tc>
            </w:tr>
            <w:tr w14:paraId="325F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CFD76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E116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5B3893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10A37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294BA6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0.002 </w:t>
                  </w:r>
                </w:p>
              </w:tc>
            </w:tr>
            <w:tr w14:paraId="01A2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2080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3A16C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1F5089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62C844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0.02 </w:t>
                  </w:r>
                </w:p>
              </w:tc>
              <w:tc>
                <w:tcPr>
                  <w:tcW w:w="1965" w:type="dxa"/>
                  <w:vAlign w:val="center"/>
                </w:tcPr>
                <w:p w14:paraId="273EC7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0.004 </w:t>
                  </w:r>
                </w:p>
              </w:tc>
            </w:tr>
            <w:tr w14:paraId="0447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85EF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6384F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6E4CC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73EA14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0.05 </w:t>
                  </w:r>
                </w:p>
              </w:tc>
              <w:tc>
                <w:tcPr>
                  <w:tcW w:w="1965" w:type="dxa"/>
                  <w:vAlign w:val="center"/>
                </w:tcPr>
                <w:p w14:paraId="199C48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0.003 </w:t>
                  </w:r>
                </w:p>
              </w:tc>
            </w:tr>
            <w:tr w14:paraId="5BA7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BA4B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75930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1C0B43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740D06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49A20F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0.002 </w:t>
                  </w:r>
                </w:p>
              </w:tc>
            </w:tr>
            <w:tr w14:paraId="1101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6F493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20C4B2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6BCE2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1C0BB9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0.04 </w:t>
                  </w:r>
                </w:p>
              </w:tc>
              <w:tc>
                <w:tcPr>
                  <w:tcW w:w="1965" w:type="dxa"/>
                  <w:vAlign w:val="center"/>
                </w:tcPr>
                <w:p w14:paraId="57377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0.004 </w:t>
                  </w:r>
                </w:p>
              </w:tc>
            </w:tr>
            <w:tr w14:paraId="2565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6A4172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5EF1D9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7F13B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5CE19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6BB3A2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0.005 </w:t>
                  </w:r>
                </w:p>
              </w:tc>
            </w:tr>
            <w:tr w14:paraId="7574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5E54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16D7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4B80E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35B4C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7A150E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0.003 </w:t>
                  </w:r>
                </w:p>
              </w:tc>
            </w:tr>
            <w:tr w14:paraId="35CB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4E5F0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污水处理站下风向2#</w:t>
                  </w:r>
                </w:p>
              </w:tc>
              <w:tc>
                <w:tcPr>
                  <w:tcW w:w="1367" w:type="dxa"/>
                  <w:vMerge w:val="restart"/>
                  <w:vAlign w:val="center"/>
                </w:tcPr>
                <w:p w14:paraId="5AD539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04ED5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402008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5F49B4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w:t>
                  </w:r>
                </w:p>
              </w:tc>
            </w:tr>
            <w:tr w14:paraId="1A77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382A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8906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04AD9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230A1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0.13 </w:t>
                  </w:r>
                </w:p>
              </w:tc>
              <w:tc>
                <w:tcPr>
                  <w:tcW w:w="1965" w:type="dxa"/>
                  <w:vAlign w:val="center"/>
                </w:tcPr>
                <w:p w14:paraId="2D7EBD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0.017 </w:t>
                  </w:r>
                </w:p>
              </w:tc>
            </w:tr>
            <w:tr w14:paraId="7240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FA03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AAD1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02AC3E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5A39BD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5E1D2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0.016 </w:t>
                  </w:r>
                </w:p>
              </w:tc>
            </w:tr>
            <w:tr w14:paraId="4B18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13DE9C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67C2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5E0E0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36174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0.13 </w:t>
                  </w:r>
                </w:p>
              </w:tc>
              <w:tc>
                <w:tcPr>
                  <w:tcW w:w="1965" w:type="dxa"/>
                  <w:vAlign w:val="center"/>
                </w:tcPr>
                <w:p w14:paraId="661D68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0.017 </w:t>
                  </w:r>
                </w:p>
              </w:tc>
            </w:tr>
            <w:tr w14:paraId="3CA1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BE0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5E0E5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3BBDE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7316E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5AA5F9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0.016 </w:t>
                  </w:r>
                </w:p>
              </w:tc>
            </w:tr>
            <w:tr w14:paraId="43AF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2891B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5B2B5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5C2A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333E6B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6A69F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0.015 </w:t>
                  </w:r>
                </w:p>
              </w:tc>
            </w:tr>
            <w:tr w14:paraId="7471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2A83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2D150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515CF3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09EB6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64C354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0.014 </w:t>
                  </w:r>
                </w:p>
              </w:tc>
            </w:tr>
            <w:tr w14:paraId="2822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7B285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4174E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53E3BB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03E6D9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332AF0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0.017 </w:t>
                  </w:r>
                </w:p>
              </w:tc>
            </w:tr>
            <w:tr w14:paraId="5F66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33B4D2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污水处理站下风向3#</w:t>
                  </w:r>
                </w:p>
              </w:tc>
              <w:tc>
                <w:tcPr>
                  <w:tcW w:w="1367" w:type="dxa"/>
                  <w:vMerge w:val="restart"/>
                  <w:vAlign w:val="center"/>
                </w:tcPr>
                <w:p w14:paraId="303D23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60248D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03EB32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0.07 </w:t>
                  </w:r>
                </w:p>
              </w:tc>
              <w:tc>
                <w:tcPr>
                  <w:tcW w:w="1965" w:type="dxa"/>
                  <w:vAlign w:val="center"/>
                </w:tcPr>
                <w:p w14:paraId="32FC2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0.013 </w:t>
                  </w:r>
                </w:p>
              </w:tc>
            </w:tr>
            <w:tr w14:paraId="259B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35AB8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7779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57320B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6AAEAE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1965" w:type="dxa"/>
                  <w:vAlign w:val="center"/>
                </w:tcPr>
                <w:p w14:paraId="1A8F1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0.014 </w:t>
                  </w:r>
                </w:p>
              </w:tc>
            </w:tr>
            <w:tr w14:paraId="7EB0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57A1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0DA0B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7ABF3F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6DDA8B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1965" w:type="dxa"/>
                  <w:vAlign w:val="center"/>
                </w:tcPr>
                <w:p w14:paraId="24188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7C09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74E041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290A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22D05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6D2EFD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0.08 </w:t>
                  </w:r>
                </w:p>
              </w:tc>
              <w:tc>
                <w:tcPr>
                  <w:tcW w:w="1965" w:type="dxa"/>
                  <w:vAlign w:val="center"/>
                </w:tcPr>
                <w:p w14:paraId="2E8FDD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0.013 </w:t>
                  </w:r>
                </w:p>
              </w:tc>
            </w:tr>
            <w:tr w14:paraId="69C3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3BEB9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235C58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49646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72E3C8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0.07 </w:t>
                  </w:r>
                </w:p>
              </w:tc>
              <w:tc>
                <w:tcPr>
                  <w:tcW w:w="1965" w:type="dxa"/>
                  <w:vAlign w:val="center"/>
                </w:tcPr>
                <w:p w14:paraId="4A5A9C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0.011 </w:t>
                  </w:r>
                </w:p>
              </w:tc>
            </w:tr>
            <w:tr w14:paraId="00A4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628C16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22E19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1DC52C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261A1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1965" w:type="dxa"/>
                  <w:vAlign w:val="center"/>
                </w:tcPr>
                <w:p w14:paraId="7C3527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0.010 </w:t>
                  </w:r>
                </w:p>
              </w:tc>
            </w:tr>
            <w:tr w14:paraId="4083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18C263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51237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FC065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2FD84B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0.07 </w:t>
                  </w:r>
                </w:p>
              </w:tc>
              <w:tc>
                <w:tcPr>
                  <w:tcW w:w="1965" w:type="dxa"/>
                  <w:vAlign w:val="center"/>
                </w:tcPr>
                <w:p w14:paraId="6DDBB6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0.013 </w:t>
                  </w:r>
                </w:p>
              </w:tc>
            </w:tr>
            <w:tr w14:paraId="174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79B70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99AA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94B5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7066F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0.08 </w:t>
                  </w:r>
                </w:p>
              </w:tc>
              <w:tc>
                <w:tcPr>
                  <w:tcW w:w="1965" w:type="dxa"/>
                  <w:vAlign w:val="center"/>
                </w:tcPr>
                <w:p w14:paraId="7719B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0.014 </w:t>
                  </w:r>
                </w:p>
              </w:tc>
            </w:tr>
            <w:tr w14:paraId="6EA8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3165C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污水处理站下风向4#</w:t>
                  </w:r>
                </w:p>
              </w:tc>
              <w:tc>
                <w:tcPr>
                  <w:tcW w:w="1367" w:type="dxa"/>
                  <w:vMerge w:val="restart"/>
                  <w:vAlign w:val="center"/>
                </w:tcPr>
                <w:p w14:paraId="472CD4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0A980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04B16B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3AD59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1670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B1DC3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05F38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03D8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618C90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1DCE32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0.007 </w:t>
                  </w:r>
                </w:p>
              </w:tc>
            </w:tr>
            <w:tr w14:paraId="53AA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1B7E6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2547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FACA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0D5FED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55877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0.008 </w:t>
                  </w:r>
                </w:p>
              </w:tc>
            </w:tr>
            <w:tr w14:paraId="514C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D311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5EE48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169985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77AF4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7862CD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0.007 </w:t>
                  </w:r>
                </w:p>
              </w:tc>
            </w:tr>
            <w:tr w14:paraId="5AA2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9C49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5EE5B6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2425E8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67EE54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6EEDC2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081C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9BAC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83D6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F101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65A794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1E1BCC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0.008 </w:t>
                  </w:r>
                </w:p>
              </w:tc>
            </w:tr>
            <w:tr w14:paraId="2415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4724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212C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F02AA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00CB96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4F2AFE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0.007 </w:t>
                  </w:r>
                </w:p>
              </w:tc>
            </w:tr>
            <w:tr w14:paraId="0CFB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3E99F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09BF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1AC2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008F9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26872B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062E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3" w:type="dxa"/>
                  <w:gridSpan w:val="3"/>
                  <w:vAlign w:val="center"/>
                </w:tcPr>
                <w:p w14:paraId="02E76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标准值</w:t>
                  </w:r>
                </w:p>
              </w:tc>
              <w:tc>
                <w:tcPr>
                  <w:tcW w:w="1778" w:type="dxa"/>
                  <w:vAlign w:val="center"/>
                </w:tcPr>
                <w:p w14:paraId="76E9B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w:t>
                  </w:r>
                </w:p>
              </w:tc>
              <w:tc>
                <w:tcPr>
                  <w:tcW w:w="1965" w:type="dxa"/>
                  <w:vAlign w:val="center"/>
                </w:tcPr>
                <w:p w14:paraId="28A160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0.03</w:t>
                  </w:r>
                </w:p>
              </w:tc>
            </w:tr>
            <w:tr w14:paraId="1963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3" w:type="dxa"/>
                  <w:gridSpan w:val="3"/>
                  <w:vAlign w:val="center"/>
                </w:tcPr>
                <w:p w14:paraId="3F204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达标情况</w:t>
                  </w:r>
                </w:p>
              </w:tc>
              <w:tc>
                <w:tcPr>
                  <w:tcW w:w="1778" w:type="dxa"/>
                  <w:vAlign w:val="center"/>
                </w:tcPr>
                <w:p w14:paraId="4210CD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达标</w:t>
                  </w:r>
                </w:p>
              </w:tc>
              <w:tc>
                <w:tcPr>
                  <w:tcW w:w="1965" w:type="dxa"/>
                  <w:vAlign w:val="center"/>
                </w:tcPr>
                <w:p w14:paraId="21A0CC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达标</w:t>
                  </w:r>
                </w:p>
              </w:tc>
            </w:tr>
          </w:tbl>
          <w:p w14:paraId="27697974">
            <w:pPr>
              <w:ind w:firstLine="0" w:firstLineChars="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eastAsia="zh-CN"/>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eastAsia="zh-CN"/>
              </w:rPr>
              <w:t>-</w:t>
            </w:r>
            <w:r>
              <w:rPr>
                <w:rFonts w:hint="eastAsia" w:cs="Times New Roman" w:eastAsiaTheme="minorEastAsia"/>
                <w:b/>
                <w:color w:val="auto"/>
                <w:sz w:val="21"/>
                <w:szCs w:val="21"/>
                <w:lang w:val="en-US" w:eastAsia="zh-CN"/>
              </w:rPr>
              <w:t xml:space="preserve">8 </w:t>
            </w:r>
            <w:r>
              <w:rPr>
                <w:rFonts w:hint="default" w:ascii="Times New Roman" w:hAnsi="Times New Roman" w:cs="Times New Roman" w:eastAsiaTheme="minorEastAsia"/>
                <w:b/>
                <w:color w:val="auto"/>
                <w:sz w:val="21"/>
                <w:szCs w:val="21"/>
                <w:lang w:eastAsia="zh-CN"/>
              </w:rPr>
              <w:t xml:space="preserve">  </w:t>
            </w:r>
            <w:r>
              <w:rPr>
                <w:rFonts w:hint="eastAsia" w:cs="Times New Roman" w:eastAsiaTheme="minorEastAsia"/>
                <w:b/>
                <w:color w:val="auto"/>
                <w:sz w:val="21"/>
                <w:szCs w:val="21"/>
                <w:lang w:val="en-US" w:eastAsia="zh-CN"/>
              </w:rPr>
              <w:t>无组织废气</w:t>
            </w:r>
            <w:r>
              <w:rPr>
                <w:rFonts w:hint="default" w:ascii="Times New Roman" w:hAnsi="Times New Roman" w:cs="Times New Roman" w:eastAsiaTheme="minorEastAsia"/>
                <w:b/>
                <w:color w:val="auto"/>
                <w:sz w:val="21"/>
                <w:szCs w:val="21"/>
                <w:lang w:eastAsia="zh-CN"/>
              </w:rPr>
              <w:t>检测结果</w:t>
            </w:r>
            <w:r>
              <w:rPr>
                <w:rFonts w:hint="eastAsia" w:cs="Times New Roman" w:eastAsiaTheme="minorEastAsia"/>
                <w:b/>
                <w:color w:val="auto"/>
                <w:sz w:val="21"/>
                <w:szCs w:val="21"/>
                <w:lang w:val="en-US" w:eastAsia="zh-CN"/>
              </w:rPr>
              <w:t>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259"/>
              <w:gridCol w:w="1374"/>
              <w:gridCol w:w="2469"/>
              <w:gridCol w:w="1912"/>
            </w:tblGrid>
            <w:tr w14:paraId="1A36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Align w:val="center"/>
                </w:tcPr>
                <w:p w14:paraId="236BAB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采样点位</w:t>
                  </w:r>
                </w:p>
              </w:tc>
              <w:tc>
                <w:tcPr>
                  <w:tcW w:w="1305" w:type="dxa"/>
                  <w:vAlign w:val="center"/>
                </w:tcPr>
                <w:p w14:paraId="794D64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采样日期</w:t>
                  </w:r>
                </w:p>
              </w:tc>
              <w:tc>
                <w:tcPr>
                  <w:tcW w:w="1425" w:type="dxa"/>
                  <w:vAlign w:val="center"/>
                </w:tcPr>
                <w:p w14:paraId="36BD07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采样时间</w:t>
                  </w:r>
                </w:p>
              </w:tc>
              <w:tc>
                <w:tcPr>
                  <w:tcW w:w="2565" w:type="dxa"/>
                  <w:vAlign w:val="center"/>
                </w:tcPr>
                <w:p w14:paraId="65D647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lang w:val="en-US" w:eastAsia="zh-CN"/>
                    </w:rPr>
                    <w:t>样品编号</w:t>
                  </w:r>
                </w:p>
              </w:tc>
              <w:tc>
                <w:tcPr>
                  <w:tcW w:w="1985" w:type="dxa"/>
                  <w:vAlign w:val="center"/>
                </w:tcPr>
                <w:p w14:paraId="2CC097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臭气浓度</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无量纲</w:t>
                  </w:r>
                  <w:r>
                    <w:rPr>
                      <w:rFonts w:hint="default" w:ascii="Times New Roman" w:hAnsi="Times New Roman" w:eastAsia="宋体" w:cs="Times New Roman"/>
                      <w:b/>
                      <w:bCs/>
                      <w:color w:val="auto"/>
                      <w:kern w:val="0"/>
                      <w:sz w:val="21"/>
                      <w:szCs w:val="21"/>
                      <w:highlight w:val="none"/>
                    </w:rPr>
                    <w:t>）</w:t>
                  </w:r>
                </w:p>
              </w:tc>
            </w:tr>
            <w:tr w14:paraId="35D1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70D7D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污水处理站上风向1#</w:t>
                  </w:r>
                </w:p>
              </w:tc>
              <w:tc>
                <w:tcPr>
                  <w:tcW w:w="1305" w:type="dxa"/>
                  <w:vMerge w:val="restart"/>
                  <w:vAlign w:val="center"/>
                </w:tcPr>
                <w:p w14:paraId="31A52B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70DDE1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09:21</w:t>
                  </w:r>
                </w:p>
              </w:tc>
              <w:tc>
                <w:tcPr>
                  <w:tcW w:w="2565" w:type="dxa"/>
                  <w:vAlign w:val="center"/>
                </w:tcPr>
                <w:p w14:paraId="3C92F5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WCQ20220412005-1-1-1</w:t>
                  </w:r>
                </w:p>
              </w:tc>
              <w:tc>
                <w:tcPr>
                  <w:tcW w:w="1985" w:type="dxa"/>
                  <w:vAlign w:val="center"/>
                </w:tcPr>
                <w:p w14:paraId="38FB1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2D3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4A08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36C60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4B1CD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11:30</w:t>
                  </w:r>
                </w:p>
              </w:tc>
              <w:tc>
                <w:tcPr>
                  <w:tcW w:w="2565" w:type="dxa"/>
                  <w:vAlign w:val="center"/>
                </w:tcPr>
                <w:p w14:paraId="6C20A8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WCQ20220412005-1-1-2</w:t>
                  </w:r>
                </w:p>
              </w:tc>
              <w:tc>
                <w:tcPr>
                  <w:tcW w:w="1985" w:type="dxa"/>
                  <w:vAlign w:val="center"/>
                </w:tcPr>
                <w:p w14:paraId="7F8CB7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133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13DB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1DC3A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6DA78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13:46</w:t>
                  </w:r>
                </w:p>
              </w:tc>
              <w:tc>
                <w:tcPr>
                  <w:tcW w:w="2565" w:type="dxa"/>
                  <w:vAlign w:val="center"/>
                </w:tcPr>
                <w:p w14:paraId="6A97F9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WCQ20220412005-1-1-3</w:t>
                  </w:r>
                </w:p>
              </w:tc>
              <w:tc>
                <w:tcPr>
                  <w:tcW w:w="1985" w:type="dxa"/>
                  <w:vAlign w:val="center"/>
                </w:tcPr>
                <w:p w14:paraId="7DF57F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B12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B69F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4D3C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2C2156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15:57</w:t>
                  </w:r>
                </w:p>
              </w:tc>
              <w:tc>
                <w:tcPr>
                  <w:tcW w:w="2565" w:type="dxa"/>
                  <w:vAlign w:val="center"/>
                </w:tcPr>
                <w:p w14:paraId="75FCE5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WCQ20220412005-1-1-4</w:t>
                  </w:r>
                </w:p>
              </w:tc>
              <w:tc>
                <w:tcPr>
                  <w:tcW w:w="1985" w:type="dxa"/>
                  <w:vAlign w:val="center"/>
                </w:tcPr>
                <w:p w14:paraId="218157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126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EFEA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1F092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28AA4A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08:37</w:t>
                  </w:r>
                </w:p>
              </w:tc>
              <w:tc>
                <w:tcPr>
                  <w:tcW w:w="2565" w:type="dxa"/>
                  <w:vAlign w:val="center"/>
                </w:tcPr>
                <w:p w14:paraId="33CE8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WCQ20220412005-1-2-1</w:t>
                  </w:r>
                </w:p>
              </w:tc>
              <w:tc>
                <w:tcPr>
                  <w:tcW w:w="1985" w:type="dxa"/>
                  <w:vAlign w:val="center"/>
                </w:tcPr>
                <w:p w14:paraId="4B4F15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FF2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22BC0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36B9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404506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10:52</w:t>
                  </w:r>
                </w:p>
              </w:tc>
              <w:tc>
                <w:tcPr>
                  <w:tcW w:w="2565" w:type="dxa"/>
                  <w:vAlign w:val="center"/>
                </w:tcPr>
                <w:p w14:paraId="7827B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WCQ20220412005-1-2-2</w:t>
                  </w:r>
                </w:p>
              </w:tc>
              <w:tc>
                <w:tcPr>
                  <w:tcW w:w="1985" w:type="dxa"/>
                  <w:vAlign w:val="center"/>
                </w:tcPr>
                <w:p w14:paraId="6ED690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55A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1815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A9C4D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490F2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13:01</w:t>
                  </w:r>
                </w:p>
              </w:tc>
              <w:tc>
                <w:tcPr>
                  <w:tcW w:w="2565" w:type="dxa"/>
                  <w:vAlign w:val="center"/>
                </w:tcPr>
                <w:p w14:paraId="2E83A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WCQ20220412005-1-2-3</w:t>
                  </w:r>
                </w:p>
              </w:tc>
              <w:tc>
                <w:tcPr>
                  <w:tcW w:w="1985" w:type="dxa"/>
                  <w:vAlign w:val="center"/>
                </w:tcPr>
                <w:p w14:paraId="496F26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F2E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0503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27DC4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1C2C62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15:20</w:t>
                  </w:r>
                </w:p>
              </w:tc>
              <w:tc>
                <w:tcPr>
                  <w:tcW w:w="2565" w:type="dxa"/>
                  <w:vAlign w:val="center"/>
                </w:tcPr>
                <w:p w14:paraId="7EC4E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WCQ20220412005-1-2-4</w:t>
                  </w:r>
                </w:p>
              </w:tc>
              <w:tc>
                <w:tcPr>
                  <w:tcW w:w="1985" w:type="dxa"/>
                  <w:vAlign w:val="center"/>
                </w:tcPr>
                <w:p w14:paraId="51CB54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3C1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54AFB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污水处理站下风向2#</w:t>
                  </w:r>
                </w:p>
              </w:tc>
              <w:tc>
                <w:tcPr>
                  <w:tcW w:w="1305" w:type="dxa"/>
                  <w:vMerge w:val="restart"/>
                  <w:vAlign w:val="center"/>
                </w:tcPr>
                <w:p w14:paraId="5296FB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06D20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09:29</w:t>
                  </w:r>
                </w:p>
              </w:tc>
              <w:tc>
                <w:tcPr>
                  <w:tcW w:w="2565" w:type="dxa"/>
                  <w:vAlign w:val="center"/>
                </w:tcPr>
                <w:p w14:paraId="47AC5A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WCQ20220412005-2-1-1</w:t>
                  </w:r>
                </w:p>
              </w:tc>
              <w:tc>
                <w:tcPr>
                  <w:tcW w:w="1985" w:type="dxa"/>
                  <w:vAlign w:val="center"/>
                </w:tcPr>
                <w:p w14:paraId="735B6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A95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6B3D0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0986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9E4B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11:38</w:t>
                  </w:r>
                </w:p>
              </w:tc>
              <w:tc>
                <w:tcPr>
                  <w:tcW w:w="2565" w:type="dxa"/>
                  <w:vAlign w:val="center"/>
                </w:tcPr>
                <w:p w14:paraId="77AA61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WCQ20220412005-2-1-2</w:t>
                  </w:r>
                </w:p>
              </w:tc>
              <w:tc>
                <w:tcPr>
                  <w:tcW w:w="1985" w:type="dxa"/>
                  <w:vAlign w:val="center"/>
                </w:tcPr>
                <w:p w14:paraId="43DDD7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6912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014A2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56656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D765F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13:54</w:t>
                  </w:r>
                </w:p>
              </w:tc>
              <w:tc>
                <w:tcPr>
                  <w:tcW w:w="2565" w:type="dxa"/>
                  <w:vAlign w:val="center"/>
                </w:tcPr>
                <w:p w14:paraId="00A5B5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WCQ20220412005-2-1-3</w:t>
                  </w:r>
                </w:p>
              </w:tc>
              <w:tc>
                <w:tcPr>
                  <w:tcW w:w="1985" w:type="dxa"/>
                  <w:vAlign w:val="center"/>
                </w:tcPr>
                <w:p w14:paraId="08DDC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72D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E31F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15E9B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605CB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16:07</w:t>
                  </w:r>
                </w:p>
              </w:tc>
              <w:tc>
                <w:tcPr>
                  <w:tcW w:w="2565" w:type="dxa"/>
                  <w:vAlign w:val="center"/>
                </w:tcPr>
                <w:p w14:paraId="422607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WCQ20220412005-2-1-4</w:t>
                  </w:r>
                </w:p>
              </w:tc>
              <w:tc>
                <w:tcPr>
                  <w:tcW w:w="1985" w:type="dxa"/>
                  <w:vAlign w:val="center"/>
                </w:tcPr>
                <w:p w14:paraId="01B1EA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5E95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2529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371DA2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69446D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08:43</w:t>
                  </w:r>
                </w:p>
              </w:tc>
              <w:tc>
                <w:tcPr>
                  <w:tcW w:w="2565" w:type="dxa"/>
                  <w:vAlign w:val="center"/>
                </w:tcPr>
                <w:p w14:paraId="025689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WCQ20220412005-2-2-1</w:t>
                  </w:r>
                </w:p>
              </w:tc>
              <w:tc>
                <w:tcPr>
                  <w:tcW w:w="1985" w:type="dxa"/>
                  <w:vAlign w:val="center"/>
                </w:tcPr>
                <w:p w14:paraId="0666A4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10A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A1DD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6B35F6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6D790D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10:58</w:t>
                  </w:r>
                </w:p>
              </w:tc>
              <w:tc>
                <w:tcPr>
                  <w:tcW w:w="2565" w:type="dxa"/>
                  <w:vAlign w:val="center"/>
                </w:tcPr>
                <w:p w14:paraId="4D814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WCQ20220412005-2-2-2</w:t>
                  </w:r>
                </w:p>
              </w:tc>
              <w:tc>
                <w:tcPr>
                  <w:tcW w:w="1985" w:type="dxa"/>
                  <w:vAlign w:val="center"/>
                </w:tcPr>
                <w:p w14:paraId="7DA24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2785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FE13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68DB2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DB0ED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13:07</w:t>
                  </w:r>
                </w:p>
              </w:tc>
              <w:tc>
                <w:tcPr>
                  <w:tcW w:w="2565" w:type="dxa"/>
                  <w:vAlign w:val="center"/>
                </w:tcPr>
                <w:p w14:paraId="4015B9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WCQ20220412005-2-2-3</w:t>
                  </w:r>
                </w:p>
              </w:tc>
              <w:tc>
                <w:tcPr>
                  <w:tcW w:w="1985" w:type="dxa"/>
                  <w:vAlign w:val="center"/>
                </w:tcPr>
                <w:p w14:paraId="099BE0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A04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4E97E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39267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C3BBB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15:29</w:t>
                  </w:r>
                </w:p>
              </w:tc>
              <w:tc>
                <w:tcPr>
                  <w:tcW w:w="2565" w:type="dxa"/>
                  <w:vAlign w:val="center"/>
                </w:tcPr>
                <w:p w14:paraId="5254D5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WCQ20220412005-2-2-4</w:t>
                  </w:r>
                </w:p>
              </w:tc>
              <w:tc>
                <w:tcPr>
                  <w:tcW w:w="1985" w:type="dxa"/>
                  <w:vAlign w:val="center"/>
                </w:tcPr>
                <w:p w14:paraId="460F13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819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30FF3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污水处理站下风向3#</w:t>
                  </w:r>
                </w:p>
              </w:tc>
              <w:tc>
                <w:tcPr>
                  <w:tcW w:w="1305" w:type="dxa"/>
                  <w:vMerge w:val="restart"/>
                  <w:vAlign w:val="center"/>
                </w:tcPr>
                <w:p w14:paraId="4F37C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19E67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09:36</w:t>
                  </w:r>
                </w:p>
              </w:tc>
              <w:tc>
                <w:tcPr>
                  <w:tcW w:w="2565" w:type="dxa"/>
                  <w:vAlign w:val="center"/>
                </w:tcPr>
                <w:p w14:paraId="4FF45A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WCQ20220412005-3-1-1</w:t>
                  </w:r>
                </w:p>
              </w:tc>
              <w:tc>
                <w:tcPr>
                  <w:tcW w:w="1985" w:type="dxa"/>
                  <w:vAlign w:val="center"/>
                </w:tcPr>
                <w:p w14:paraId="493F5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5E8A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E478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15F2E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400BF0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11:45</w:t>
                  </w:r>
                </w:p>
              </w:tc>
              <w:tc>
                <w:tcPr>
                  <w:tcW w:w="2565" w:type="dxa"/>
                  <w:vAlign w:val="center"/>
                </w:tcPr>
                <w:p w14:paraId="7F9E1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WCQ20220412005-3-1-2</w:t>
                  </w:r>
                </w:p>
              </w:tc>
              <w:tc>
                <w:tcPr>
                  <w:tcW w:w="1985" w:type="dxa"/>
                  <w:vAlign w:val="center"/>
                </w:tcPr>
                <w:p w14:paraId="3EC3A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73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67A06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F7B9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4F436E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13:59</w:t>
                  </w:r>
                </w:p>
              </w:tc>
              <w:tc>
                <w:tcPr>
                  <w:tcW w:w="2565" w:type="dxa"/>
                  <w:vAlign w:val="center"/>
                </w:tcPr>
                <w:p w14:paraId="29EACD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WCQ20220412005-3-1-3</w:t>
                  </w:r>
                </w:p>
              </w:tc>
              <w:tc>
                <w:tcPr>
                  <w:tcW w:w="1985" w:type="dxa"/>
                  <w:vAlign w:val="center"/>
                </w:tcPr>
                <w:p w14:paraId="3B66FE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A03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2E95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DB9F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75337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16:16</w:t>
                  </w:r>
                </w:p>
              </w:tc>
              <w:tc>
                <w:tcPr>
                  <w:tcW w:w="2565" w:type="dxa"/>
                  <w:vAlign w:val="center"/>
                </w:tcPr>
                <w:p w14:paraId="1900D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WCQ20220412005-3-1-4</w:t>
                  </w:r>
                </w:p>
              </w:tc>
              <w:tc>
                <w:tcPr>
                  <w:tcW w:w="1985" w:type="dxa"/>
                  <w:vAlign w:val="center"/>
                </w:tcPr>
                <w:p w14:paraId="4CDB2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EDB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D071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62B052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68DA3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08:52</w:t>
                  </w:r>
                </w:p>
              </w:tc>
              <w:tc>
                <w:tcPr>
                  <w:tcW w:w="2565" w:type="dxa"/>
                  <w:vAlign w:val="center"/>
                </w:tcPr>
                <w:p w14:paraId="2DE6AB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WCQ20220412005-3-2-1</w:t>
                  </w:r>
                </w:p>
              </w:tc>
              <w:tc>
                <w:tcPr>
                  <w:tcW w:w="1985" w:type="dxa"/>
                  <w:vAlign w:val="center"/>
                </w:tcPr>
                <w:p w14:paraId="3D04CB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A10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4E2FE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6B7FC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8A491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w:t>
                  </w:r>
                </w:p>
              </w:tc>
              <w:tc>
                <w:tcPr>
                  <w:tcW w:w="2565" w:type="dxa"/>
                  <w:vAlign w:val="center"/>
                </w:tcPr>
                <w:p w14:paraId="3078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WCQ20220412005-3-2-2</w:t>
                  </w:r>
                </w:p>
              </w:tc>
              <w:tc>
                <w:tcPr>
                  <w:tcW w:w="1985" w:type="dxa"/>
                  <w:vAlign w:val="center"/>
                </w:tcPr>
                <w:p w14:paraId="5824A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09F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F5F1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410A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4A5296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13:14</w:t>
                  </w:r>
                </w:p>
              </w:tc>
              <w:tc>
                <w:tcPr>
                  <w:tcW w:w="2565" w:type="dxa"/>
                  <w:vAlign w:val="center"/>
                </w:tcPr>
                <w:p w14:paraId="41640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WCQ20220412005-3-2-3</w:t>
                  </w:r>
                </w:p>
              </w:tc>
              <w:tc>
                <w:tcPr>
                  <w:tcW w:w="1985" w:type="dxa"/>
                  <w:vAlign w:val="center"/>
                </w:tcPr>
                <w:p w14:paraId="58FD4A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5548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6FAF4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3B2A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55D037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15:37</w:t>
                  </w:r>
                </w:p>
              </w:tc>
              <w:tc>
                <w:tcPr>
                  <w:tcW w:w="2565" w:type="dxa"/>
                  <w:vAlign w:val="center"/>
                </w:tcPr>
                <w:p w14:paraId="13B3F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WCQ20220412005-3-2-4</w:t>
                  </w:r>
                </w:p>
              </w:tc>
              <w:tc>
                <w:tcPr>
                  <w:tcW w:w="1985" w:type="dxa"/>
                  <w:vAlign w:val="center"/>
                </w:tcPr>
                <w:p w14:paraId="7D7DC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6FE5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5A8E9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污水处理站下风向4#</w:t>
                  </w:r>
                </w:p>
              </w:tc>
              <w:tc>
                <w:tcPr>
                  <w:tcW w:w="1305" w:type="dxa"/>
                  <w:vMerge w:val="restart"/>
                  <w:vAlign w:val="center"/>
                </w:tcPr>
                <w:p w14:paraId="27C56B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2B20A7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09:45</w:t>
                  </w:r>
                </w:p>
              </w:tc>
              <w:tc>
                <w:tcPr>
                  <w:tcW w:w="2565" w:type="dxa"/>
                  <w:vAlign w:val="center"/>
                </w:tcPr>
                <w:p w14:paraId="735B1F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WCQ20220412005-4-1-1</w:t>
                  </w:r>
                </w:p>
              </w:tc>
              <w:tc>
                <w:tcPr>
                  <w:tcW w:w="1985" w:type="dxa"/>
                  <w:vAlign w:val="center"/>
                </w:tcPr>
                <w:p w14:paraId="6CBC2F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22F6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40843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B8322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C9AD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11:53</w:t>
                  </w:r>
                </w:p>
              </w:tc>
              <w:tc>
                <w:tcPr>
                  <w:tcW w:w="2565" w:type="dxa"/>
                  <w:vAlign w:val="center"/>
                </w:tcPr>
                <w:p w14:paraId="109F9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WCQ20220412005-4-1-2</w:t>
                  </w:r>
                </w:p>
              </w:tc>
              <w:tc>
                <w:tcPr>
                  <w:tcW w:w="1985" w:type="dxa"/>
                  <w:vAlign w:val="center"/>
                </w:tcPr>
                <w:p w14:paraId="4C76F1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FD0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235B9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A50B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BA969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14:08</w:t>
                  </w:r>
                </w:p>
              </w:tc>
              <w:tc>
                <w:tcPr>
                  <w:tcW w:w="2565" w:type="dxa"/>
                  <w:vAlign w:val="center"/>
                </w:tcPr>
                <w:p w14:paraId="7E2D7A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WCQ20220412005-4-1-3</w:t>
                  </w:r>
                </w:p>
              </w:tc>
              <w:tc>
                <w:tcPr>
                  <w:tcW w:w="1985" w:type="dxa"/>
                  <w:vAlign w:val="center"/>
                </w:tcPr>
                <w:p w14:paraId="1F9BA9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4F7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BE98D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CB67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08B29D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16:25</w:t>
                  </w:r>
                </w:p>
              </w:tc>
              <w:tc>
                <w:tcPr>
                  <w:tcW w:w="2565" w:type="dxa"/>
                  <w:vAlign w:val="center"/>
                </w:tcPr>
                <w:p w14:paraId="62B4A3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WCQ20220412005-4-1-4</w:t>
                  </w:r>
                </w:p>
              </w:tc>
              <w:tc>
                <w:tcPr>
                  <w:tcW w:w="1985" w:type="dxa"/>
                  <w:vAlign w:val="center"/>
                </w:tcPr>
                <w:p w14:paraId="639869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488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5879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394F9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47FD27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09:01</w:t>
                  </w:r>
                </w:p>
              </w:tc>
              <w:tc>
                <w:tcPr>
                  <w:tcW w:w="2565" w:type="dxa"/>
                  <w:vAlign w:val="center"/>
                </w:tcPr>
                <w:p w14:paraId="49A7BD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WCQ20220412005-4-2-1</w:t>
                  </w:r>
                </w:p>
              </w:tc>
              <w:tc>
                <w:tcPr>
                  <w:tcW w:w="1985" w:type="dxa"/>
                  <w:vAlign w:val="center"/>
                </w:tcPr>
                <w:p w14:paraId="2EA27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3EC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0DB5B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019F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62B7D4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11:14</w:t>
                  </w:r>
                </w:p>
              </w:tc>
              <w:tc>
                <w:tcPr>
                  <w:tcW w:w="2565" w:type="dxa"/>
                  <w:vAlign w:val="center"/>
                </w:tcPr>
                <w:p w14:paraId="06CBF6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WCQ20220412005-4-2-2</w:t>
                  </w:r>
                </w:p>
              </w:tc>
              <w:tc>
                <w:tcPr>
                  <w:tcW w:w="1985" w:type="dxa"/>
                  <w:vAlign w:val="center"/>
                </w:tcPr>
                <w:p w14:paraId="43B94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736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29B4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7767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D12D4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13:22</w:t>
                  </w:r>
                </w:p>
              </w:tc>
              <w:tc>
                <w:tcPr>
                  <w:tcW w:w="2565" w:type="dxa"/>
                  <w:vAlign w:val="center"/>
                </w:tcPr>
                <w:p w14:paraId="4F288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WCQ20220412005-4-2-3</w:t>
                  </w:r>
                </w:p>
              </w:tc>
              <w:tc>
                <w:tcPr>
                  <w:tcW w:w="1985" w:type="dxa"/>
                  <w:vAlign w:val="center"/>
                </w:tcPr>
                <w:p w14:paraId="1B0C8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848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0D6F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C475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000B7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15:46</w:t>
                  </w:r>
                </w:p>
              </w:tc>
              <w:tc>
                <w:tcPr>
                  <w:tcW w:w="2565" w:type="dxa"/>
                  <w:vAlign w:val="center"/>
                </w:tcPr>
                <w:p w14:paraId="18CF3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WCQ20220412005-4-2-4</w:t>
                  </w:r>
                </w:p>
              </w:tc>
              <w:tc>
                <w:tcPr>
                  <w:tcW w:w="1985" w:type="dxa"/>
                  <w:vAlign w:val="center"/>
                </w:tcPr>
                <w:p w14:paraId="6D0C53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B3C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1" w:type="dxa"/>
                  <w:gridSpan w:val="4"/>
                  <w:vAlign w:val="center"/>
                </w:tcPr>
                <w:p w14:paraId="6ADE2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标准值</w:t>
                  </w:r>
                </w:p>
              </w:tc>
              <w:tc>
                <w:tcPr>
                  <w:tcW w:w="1985" w:type="dxa"/>
                  <w:vAlign w:val="center"/>
                </w:tcPr>
                <w:p w14:paraId="70FCC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w:t>
                  </w:r>
                </w:p>
              </w:tc>
            </w:tr>
            <w:tr w14:paraId="04F5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1" w:type="dxa"/>
                  <w:gridSpan w:val="4"/>
                  <w:vAlign w:val="center"/>
                </w:tcPr>
                <w:p w14:paraId="03F04C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达标情况</w:t>
                  </w:r>
                </w:p>
              </w:tc>
              <w:tc>
                <w:tcPr>
                  <w:tcW w:w="1985" w:type="dxa"/>
                  <w:vAlign w:val="center"/>
                </w:tcPr>
                <w:p w14:paraId="6E514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达标</w:t>
                  </w:r>
                </w:p>
              </w:tc>
            </w:tr>
            <w:tr w14:paraId="65FB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Align w:val="center"/>
                </w:tcPr>
                <w:p w14:paraId="1E2426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备注</w:t>
                  </w:r>
                </w:p>
              </w:tc>
              <w:tc>
                <w:tcPr>
                  <w:tcW w:w="7280" w:type="dxa"/>
                  <w:gridSpan w:val="4"/>
                  <w:vAlign w:val="center"/>
                </w:tcPr>
                <w:p w14:paraId="39603F7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&lt;</w:t>
                  </w:r>
                  <w:r>
                    <w:rPr>
                      <w:rFonts w:hint="default" w:ascii="Times New Roman" w:hAnsi="Times New Roman" w:eastAsia="宋体" w:cs="Times New Roman"/>
                      <w:b/>
                      <w:bCs/>
                      <w:color w:val="auto"/>
                      <w:sz w:val="21"/>
                      <w:szCs w:val="21"/>
                      <w:highlight w:val="none"/>
                    </w:rPr>
                    <w:t>+检出限”表示测定结果低于</w:t>
                  </w:r>
                  <w:r>
                    <w:rPr>
                      <w:rFonts w:hint="default" w:ascii="Times New Roman" w:hAnsi="Times New Roman" w:eastAsia="宋体" w:cs="Times New Roman"/>
                      <w:b/>
                      <w:bCs/>
                      <w:color w:val="auto"/>
                      <w:sz w:val="21"/>
                      <w:szCs w:val="21"/>
                      <w:highlight w:val="none"/>
                      <w:lang w:val="en-US" w:eastAsia="zh-CN"/>
                    </w:rPr>
                    <w:t>方法</w:t>
                  </w:r>
                  <w:r>
                    <w:rPr>
                      <w:rFonts w:hint="default" w:ascii="Times New Roman" w:hAnsi="Times New Roman" w:eastAsia="宋体" w:cs="Times New Roman"/>
                      <w:b/>
                      <w:bCs/>
                      <w:color w:val="auto"/>
                      <w:sz w:val="21"/>
                      <w:szCs w:val="21"/>
                      <w:highlight w:val="none"/>
                    </w:rPr>
                    <w:t>检出限</w:t>
                  </w:r>
                  <w:r>
                    <w:rPr>
                      <w:rFonts w:hint="default" w:ascii="Times New Roman" w:hAnsi="Times New Roman" w:eastAsia="宋体" w:cs="Times New Roman"/>
                      <w:b/>
                      <w:bCs/>
                      <w:color w:val="auto"/>
                      <w:sz w:val="21"/>
                      <w:szCs w:val="21"/>
                      <w:highlight w:val="none"/>
                      <w:lang w:eastAsia="zh-CN"/>
                    </w:rPr>
                    <w:t>。</w:t>
                  </w:r>
                </w:p>
              </w:tc>
            </w:tr>
          </w:tbl>
          <w:p w14:paraId="62C677E5">
            <w:pPr>
              <w:spacing w:line="360" w:lineRule="auto"/>
              <w:ind w:firstLine="480"/>
              <w:rPr>
                <w:rFonts w:hint="eastAsia" w:cs="Times New Roman"/>
                <w:b w:val="0"/>
                <w:bCs w:val="0"/>
                <w:color w:val="auto"/>
                <w:lang w:val="en-US" w:eastAsia="zh-CN"/>
              </w:rPr>
            </w:pPr>
            <w:r>
              <w:rPr>
                <w:rFonts w:hint="eastAsia" w:cs="Times New Roman"/>
                <w:b w:val="0"/>
                <w:bCs w:val="0"/>
                <w:color w:val="auto"/>
                <w:lang w:val="en-US" w:eastAsia="zh-CN"/>
              </w:rPr>
              <w:t>根据检测结果，污水处理站周边大气污染物排放能达到《医疗机构水污染物排放标准》（GB18466-2005）表3污水处理站周边大气污染物最高允许浓度。</w:t>
            </w:r>
          </w:p>
          <w:p w14:paraId="22D43AEE">
            <w:pPr>
              <w:numPr>
                <w:ilvl w:val="0"/>
                <w:numId w:val="0"/>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2、废水</w:t>
            </w:r>
          </w:p>
          <w:p w14:paraId="28E5CC4B">
            <w:pPr>
              <w:spacing w:line="360" w:lineRule="auto"/>
              <w:ind w:firstLine="480" w:firstLineChars="200"/>
              <w:rPr>
                <w:rFonts w:hint="default" w:ascii="Times New Roman" w:hAnsi="Times New Roman" w:cs="Times New Roman"/>
                <w:b/>
                <w:color w:val="auto"/>
                <w:sz w:val="24"/>
                <w:szCs w:val="24"/>
              </w:rPr>
            </w:pPr>
            <w:r>
              <w:rPr>
                <w:rFonts w:hint="eastAsia" w:cs="Times New Roman"/>
                <w:color w:val="auto"/>
                <w:sz w:val="24"/>
                <w:szCs w:val="24"/>
                <w:lang w:val="en-US" w:eastAsia="zh-CN"/>
              </w:rPr>
              <w:t>原</w:t>
            </w:r>
            <w:r>
              <w:rPr>
                <w:rFonts w:hint="default" w:ascii="Times New Roman" w:hAnsi="Times New Roman" w:cs="Times New Roman"/>
                <w:color w:val="auto"/>
                <w:sz w:val="24"/>
                <w:szCs w:val="24"/>
              </w:rPr>
              <w:t>项目</w:t>
            </w:r>
            <w:r>
              <w:rPr>
                <w:rFonts w:hint="eastAsia" w:cs="Times New Roman"/>
                <w:color w:val="auto"/>
                <w:sz w:val="24"/>
                <w:szCs w:val="24"/>
                <w:lang w:val="en-US" w:eastAsia="zh-CN"/>
              </w:rPr>
              <w:t>检验科不涉及废水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故</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运营期废水主要为</w:t>
            </w:r>
            <w:r>
              <w:rPr>
                <w:rFonts w:hint="default" w:ascii="Times New Roman" w:hAnsi="Times New Roman" w:cs="Times New Roman"/>
                <w:color w:val="auto"/>
                <w:sz w:val="24"/>
                <w:szCs w:val="24"/>
                <w:lang w:val="en-US" w:eastAsia="zh-CN"/>
              </w:rPr>
              <w:t>住院部</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eastAsia="zh-CN"/>
              </w:rPr>
              <w:t>及</w:t>
            </w:r>
            <w:r>
              <w:rPr>
                <w:rFonts w:hint="default"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default" w:ascii="Times New Roman" w:hAnsi="Times New Roman" w:cs="Times New Roman"/>
                <w:color w:val="auto"/>
                <w:sz w:val="24"/>
                <w:szCs w:val="24"/>
              </w:rPr>
              <w:t>。</w:t>
            </w:r>
          </w:p>
          <w:p w14:paraId="11A2BC2A">
            <w:pPr>
              <w:spacing w:line="360" w:lineRule="auto"/>
              <w:ind w:firstLine="482" w:firstLineChars="200"/>
              <w:rPr>
                <w:rFonts w:hint="default"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（1）</w:t>
            </w:r>
            <w:r>
              <w:rPr>
                <w:rFonts w:hint="eastAsia" w:cs="Times New Roman"/>
                <w:b/>
                <w:color w:val="auto"/>
                <w:sz w:val="24"/>
                <w:szCs w:val="24"/>
                <w:lang w:val="en-US" w:eastAsia="zh-CN"/>
              </w:rPr>
              <w:t>原</w:t>
            </w:r>
            <w:r>
              <w:rPr>
                <w:rFonts w:hint="eastAsia" w:ascii="Times New Roman" w:hAnsi="Times New Roman" w:cs="Times New Roman"/>
                <w:b/>
                <w:color w:val="auto"/>
                <w:sz w:val="24"/>
                <w:szCs w:val="24"/>
                <w:lang w:val="en-US" w:eastAsia="zh-CN"/>
              </w:rPr>
              <w:t>项目用水</w:t>
            </w:r>
          </w:p>
          <w:p w14:paraId="42AD0803">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原</w:t>
            </w:r>
            <w:r>
              <w:rPr>
                <w:rFonts w:hint="default" w:ascii="Times New Roman" w:hAnsi="Times New Roman" w:cs="Times New Roman"/>
                <w:color w:val="auto"/>
                <w:sz w:val="24"/>
                <w:szCs w:val="24"/>
                <w:lang w:eastAsia="zh-CN"/>
              </w:rPr>
              <w:t>项目</w:t>
            </w:r>
            <w:r>
              <w:rPr>
                <w:rFonts w:hint="eastAsia" w:cs="Times New Roman"/>
                <w:color w:val="auto"/>
                <w:sz w:val="24"/>
                <w:szCs w:val="24"/>
                <w:lang w:val="en-US" w:eastAsia="zh-CN"/>
              </w:rPr>
              <w:t>用水主要包括住院部用水、门诊用水、员工用水、食堂用水及绿化用水，</w:t>
            </w:r>
            <w:r>
              <w:rPr>
                <w:rFonts w:hint="eastAsia"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lang w:eastAsia="zh-CN"/>
              </w:rPr>
              <w:t>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p>
          <w:p w14:paraId="3E2F1ED8">
            <w:pPr>
              <w:spacing w:line="360" w:lineRule="auto"/>
              <w:ind w:firstLine="360" w:firstLineChars="150"/>
              <w:jc w:val="both"/>
              <w:rPr>
                <w:rFonts w:hint="default" w:ascii="Times New Roman" w:hAnsi="Times New Roman" w:eastAsia="宋体" w:cs="Times New Roman"/>
                <w:b w:val="0"/>
                <w:bCs w:val="0"/>
                <w:color w:val="auto"/>
                <w:sz w:val="24"/>
                <w:szCs w:val="24"/>
                <w:lang w:val="en-US" w:eastAsia="zh-CN"/>
              </w:rPr>
            </w:pPr>
            <w:r>
              <w:rPr>
                <w:rFonts w:hint="eastAsia" w:ascii="Times New Roman" w:cs="Times New Roman"/>
                <w:b w:val="0"/>
                <w:bCs/>
                <w:color w:val="auto"/>
                <w:sz w:val="24"/>
                <w:szCs w:val="24"/>
                <w:lang w:val="en-US" w:eastAsia="zh-CN"/>
              </w:rPr>
              <w:t>根据</w:t>
            </w:r>
            <w:r>
              <w:rPr>
                <w:rFonts w:hint="eastAsia" w:cs="Times New Roman"/>
                <w:b w:val="0"/>
                <w:bCs/>
                <w:color w:val="auto"/>
                <w:sz w:val="24"/>
                <w:szCs w:val="24"/>
                <w:lang w:val="en-US" w:eastAsia="zh-CN"/>
              </w:rPr>
              <w:t>《</w:t>
            </w:r>
            <w:r>
              <w:rPr>
                <w:rFonts w:hint="eastAsia" w:ascii="Times New Roman" w:cs="Times New Roman"/>
                <w:b w:val="0"/>
                <w:bCs/>
                <w:color w:val="auto"/>
                <w:sz w:val="24"/>
                <w:szCs w:val="24"/>
                <w:lang w:val="en-US" w:eastAsia="zh-CN"/>
              </w:rPr>
              <w:t>昆明长青慈宁精神病医院扩建项目竣工环境保护验收</w:t>
            </w:r>
            <w:r>
              <w:rPr>
                <w:rFonts w:hint="eastAsia" w:cs="Times New Roman"/>
                <w:b w:val="0"/>
                <w:bCs/>
                <w:color w:val="auto"/>
                <w:sz w:val="24"/>
                <w:szCs w:val="24"/>
                <w:lang w:val="en-US" w:eastAsia="zh-CN"/>
              </w:rPr>
              <w:t>监测报告表》</w:t>
            </w:r>
            <w:r>
              <w:rPr>
                <w:rFonts w:hint="eastAsia" w:ascii="Times New Roman" w:hAnsi="Times New Roman" w:cs="Times New Roman"/>
                <w:b w:val="0"/>
                <w:bCs w:val="0"/>
                <w:color w:val="auto"/>
                <w:sz w:val="24"/>
                <w:szCs w:val="24"/>
                <w:lang w:val="en-US" w:eastAsia="zh-CN"/>
              </w:rPr>
              <w:t>原项目用水及废水产生汇总如下：</w:t>
            </w:r>
          </w:p>
          <w:p w14:paraId="5D642AA0">
            <w:pPr>
              <w:spacing w:line="360" w:lineRule="auto"/>
              <w:ind w:firstLine="316" w:firstLineChars="1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2-9</w:t>
            </w:r>
            <w:r>
              <w:rPr>
                <w:rFonts w:hint="default" w:ascii="Times New Roman" w:hAnsi="Times New Roman" w:cs="Times New Roman"/>
                <w:b/>
                <w:bCs/>
                <w:color w:val="auto"/>
                <w:sz w:val="21"/>
                <w:szCs w:val="21"/>
              </w:rPr>
              <w:t xml:space="preserve">  项目用水及废水产生情况统计表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5"/>
              <w:gridCol w:w="893"/>
              <w:gridCol w:w="681"/>
              <w:gridCol w:w="906"/>
              <w:gridCol w:w="882"/>
              <w:gridCol w:w="818"/>
              <w:gridCol w:w="1032"/>
              <w:gridCol w:w="2214"/>
            </w:tblGrid>
            <w:tr w14:paraId="7691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929" w:type="dxa"/>
                  <w:noWrap w:val="0"/>
                  <w:vAlign w:val="center"/>
                </w:tcPr>
                <w:p w14:paraId="0C1B8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用水项目</w:t>
                  </w:r>
                </w:p>
              </w:tc>
              <w:tc>
                <w:tcPr>
                  <w:tcW w:w="926" w:type="dxa"/>
                  <w:noWrap w:val="0"/>
                  <w:vAlign w:val="center"/>
                </w:tcPr>
                <w:p w14:paraId="60E90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日用水量</w:t>
                  </w:r>
                </w:p>
                <w:p w14:paraId="3B4CA9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r>
                    <w:rPr>
                      <w:rFonts w:hint="eastAsia" w:cs="Times New Roman"/>
                      <w:b/>
                      <w:bCs/>
                      <w:color w:val="auto"/>
                      <w:sz w:val="21"/>
                      <w:szCs w:val="21"/>
                      <w:lang w:eastAsia="zh-CN"/>
                    </w:rPr>
                    <w:t>)</w:t>
                  </w:r>
                </w:p>
              </w:tc>
              <w:tc>
                <w:tcPr>
                  <w:tcW w:w="707" w:type="dxa"/>
                  <w:noWrap w:val="0"/>
                  <w:vAlign w:val="center"/>
                </w:tcPr>
                <w:p w14:paraId="78026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年用水日</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天</w:t>
                  </w:r>
                  <w:r>
                    <w:rPr>
                      <w:rFonts w:hint="eastAsia" w:ascii="Times New Roman" w:hAnsi="Times New Roman" w:cs="Times New Roman"/>
                      <w:b/>
                      <w:bCs/>
                      <w:color w:val="auto"/>
                      <w:sz w:val="21"/>
                      <w:szCs w:val="21"/>
                      <w:lang w:eastAsia="zh-CN"/>
                    </w:rPr>
                    <w:t>）</w:t>
                  </w:r>
                </w:p>
              </w:tc>
              <w:tc>
                <w:tcPr>
                  <w:tcW w:w="941" w:type="dxa"/>
                  <w:noWrap w:val="0"/>
                  <w:vAlign w:val="center"/>
                </w:tcPr>
                <w:p w14:paraId="6135D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年用水量</w:t>
                  </w:r>
                </w:p>
                <w:p w14:paraId="6D0B5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cs="Times New Roman"/>
                      <w:b/>
                      <w:bCs/>
                      <w:color w:val="auto"/>
                      <w:sz w:val="21"/>
                      <w:szCs w:val="21"/>
                      <w:lang w:eastAsia="zh-CN"/>
                    </w:rPr>
                    <w:t>)</w:t>
                  </w:r>
                </w:p>
              </w:tc>
              <w:tc>
                <w:tcPr>
                  <w:tcW w:w="915" w:type="dxa"/>
                  <w:noWrap w:val="0"/>
                  <w:vAlign w:val="center"/>
                </w:tcPr>
                <w:p w14:paraId="10F96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日产废水量（m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849" w:type="dxa"/>
                  <w:noWrap w:val="0"/>
                  <w:vAlign w:val="center"/>
                </w:tcPr>
                <w:p w14:paraId="57335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年产废水量</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ascii="Times New Roman" w:hAnsi="Times New Roman" w:cs="Times New Roman"/>
                      <w:b/>
                      <w:bCs/>
                      <w:color w:val="auto"/>
                      <w:sz w:val="21"/>
                      <w:szCs w:val="21"/>
                      <w:lang w:eastAsia="zh-CN"/>
                    </w:rPr>
                    <w:t>）</w:t>
                  </w:r>
                </w:p>
              </w:tc>
              <w:tc>
                <w:tcPr>
                  <w:tcW w:w="1071" w:type="dxa"/>
                  <w:noWrap w:val="0"/>
                  <w:vAlign w:val="center"/>
                </w:tcPr>
                <w:p w14:paraId="1B028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预</w:t>
                  </w:r>
                  <w:r>
                    <w:rPr>
                      <w:rFonts w:hint="default" w:ascii="Times New Roman" w:hAnsi="Times New Roman" w:cs="Times New Roman"/>
                      <w:b/>
                      <w:bCs/>
                      <w:color w:val="auto"/>
                      <w:sz w:val="21"/>
                      <w:szCs w:val="21"/>
                      <w:lang w:eastAsia="zh-CN"/>
                    </w:rPr>
                    <w:t>处理方式</w:t>
                  </w:r>
                </w:p>
              </w:tc>
              <w:tc>
                <w:tcPr>
                  <w:tcW w:w="2298" w:type="dxa"/>
                  <w:noWrap w:val="0"/>
                  <w:vAlign w:val="center"/>
                </w:tcPr>
                <w:p w14:paraId="63C8A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处理去向</w:t>
                  </w:r>
                </w:p>
              </w:tc>
            </w:tr>
            <w:tr w14:paraId="7C54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03221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门诊</w:t>
                  </w:r>
                  <w:r>
                    <w:rPr>
                      <w:rFonts w:hint="eastAsia" w:cs="Times New Roman"/>
                      <w:color w:val="auto"/>
                      <w:sz w:val="21"/>
                      <w:szCs w:val="21"/>
                      <w:lang w:val="en-US" w:eastAsia="zh-CN"/>
                    </w:rPr>
                    <w:t>废水</w:t>
                  </w:r>
                </w:p>
              </w:tc>
              <w:tc>
                <w:tcPr>
                  <w:tcW w:w="926" w:type="dxa"/>
                  <w:noWrap w:val="0"/>
                  <w:vAlign w:val="center"/>
                </w:tcPr>
                <w:p w14:paraId="6E2AD7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w:t>
                  </w:r>
                </w:p>
              </w:tc>
              <w:tc>
                <w:tcPr>
                  <w:tcW w:w="707" w:type="dxa"/>
                  <w:noWrap w:val="0"/>
                  <w:vAlign w:val="center"/>
                </w:tcPr>
                <w:p w14:paraId="7808F8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365</w:t>
                  </w:r>
                </w:p>
              </w:tc>
              <w:tc>
                <w:tcPr>
                  <w:tcW w:w="941" w:type="dxa"/>
                  <w:noWrap w:val="0"/>
                  <w:vAlign w:val="center"/>
                </w:tcPr>
                <w:p w14:paraId="3EEF6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18.25</w:t>
                  </w:r>
                </w:p>
              </w:tc>
              <w:tc>
                <w:tcPr>
                  <w:tcW w:w="915" w:type="dxa"/>
                  <w:noWrap w:val="0"/>
                  <w:vAlign w:val="center"/>
                </w:tcPr>
                <w:p w14:paraId="5E45BA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w:t>
                  </w:r>
                </w:p>
              </w:tc>
              <w:tc>
                <w:tcPr>
                  <w:tcW w:w="849" w:type="dxa"/>
                  <w:noWrap w:val="0"/>
                  <w:vAlign w:val="center"/>
                </w:tcPr>
                <w:p w14:paraId="6252C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14.6</w:t>
                  </w:r>
                </w:p>
              </w:tc>
              <w:tc>
                <w:tcPr>
                  <w:tcW w:w="1071" w:type="dxa"/>
                  <w:vMerge w:val="restart"/>
                  <w:noWrap w:val="0"/>
                  <w:vAlign w:val="center"/>
                </w:tcPr>
                <w:p w14:paraId="214DB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化粪池</w:t>
                  </w:r>
                </w:p>
              </w:tc>
              <w:tc>
                <w:tcPr>
                  <w:tcW w:w="2298" w:type="dxa"/>
                  <w:vMerge w:val="restart"/>
                  <w:noWrap w:val="0"/>
                  <w:vAlign w:val="center"/>
                </w:tcPr>
                <w:p w14:paraId="629D67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经污水处理站</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rPr>
                    <w:t>达</w:t>
                  </w:r>
                  <w:r>
                    <w:rPr>
                      <w:rFonts w:hint="eastAsia" w:cs="Times New Roman"/>
                      <w:color w:val="auto"/>
                      <w:sz w:val="21"/>
                      <w:szCs w:val="21"/>
                      <w:lang w:val="en-US" w:eastAsia="zh-CN"/>
                    </w:rPr>
                    <w:t>到</w:t>
                  </w:r>
                  <w:r>
                    <w:rPr>
                      <w:rFonts w:hint="default" w:ascii="Times New Roman" w:hAnsi="Times New Roman" w:cs="Times New Roman"/>
                      <w:color w:val="auto"/>
                      <w:sz w:val="21"/>
                      <w:szCs w:val="21"/>
                    </w:rPr>
                    <w:t>《医疗机构水污染物排放标准》（GB18466-2005）</w:t>
                  </w:r>
                  <w:r>
                    <w:rPr>
                      <w:rFonts w:hint="eastAsia" w:ascii="Times New Roman" w:hAnsi="Times New Roman" w:cs="Times New Roman"/>
                      <w:color w:val="auto"/>
                      <w:sz w:val="21"/>
                      <w:szCs w:val="21"/>
                      <w:lang w:val="en-US" w:eastAsia="zh-CN"/>
                    </w:rPr>
                    <w:t>表2排放标准</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总磷处理达到（GB18918-2002）《城镇污水处理厂污染物排放标准》表1一级A标准限值后排入项目东南侧沟渠，最终排入马街河</w:t>
                  </w:r>
                </w:p>
              </w:tc>
            </w:tr>
            <w:tr w14:paraId="72E1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32675A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住院废水</w:t>
                  </w:r>
                </w:p>
              </w:tc>
              <w:tc>
                <w:tcPr>
                  <w:tcW w:w="926" w:type="dxa"/>
                  <w:noWrap w:val="0"/>
                  <w:vAlign w:val="center"/>
                </w:tcPr>
                <w:p w14:paraId="333D8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9.6</w:t>
                  </w:r>
                </w:p>
              </w:tc>
              <w:tc>
                <w:tcPr>
                  <w:tcW w:w="707" w:type="dxa"/>
                  <w:noWrap w:val="0"/>
                  <w:vAlign w:val="center"/>
                </w:tcPr>
                <w:p w14:paraId="16E3F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365</w:t>
                  </w:r>
                </w:p>
              </w:tc>
              <w:tc>
                <w:tcPr>
                  <w:tcW w:w="941" w:type="dxa"/>
                  <w:noWrap w:val="0"/>
                  <w:vAlign w:val="center"/>
                </w:tcPr>
                <w:p w14:paraId="7DAF4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3504</w:t>
                  </w:r>
                </w:p>
              </w:tc>
              <w:tc>
                <w:tcPr>
                  <w:tcW w:w="915" w:type="dxa"/>
                  <w:noWrap w:val="0"/>
                  <w:vAlign w:val="center"/>
                </w:tcPr>
                <w:p w14:paraId="26F7B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7.68</w:t>
                  </w:r>
                </w:p>
              </w:tc>
              <w:tc>
                <w:tcPr>
                  <w:tcW w:w="849" w:type="dxa"/>
                  <w:noWrap w:val="0"/>
                  <w:vAlign w:val="center"/>
                </w:tcPr>
                <w:p w14:paraId="7BB6A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2803.2</w:t>
                  </w:r>
                </w:p>
              </w:tc>
              <w:tc>
                <w:tcPr>
                  <w:tcW w:w="1071" w:type="dxa"/>
                  <w:vMerge w:val="continue"/>
                  <w:noWrap w:val="0"/>
                  <w:vAlign w:val="center"/>
                </w:tcPr>
                <w:p w14:paraId="2E173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98" w:type="dxa"/>
                  <w:vMerge w:val="continue"/>
                  <w:noWrap w:val="0"/>
                  <w:vAlign w:val="center"/>
                </w:tcPr>
                <w:p w14:paraId="5F508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3AEA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6BCBF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生活废水</w:t>
                  </w:r>
                </w:p>
              </w:tc>
              <w:tc>
                <w:tcPr>
                  <w:tcW w:w="926" w:type="dxa"/>
                  <w:noWrap w:val="0"/>
                  <w:vAlign w:val="center"/>
                </w:tcPr>
                <w:p w14:paraId="5D81C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707" w:type="dxa"/>
                  <w:noWrap w:val="0"/>
                  <w:vAlign w:val="center"/>
                </w:tcPr>
                <w:p w14:paraId="0E967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365</w:t>
                  </w:r>
                </w:p>
              </w:tc>
              <w:tc>
                <w:tcPr>
                  <w:tcW w:w="941" w:type="dxa"/>
                  <w:noWrap w:val="0"/>
                  <w:vAlign w:val="center"/>
                </w:tcPr>
                <w:p w14:paraId="72521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730</w:t>
                  </w:r>
                </w:p>
              </w:tc>
              <w:tc>
                <w:tcPr>
                  <w:tcW w:w="915" w:type="dxa"/>
                  <w:noWrap w:val="0"/>
                  <w:vAlign w:val="center"/>
                </w:tcPr>
                <w:p w14:paraId="73BB6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849" w:type="dxa"/>
                  <w:noWrap w:val="0"/>
                  <w:vAlign w:val="center"/>
                </w:tcPr>
                <w:p w14:paraId="21363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584</w:t>
                  </w:r>
                </w:p>
              </w:tc>
              <w:tc>
                <w:tcPr>
                  <w:tcW w:w="1071" w:type="dxa"/>
                  <w:vMerge w:val="continue"/>
                  <w:noWrap w:val="0"/>
                  <w:vAlign w:val="center"/>
                </w:tcPr>
                <w:p w14:paraId="51B45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98" w:type="dxa"/>
                  <w:vMerge w:val="continue"/>
                  <w:noWrap w:val="0"/>
                  <w:vAlign w:val="center"/>
                </w:tcPr>
                <w:p w14:paraId="21AB8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563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4D23B1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合计</w:t>
                  </w:r>
                </w:p>
              </w:tc>
              <w:tc>
                <w:tcPr>
                  <w:tcW w:w="926" w:type="dxa"/>
                  <w:noWrap w:val="0"/>
                  <w:vAlign w:val="center"/>
                </w:tcPr>
                <w:p w14:paraId="22821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11.65</w:t>
                  </w:r>
                </w:p>
              </w:tc>
              <w:tc>
                <w:tcPr>
                  <w:tcW w:w="707" w:type="dxa"/>
                  <w:noWrap w:val="0"/>
                  <w:vAlign w:val="center"/>
                </w:tcPr>
                <w:p w14:paraId="07C42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941" w:type="dxa"/>
                  <w:noWrap w:val="0"/>
                  <w:vAlign w:val="center"/>
                </w:tcPr>
                <w:p w14:paraId="7B691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4252.25</w:t>
                  </w:r>
                </w:p>
              </w:tc>
              <w:tc>
                <w:tcPr>
                  <w:tcW w:w="915" w:type="dxa"/>
                  <w:noWrap w:val="0"/>
                  <w:vAlign w:val="center"/>
                </w:tcPr>
                <w:p w14:paraId="70D8A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9.32</w:t>
                  </w:r>
                </w:p>
              </w:tc>
              <w:tc>
                <w:tcPr>
                  <w:tcW w:w="849" w:type="dxa"/>
                  <w:noWrap w:val="0"/>
                  <w:vAlign w:val="center"/>
                </w:tcPr>
                <w:p w14:paraId="30157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3401.8</w:t>
                  </w:r>
                </w:p>
              </w:tc>
              <w:tc>
                <w:tcPr>
                  <w:tcW w:w="1071" w:type="dxa"/>
                  <w:noWrap w:val="0"/>
                  <w:vAlign w:val="center"/>
                </w:tcPr>
                <w:p w14:paraId="53F56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w:t>
                  </w:r>
                </w:p>
              </w:tc>
              <w:tc>
                <w:tcPr>
                  <w:tcW w:w="2298" w:type="dxa"/>
                  <w:vMerge w:val="continue"/>
                  <w:noWrap w:val="0"/>
                  <w:vAlign w:val="center"/>
                </w:tcPr>
                <w:p w14:paraId="0861F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r>
          </w:tbl>
          <w:p w14:paraId="08AEFD6E">
            <w:pPr>
              <w:pStyle w:val="10"/>
              <w:tabs>
                <w:tab w:val="left" w:pos="7200"/>
              </w:tabs>
              <w:spacing w:line="360" w:lineRule="auto"/>
              <w:ind w:firstLine="482"/>
              <w:jc w:val="both"/>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原</w:t>
            </w:r>
            <w:r>
              <w:rPr>
                <w:rFonts w:hint="eastAsia" w:ascii="Times New Roman" w:hAnsi="Times New Roman" w:cs="Times New Roman"/>
                <w:b/>
                <w:bCs/>
                <w:color w:val="auto"/>
                <w:sz w:val="24"/>
                <w:szCs w:val="24"/>
                <w:lang w:eastAsia="zh-CN"/>
              </w:rPr>
              <w:t>项目污水处理站出水水质</w:t>
            </w:r>
            <w:r>
              <w:rPr>
                <w:rFonts w:hint="default" w:ascii="Times New Roman" w:hAnsi="Times New Roman" w:cs="Times New Roman"/>
                <w:b/>
                <w:bCs/>
                <w:color w:val="auto"/>
                <w:sz w:val="24"/>
                <w:szCs w:val="24"/>
              </w:rPr>
              <w:t>验收监测结果</w:t>
            </w:r>
          </w:p>
          <w:p w14:paraId="59B990AD">
            <w:pPr>
              <w:pStyle w:val="10"/>
              <w:tabs>
                <w:tab w:val="left" w:pos="7200"/>
              </w:tabs>
              <w:spacing w:line="360" w:lineRule="auto"/>
              <w:ind w:firstLine="482"/>
              <w:jc w:val="both"/>
              <w:rPr>
                <w:rFonts w:hint="default" w:ascii="Times New Roman" w:hAnsi="Times New Roman" w:cs="Times New Roman" w:eastAsiaTheme="minorEastAsia"/>
                <w:b w:val="0"/>
                <w:bCs/>
                <w:color w:val="auto"/>
                <w:sz w:val="24"/>
                <w:szCs w:val="24"/>
                <w:lang w:eastAsia="zh-CN"/>
              </w:rPr>
            </w:pPr>
            <w:r>
              <w:rPr>
                <w:rFonts w:hint="eastAsia" w:ascii="Times New Roman" w:cs="Times New Roman"/>
                <w:b w:val="0"/>
                <w:bCs/>
                <w:color w:val="auto"/>
                <w:sz w:val="24"/>
                <w:szCs w:val="24"/>
                <w:lang w:val="en-US" w:eastAsia="zh-CN"/>
              </w:rPr>
              <w:t>根据“昆明长青慈宁精神病医院扩建项目竣工环境保护验收检测”</w:t>
            </w:r>
            <w:r>
              <w:rPr>
                <w:rFonts w:hint="eastAsia" w:ascii="Times New Roman" w:hAnsi="Times New Roman" w:cs="Times New Roman"/>
                <w:b w:val="0"/>
                <w:bCs/>
                <w:color w:val="auto"/>
                <w:sz w:val="24"/>
                <w:szCs w:val="24"/>
                <w:lang w:val="en-US" w:eastAsia="zh-CN"/>
              </w:rPr>
              <w:t>原</w:t>
            </w:r>
            <w:r>
              <w:rPr>
                <w:rFonts w:hint="default" w:ascii="Times New Roman" w:hAnsi="Times New Roman" w:cs="Times New Roman"/>
                <w:b w:val="0"/>
                <w:bCs/>
                <w:color w:val="auto"/>
                <w:sz w:val="24"/>
                <w:szCs w:val="24"/>
              </w:rPr>
              <w:t>项目</w:t>
            </w:r>
            <w:r>
              <w:rPr>
                <w:rFonts w:hint="default" w:ascii="Times New Roman" w:hAnsi="Times New Roman" w:cs="Times New Roman"/>
                <w:b w:val="0"/>
                <w:bCs/>
                <w:color w:val="auto"/>
                <w:sz w:val="24"/>
                <w:szCs w:val="24"/>
                <w:lang w:eastAsia="zh-CN"/>
              </w:rPr>
              <w:t>污水处理站出水水质</w:t>
            </w:r>
            <w:r>
              <w:rPr>
                <w:rFonts w:hint="default" w:ascii="Times New Roman" w:hAnsi="Times New Roman" w:cs="Times New Roman"/>
                <w:b w:val="0"/>
                <w:bCs/>
                <w:color w:val="auto"/>
                <w:sz w:val="24"/>
                <w:szCs w:val="24"/>
              </w:rPr>
              <w:t>监测结果见下表：</w:t>
            </w:r>
          </w:p>
          <w:p w14:paraId="629A5AF6">
            <w:pPr>
              <w:ind w:firstLine="0" w:firstLineChars="0"/>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eastAsia="zh-CN"/>
              </w:rPr>
              <w:t>-</w:t>
            </w:r>
            <w:r>
              <w:rPr>
                <w:rFonts w:hint="eastAsia" w:cs="Times New Roman" w:eastAsiaTheme="minorEastAsia"/>
                <w:b/>
                <w:color w:val="auto"/>
                <w:sz w:val="21"/>
                <w:szCs w:val="21"/>
                <w:lang w:val="en-US" w:eastAsia="zh-CN"/>
              </w:rPr>
              <w:t>10</w:t>
            </w:r>
            <w:r>
              <w:rPr>
                <w:rFonts w:hint="default" w:ascii="Times New Roman" w:hAnsi="Times New Roman" w:cs="Times New Roman" w:eastAsiaTheme="minorEastAsia"/>
                <w:b/>
                <w:color w:val="auto"/>
                <w:sz w:val="21"/>
                <w:szCs w:val="21"/>
                <w:lang w:eastAsia="zh-CN"/>
              </w:rPr>
              <w:t xml:space="preserve">  废水检测结果一览表</w:t>
            </w:r>
            <w:r>
              <w:rPr>
                <w:rFonts w:hint="eastAsia"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lang w:eastAsia="zh-CN"/>
              </w:rPr>
              <w:t>单位：mg/L</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10"/>
              <w:gridCol w:w="959"/>
              <w:gridCol w:w="961"/>
              <w:gridCol w:w="961"/>
              <w:gridCol w:w="961"/>
              <w:gridCol w:w="961"/>
              <w:gridCol w:w="961"/>
              <w:gridCol w:w="962"/>
            </w:tblGrid>
            <w:tr w14:paraId="0514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AF3A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检测点位</w:t>
                  </w:r>
                </w:p>
              </w:tc>
              <w:tc>
                <w:tcPr>
                  <w:tcW w:w="4526" w:type="pct"/>
                  <w:gridSpan w:val="8"/>
                  <w:vAlign w:val="center"/>
                </w:tcPr>
                <w:p w14:paraId="7B87F52A">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eastAsia" w:ascii="宋体" w:hAnsi="宋体" w:eastAsia="宋体" w:cs="宋体"/>
                      <w:b/>
                      <w:bCs/>
                      <w:color w:val="auto"/>
                      <w:sz w:val="21"/>
                      <w:szCs w:val="21"/>
                      <w:highlight w:val="none"/>
                      <w:lang w:val="en-US" w:eastAsia="zh-CN"/>
                    </w:rPr>
                    <w:t>污水处理站排放口</w:t>
                  </w:r>
                </w:p>
              </w:tc>
            </w:tr>
            <w:tr w14:paraId="31E0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4E846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采样日期</w:t>
                  </w:r>
                </w:p>
              </w:tc>
              <w:tc>
                <w:tcPr>
                  <w:tcW w:w="2217" w:type="pct"/>
                  <w:gridSpan w:val="4"/>
                  <w:vAlign w:val="center"/>
                </w:tcPr>
                <w:p w14:paraId="5DC50BE1">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2022/5/8</w:t>
                  </w:r>
                </w:p>
              </w:tc>
              <w:tc>
                <w:tcPr>
                  <w:tcW w:w="2308" w:type="pct"/>
                  <w:gridSpan w:val="4"/>
                  <w:vAlign w:val="center"/>
                </w:tcPr>
                <w:p w14:paraId="21F8E3C8">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2022/5/9</w:t>
                  </w:r>
                </w:p>
              </w:tc>
            </w:tr>
            <w:tr w14:paraId="4B23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4CC2A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采样时间</w:t>
                  </w:r>
                </w:p>
              </w:tc>
              <w:tc>
                <w:tcPr>
                  <w:tcW w:w="487" w:type="pct"/>
                  <w:vAlign w:val="center"/>
                </w:tcPr>
                <w:p w14:paraId="758D07F4">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08:17</w:t>
                  </w:r>
                </w:p>
              </w:tc>
              <w:tc>
                <w:tcPr>
                  <w:tcW w:w="576" w:type="pct"/>
                  <w:vAlign w:val="center"/>
                </w:tcPr>
                <w:p w14:paraId="3E029E04">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12:30</w:t>
                  </w:r>
                </w:p>
              </w:tc>
              <w:tc>
                <w:tcPr>
                  <w:tcW w:w="577" w:type="pct"/>
                  <w:vAlign w:val="center"/>
                </w:tcPr>
                <w:p w14:paraId="44709D2E">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16:41</w:t>
                  </w:r>
                </w:p>
              </w:tc>
              <w:tc>
                <w:tcPr>
                  <w:tcW w:w="577" w:type="pct"/>
                  <w:vAlign w:val="center"/>
                </w:tcPr>
                <w:p w14:paraId="149426C2">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20:46</w:t>
                  </w:r>
                </w:p>
              </w:tc>
              <w:tc>
                <w:tcPr>
                  <w:tcW w:w="577" w:type="pct"/>
                  <w:vAlign w:val="center"/>
                </w:tcPr>
                <w:p w14:paraId="552D66D5">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08:40</w:t>
                  </w:r>
                </w:p>
              </w:tc>
              <w:tc>
                <w:tcPr>
                  <w:tcW w:w="577" w:type="pct"/>
                  <w:vAlign w:val="center"/>
                </w:tcPr>
                <w:p w14:paraId="20D3068B">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13:51</w:t>
                  </w:r>
                </w:p>
              </w:tc>
              <w:tc>
                <w:tcPr>
                  <w:tcW w:w="577" w:type="pct"/>
                  <w:vAlign w:val="center"/>
                </w:tcPr>
                <w:p w14:paraId="488110AF">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17:01</w:t>
                  </w:r>
                </w:p>
              </w:tc>
              <w:tc>
                <w:tcPr>
                  <w:tcW w:w="577" w:type="pct"/>
                  <w:vAlign w:val="center"/>
                </w:tcPr>
                <w:p w14:paraId="27B269FC">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21:10</w:t>
                  </w:r>
                </w:p>
              </w:tc>
            </w:tr>
            <w:tr w14:paraId="04F4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6FD7A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样品编号</w:t>
                  </w:r>
                </w:p>
              </w:tc>
              <w:tc>
                <w:tcPr>
                  <w:tcW w:w="487" w:type="pct"/>
                  <w:vAlign w:val="center"/>
                </w:tcPr>
                <w:p w14:paraId="764F35CB">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FS20220412005-1-1-1</w:t>
                  </w:r>
                </w:p>
              </w:tc>
              <w:tc>
                <w:tcPr>
                  <w:tcW w:w="576" w:type="pct"/>
                  <w:vAlign w:val="center"/>
                </w:tcPr>
                <w:p w14:paraId="61FCB1B9">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FS20220412005-1-1-2</w:t>
                  </w:r>
                </w:p>
              </w:tc>
              <w:tc>
                <w:tcPr>
                  <w:tcW w:w="577" w:type="pct"/>
                  <w:vAlign w:val="center"/>
                </w:tcPr>
                <w:p w14:paraId="04707F41">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FS20220412005-1-1-3</w:t>
                  </w:r>
                </w:p>
              </w:tc>
              <w:tc>
                <w:tcPr>
                  <w:tcW w:w="577" w:type="pct"/>
                  <w:vAlign w:val="center"/>
                </w:tcPr>
                <w:p w14:paraId="7D9FD85F">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FS20220412005-1-1-4</w:t>
                  </w:r>
                </w:p>
              </w:tc>
              <w:tc>
                <w:tcPr>
                  <w:tcW w:w="577" w:type="pct"/>
                  <w:vAlign w:val="center"/>
                </w:tcPr>
                <w:p w14:paraId="5F613438">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FS20220412005-1-2-1</w:t>
                  </w:r>
                </w:p>
              </w:tc>
              <w:tc>
                <w:tcPr>
                  <w:tcW w:w="577" w:type="pct"/>
                  <w:vAlign w:val="center"/>
                </w:tcPr>
                <w:p w14:paraId="2EF4EFCE">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FS20220412005-1-2-2</w:t>
                  </w:r>
                </w:p>
              </w:tc>
              <w:tc>
                <w:tcPr>
                  <w:tcW w:w="577" w:type="pct"/>
                  <w:vAlign w:val="center"/>
                </w:tcPr>
                <w:p w14:paraId="4396EDA2">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FS20220412005-1-2-3</w:t>
                  </w:r>
                </w:p>
              </w:tc>
              <w:tc>
                <w:tcPr>
                  <w:tcW w:w="577" w:type="pct"/>
                  <w:vAlign w:val="center"/>
                </w:tcPr>
                <w:p w14:paraId="59303B0E">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FS20220412005-1-2-4</w:t>
                  </w:r>
                </w:p>
              </w:tc>
            </w:tr>
            <w:tr w14:paraId="057B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1757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pH值</w:t>
                  </w:r>
                </w:p>
                <w:p w14:paraId="6CFF98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（无量纲）</w:t>
                  </w:r>
                </w:p>
              </w:tc>
              <w:tc>
                <w:tcPr>
                  <w:tcW w:w="487" w:type="pct"/>
                  <w:vAlign w:val="center"/>
                </w:tcPr>
                <w:p w14:paraId="339F34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6" w:type="pct"/>
                  <w:vAlign w:val="center"/>
                </w:tcPr>
                <w:p w14:paraId="3DD52B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23BF8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w:t>
                  </w:r>
                </w:p>
              </w:tc>
              <w:tc>
                <w:tcPr>
                  <w:tcW w:w="577" w:type="pct"/>
                  <w:vAlign w:val="center"/>
                </w:tcPr>
                <w:p w14:paraId="7EB43A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0D8C9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69648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29C69D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437C8E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r>
            <w:tr w14:paraId="4C52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1D7DE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化学需氧量</w:t>
                  </w:r>
                </w:p>
              </w:tc>
              <w:tc>
                <w:tcPr>
                  <w:tcW w:w="487" w:type="pct"/>
                  <w:vAlign w:val="center"/>
                </w:tcPr>
                <w:p w14:paraId="48E99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6" w:type="pct"/>
                  <w:vAlign w:val="center"/>
                </w:tcPr>
                <w:p w14:paraId="55AD9D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7" w:type="pct"/>
                  <w:vAlign w:val="center"/>
                </w:tcPr>
                <w:p w14:paraId="611B7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577" w:type="pct"/>
                  <w:vAlign w:val="center"/>
                </w:tcPr>
                <w:p w14:paraId="2212B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577" w:type="pct"/>
                  <w:vAlign w:val="center"/>
                </w:tcPr>
                <w:p w14:paraId="45690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577" w:type="pct"/>
                  <w:vAlign w:val="center"/>
                </w:tcPr>
                <w:p w14:paraId="768EA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577" w:type="pct"/>
                  <w:vAlign w:val="center"/>
                </w:tcPr>
                <w:p w14:paraId="53ABF4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577" w:type="pct"/>
                  <w:vAlign w:val="center"/>
                </w:tcPr>
                <w:p w14:paraId="09FDC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r>
            <w:tr w14:paraId="050E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7E4A0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五日生化需氧量</w:t>
                  </w:r>
                </w:p>
              </w:tc>
              <w:tc>
                <w:tcPr>
                  <w:tcW w:w="487" w:type="pct"/>
                  <w:vAlign w:val="center"/>
                </w:tcPr>
                <w:p w14:paraId="4040F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2.6</w:t>
                  </w:r>
                </w:p>
              </w:tc>
              <w:tc>
                <w:tcPr>
                  <w:tcW w:w="576" w:type="pct"/>
                  <w:vAlign w:val="center"/>
                </w:tcPr>
                <w:p w14:paraId="44359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2.7</w:t>
                  </w:r>
                </w:p>
              </w:tc>
              <w:tc>
                <w:tcPr>
                  <w:tcW w:w="577" w:type="pct"/>
                  <w:vAlign w:val="center"/>
                </w:tcPr>
                <w:p w14:paraId="115A7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2.8</w:t>
                  </w:r>
                </w:p>
              </w:tc>
              <w:tc>
                <w:tcPr>
                  <w:tcW w:w="577" w:type="pct"/>
                  <w:vAlign w:val="center"/>
                </w:tcPr>
                <w:p w14:paraId="5D6D3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3.0 </w:t>
                  </w:r>
                </w:p>
              </w:tc>
              <w:tc>
                <w:tcPr>
                  <w:tcW w:w="577" w:type="pct"/>
                  <w:vAlign w:val="center"/>
                </w:tcPr>
                <w:p w14:paraId="10592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2.8</w:t>
                  </w:r>
                </w:p>
              </w:tc>
              <w:tc>
                <w:tcPr>
                  <w:tcW w:w="577" w:type="pct"/>
                  <w:vAlign w:val="center"/>
                </w:tcPr>
                <w:p w14:paraId="48463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w:t>
                  </w:r>
                </w:p>
              </w:tc>
              <w:tc>
                <w:tcPr>
                  <w:tcW w:w="577" w:type="pct"/>
                  <w:vAlign w:val="center"/>
                </w:tcPr>
                <w:p w14:paraId="58D1E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3.3</w:t>
                  </w:r>
                </w:p>
              </w:tc>
              <w:tc>
                <w:tcPr>
                  <w:tcW w:w="577" w:type="pct"/>
                  <w:vAlign w:val="center"/>
                </w:tcPr>
                <w:p w14:paraId="5EFD2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w:t>
                  </w:r>
                </w:p>
              </w:tc>
            </w:tr>
            <w:tr w14:paraId="64BD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15A661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悬浮物</w:t>
                  </w:r>
                </w:p>
              </w:tc>
              <w:tc>
                <w:tcPr>
                  <w:tcW w:w="487" w:type="pct"/>
                  <w:vAlign w:val="center"/>
                </w:tcPr>
                <w:p w14:paraId="4CA76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6" w:type="pct"/>
                  <w:vAlign w:val="center"/>
                </w:tcPr>
                <w:p w14:paraId="31146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577" w:type="pct"/>
                  <w:vAlign w:val="center"/>
                </w:tcPr>
                <w:p w14:paraId="42120B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577" w:type="pct"/>
                  <w:vAlign w:val="center"/>
                </w:tcPr>
                <w:p w14:paraId="0BF8A8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577" w:type="pct"/>
                  <w:vAlign w:val="center"/>
                </w:tcPr>
                <w:p w14:paraId="03E04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577" w:type="pct"/>
                  <w:vAlign w:val="center"/>
                </w:tcPr>
                <w:p w14:paraId="3FB903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7" w:type="pct"/>
                  <w:vAlign w:val="center"/>
                </w:tcPr>
                <w:p w14:paraId="0C08AA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577" w:type="pct"/>
                  <w:vAlign w:val="center"/>
                </w:tcPr>
                <w:p w14:paraId="09E7D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r>
            <w:tr w14:paraId="6780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75275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氨氮</w:t>
                  </w:r>
                </w:p>
              </w:tc>
              <w:tc>
                <w:tcPr>
                  <w:tcW w:w="487" w:type="pct"/>
                  <w:vAlign w:val="center"/>
                </w:tcPr>
                <w:p w14:paraId="1A381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0.662</w:t>
                  </w:r>
                </w:p>
              </w:tc>
              <w:tc>
                <w:tcPr>
                  <w:tcW w:w="576" w:type="pct"/>
                  <w:vAlign w:val="center"/>
                </w:tcPr>
                <w:p w14:paraId="16C67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0.666</w:t>
                  </w:r>
                </w:p>
              </w:tc>
              <w:tc>
                <w:tcPr>
                  <w:tcW w:w="577" w:type="pct"/>
                  <w:vAlign w:val="center"/>
                </w:tcPr>
                <w:p w14:paraId="24D7D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0.659</w:t>
                  </w:r>
                </w:p>
              </w:tc>
              <w:tc>
                <w:tcPr>
                  <w:tcW w:w="577" w:type="pct"/>
                  <w:vAlign w:val="center"/>
                </w:tcPr>
                <w:p w14:paraId="3B49C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0.673</w:t>
                  </w:r>
                </w:p>
              </w:tc>
              <w:tc>
                <w:tcPr>
                  <w:tcW w:w="577" w:type="pct"/>
                  <w:vAlign w:val="center"/>
                </w:tcPr>
                <w:p w14:paraId="2F62D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0.660 </w:t>
                  </w:r>
                </w:p>
              </w:tc>
              <w:tc>
                <w:tcPr>
                  <w:tcW w:w="577" w:type="pct"/>
                  <w:vAlign w:val="center"/>
                </w:tcPr>
                <w:p w14:paraId="71853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0.669</w:t>
                  </w:r>
                </w:p>
              </w:tc>
              <w:tc>
                <w:tcPr>
                  <w:tcW w:w="577" w:type="pct"/>
                  <w:vAlign w:val="center"/>
                </w:tcPr>
                <w:p w14:paraId="20D7F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0.658</w:t>
                  </w:r>
                </w:p>
              </w:tc>
              <w:tc>
                <w:tcPr>
                  <w:tcW w:w="577" w:type="pct"/>
                  <w:vAlign w:val="center"/>
                </w:tcPr>
                <w:p w14:paraId="1DE6F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0.665</w:t>
                  </w:r>
                </w:p>
              </w:tc>
            </w:tr>
            <w:tr w14:paraId="2CB9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6E9EC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动植物油类</w:t>
                  </w:r>
                </w:p>
              </w:tc>
              <w:tc>
                <w:tcPr>
                  <w:tcW w:w="487" w:type="pct"/>
                  <w:vAlign w:val="center"/>
                </w:tcPr>
                <w:p w14:paraId="7AB4E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6" w:type="pct"/>
                  <w:vAlign w:val="center"/>
                </w:tcPr>
                <w:p w14:paraId="23C75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087D5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115C8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47F860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19E30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0D6FC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49010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r>
            <w:tr w14:paraId="5BC8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3916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石油类</w:t>
                  </w:r>
                </w:p>
              </w:tc>
              <w:tc>
                <w:tcPr>
                  <w:tcW w:w="487" w:type="pct"/>
                  <w:vAlign w:val="center"/>
                </w:tcPr>
                <w:p w14:paraId="7E71E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6" w:type="pct"/>
                  <w:vAlign w:val="center"/>
                </w:tcPr>
                <w:p w14:paraId="641D0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5A608F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02BB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42CA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E642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BD50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F6DCF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r>
            <w:tr w14:paraId="644C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0BFE8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阴离子表面活性剂</w:t>
                  </w:r>
                </w:p>
              </w:tc>
              <w:tc>
                <w:tcPr>
                  <w:tcW w:w="487" w:type="pct"/>
                  <w:vAlign w:val="center"/>
                </w:tcPr>
                <w:p w14:paraId="5105E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6" w:type="pct"/>
                  <w:vAlign w:val="center"/>
                </w:tcPr>
                <w:p w14:paraId="65B09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324BD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7435D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323FF4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43CA7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63285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04BBB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r>
            <w:tr w14:paraId="2337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32173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色度（倍）</w:t>
                  </w:r>
                </w:p>
              </w:tc>
              <w:tc>
                <w:tcPr>
                  <w:tcW w:w="487" w:type="pct"/>
                  <w:vAlign w:val="center"/>
                </w:tcPr>
                <w:p w14:paraId="63CF8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6" w:type="pct"/>
                  <w:vAlign w:val="center"/>
                </w:tcPr>
                <w:p w14:paraId="004B2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17E87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13943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02D1C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2CE427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649D8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7CFE9F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r>
            <w:tr w14:paraId="6A78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0FD6A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氰化物</w:t>
                  </w:r>
                </w:p>
              </w:tc>
              <w:tc>
                <w:tcPr>
                  <w:tcW w:w="487" w:type="pct"/>
                  <w:vAlign w:val="center"/>
                </w:tcPr>
                <w:p w14:paraId="1B057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6" w:type="pct"/>
                  <w:vAlign w:val="center"/>
                </w:tcPr>
                <w:p w14:paraId="51FDC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58380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59CEF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4BBB80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77CCF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1E46E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7E5AF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r>
            <w:tr w14:paraId="7387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149F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挥发酚</w:t>
                  </w:r>
                </w:p>
              </w:tc>
              <w:tc>
                <w:tcPr>
                  <w:tcW w:w="487" w:type="pct"/>
                  <w:vAlign w:val="center"/>
                </w:tcPr>
                <w:p w14:paraId="43B6B8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6" w:type="pct"/>
                  <w:vAlign w:val="center"/>
                </w:tcPr>
                <w:p w14:paraId="14BEA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38895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49A98F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3507E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1129E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6EC3E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4DBC0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r>
            <w:tr w14:paraId="6733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47565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总磷</w:t>
                  </w:r>
                </w:p>
              </w:tc>
              <w:tc>
                <w:tcPr>
                  <w:tcW w:w="487" w:type="pct"/>
                  <w:vAlign w:val="center"/>
                </w:tcPr>
                <w:p w14:paraId="3C0E6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0.09</w:t>
                  </w:r>
                </w:p>
              </w:tc>
              <w:tc>
                <w:tcPr>
                  <w:tcW w:w="576" w:type="pct"/>
                  <w:vAlign w:val="center"/>
                </w:tcPr>
                <w:p w14:paraId="149D7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0.12</w:t>
                  </w:r>
                </w:p>
              </w:tc>
              <w:tc>
                <w:tcPr>
                  <w:tcW w:w="577" w:type="pct"/>
                  <w:vAlign w:val="center"/>
                </w:tcPr>
                <w:p w14:paraId="4CF5D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0.11</w:t>
                  </w:r>
                </w:p>
              </w:tc>
              <w:tc>
                <w:tcPr>
                  <w:tcW w:w="577" w:type="pct"/>
                  <w:vAlign w:val="center"/>
                </w:tcPr>
                <w:p w14:paraId="28B81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0.10 </w:t>
                  </w:r>
                </w:p>
              </w:tc>
              <w:tc>
                <w:tcPr>
                  <w:tcW w:w="577" w:type="pct"/>
                  <w:vAlign w:val="center"/>
                </w:tcPr>
                <w:p w14:paraId="3AE70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0.09</w:t>
                  </w:r>
                </w:p>
              </w:tc>
              <w:tc>
                <w:tcPr>
                  <w:tcW w:w="577" w:type="pct"/>
                  <w:vAlign w:val="center"/>
                </w:tcPr>
                <w:p w14:paraId="4023F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0.10 </w:t>
                  </w:r>
                </w:p>
              </w:tc>
              <w:tc>
                <w:tcPr>
                  <w:tcW w:w="577" w:type="pct"/>
                  <w:vAlign w:val="center"/>
                </w:tcPr>
                <w:p w14:paraId="25477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0.08</w:t>
                  </w:r>
                </w:p>
              </w:tc>
              <w:tc>
                <w:tcPr>
                  <w:tcW w:w="577" w:type="pct"/>
                  <w:vAlign w:val="center"/>
                </w:tcPr>
                <w:p w14:paraId="4CC2C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0.09</w:t>
                  </w:r>
                </w:p>
              </w:tc>
            </w:tr>
            <w:tr w14:paraId="79FD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53747F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总氯</w:t>
                  </w:r>
                </w:p>
              </w:tc>
              <w:tc>
                <w:tcPr>
                  <w:tcW w:w="487" w:type="pct"/>
                  <w:vAlign w:val="center"/>
                </w:tcPr>
                <w:p w14:paraId="27CFB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3.17</w:t>
                  </w:r>
                </w:p>
              </w:tc>
              <w:tc>
                <w:tcPr>
                  <w:tcW w:w="576" w:type="pct"/>
                  <w:vAlign w:val="center"/>
                </w:tcPr>
                <w:p w14:paraId="29927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3.14</w:t>
                  </w:r>
                </w:p>
              </w:tc>
              <w:tc>
                <w:tcPr>
                  <w:tcW w:w="577" w:type="pct"/>
                  <w:vAlign w:val="center"/>
                </w:tcPr>
                <w:p w14:paraId="7A481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3.20</w:t>
                  </w:r>
                </w:p>
              </w:tc>
              <w:tc>
                <w:tcPr>
                  <w:tcW w:w="577" w:type="pct"/>
                  <w:vAlign w:val="center"/>
                </w:tcPr>
                <w:p w14:paraId="295B5B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3.18</w:t>
                  </w:r>
                </w:p>
              </w:tc>
              <w:tc>
                <w:tcPr>
                  <w:tcW w:w="577" w:type="pct"/>
                  <w:vAlign w:val="center"/>
                </w:tcPr>
                <w:p w14:paraId="6A1BB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3.16</w:t>
                  </w:r>
                </w:p>
              </w:tc>
              <w:tc>
                <w:tcPr>
                  <w:tcW w:w="577" w:type="pct"/>
                  <w:vAlign w:val="center"/>
                </w:tcPr>
                <w:p w14:paraId="711F75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3.21</w:t>
                  </w:r>
                </w:p>
              </w:tc>
              <w:tc>
                <w:tcPr>
                  <w:tcW w:w="577" w:type="pct"/>
                  <w:vAlign w:val="center"/>
                </w:tcPr>
                <w:p w14:paraId="50DAE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3.17</w:t>
                  </w:r>
                </w:p>
              </w:tc>
              <w:tc>
                <w:tcPr>
                  <w:tcW w:w="577" w:type="pct"/>
                  <w:vAlign w:val="center"/>
                </w:tcPr>
                <w:p w14:paraId="06C92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3.19</w:t>
                  </w:r>
                </w:p>
              </w:tc>
            </w:tr>
            <w:tr w14:paraId="7069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3CA44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粪大肠菌群（MPN/L）</w:t>
                  </w:r>
                </w:p>
              </w:tc>
              <w:tc>
                <w:tcPr>
                  <w:tcW w:w="487" w:type="pct"/>
                  <w:vAlign w:val="center"/>
                </w:tcPr>
                <w:p w14:paraId="48C01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6" w:type="pct"/>
                  <w:vAlign w:val="center"/>
                </w:tcPr>
                <w:p w14:paraId="0ACAB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687AE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3B3C9B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0BE86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40E45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4E56F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32EB33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2.2×10</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49FA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7CC6712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b/>
                      <w:bCs/>
                      <w:color w:val="auto"/>
                      <w:sz w:val="21"/>
                      <w:szCs w:val="21"/>
                      <w:highlight w:val="none"/>
                    </w:rPr>
                    <w:t>备  注</w:t>
                  </w:r>
                </w:p>
              </w:tc>
              <w:tc>
                <w:tcPr>
                  <w:tcW w:w="4526" w:type="pct"/>
                  <w:gridSpan w:val="8"/>
                  <w:vAlign w:val="center"/>
                </w:tcPr>
                <w:p w14:paraId="54034F1C">
                  <w:pPr>
                    <w:keepNext w:val="0"/>
                    <w:keepLines w:val="0"/>
                    <w:pageBreakBefore w:val="0"/>
                    <w:widowControl w:val="0"/>
                    <w:kinsoku/>
                    <w:wordWrap/>
                    <w:overflowPunct/>
                    <w:topLinePunct w:val="0"/>
                    <w:autoSpaceDE/>
                    <w:autoSpaceDN/>
                    <w:bidi w:val="0"/>
                    <w:spacing w:line="240" w:lineRule="auto"/>
                    <w:ind w:left="-105" w:leftChars="-5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rPr>
                    <w:t>数据中有“L”表示结果低出方法检出限，“L”前的数字表示检出限的数值。</w:t>
                  </w:r>
                </w:p>
              </w:tc>
            </w:tr>
          </w:tbl>
          <w:p w14:paraId="42B61AAC">
            <w:pPr>
              <w:pStyle w:val="10"/>
              <w:tabs>
                <w:tab w:val="left" w:pos="7200"/>
              </w:tabs>
              <w:spacing w:line="360" w:lineRule="auto"/>
              <w:ind w:firstLine="482"/>
              <w:jc w:val="both"/>
              <w:rPr>
                <w:rFonts w:hint="default" w:ascii="Times New Roman" w:hAnsi="Times New Roman" w:cs="Times New Roman"/>
                <w:b w:val="0"/>
                <w:bCs w:val="0"/>
                <w:color w:val="auto"/>
                <w:sz w:val="24"/>
                <w:szCs w:val="24"/>
                <w:lang w:val="en-US" w:eastAsia="zh-CN"/>
              </w:rPr>
            </w:pPr>
            <w:r>
              <w:rPr>
                <w:rFonts w:hint="eastAsia" w:ascii="Times New Roman" w:cs="Times New Roman"/>
                <w:b w:val="0"/>
                <w:bCs w:val="0"/>
                <w:color w:val="auto"/>
                <w:sz w:val="24"/>
                <w:szCs w:val="24"/>
                <w:lang w:val="en-US" w:eastAsia="zh-CN"/>
              </w:rPr>
              <w:t>由上表可知</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原</w:t>
            </w:r>
            <w:r>
              <w:rPr>
                <w:rFonts w:hint="default" w:ascii="Times New Roman" w:hAnsi="Times New Roman" w:cs="Times New Roman"/>
                <w:b w:val="0"/>
                <w:bCs w:val="0"/>
                <w:color w:val="auto"/>
                <w:sz w:val="24"/>
                <w:szCs w:val="24"/>
                <w:lang w:val="en-US" w:eastAsia="zh-CN"/>
              </w:rPr>
              <w:t>项目污水处理站出口水质总磷</w:t>
            </w:r>
            <w:r>
              <w:rPr>
                <w:rFonts w:hint="eastAsia" w:ascii="Times New Roman" w:cs="Times New Roman"/>
                <w:b w:val="0"/>
                <w:bCs w:val="0"/>
                <w:color w:val="auto"/>
                <w:sz w:val="24"/>
                <w:szCs w:val="24"/>
                <w:lang w:val="en-US" w:eastAsia="zh-CN"/>
              </w:rPr>
              <w:t>满足</w:t>
            </w:r>
            <w:r>
              <w:rPr>
                <w:rFonts w:hint="default" w:ascii="Times New Roman" w:hAnsi="Times New Roman" w:cs="Times New Roman"/>
                <w:b w:val="0"/>
                <w:bCs w:val="0"/>
                <w:color w:val="auto"/>
                <w:sz w:val="24"/>
                <w:szCs w:val="24"/>
                <w:lang w:val="en-US" w:eastAsia="zh-CN"/>
              </w:rPr>
              <w:t>《城镇污水处理厂污染物排放标准》（GB18918-2002）表1一级A标准限值，其余污染物</w:t>
            </w:r>
            <w:r>
              <w:rPr>
                <w:rFonts w:hint="eastAsia" w:ascii="Times New Roman" w:cs="Times New Roman"/>
                <w:b w:val="0"/>
                <w:bCs w:val="0"/>
                <w:color w:val="auto"/>
                <w:sz w:val="24"/>
                <w:szCs w:val="24"/>
                <w:lang w:val="en-US" w:eastAsia="zh-CN"/>
              </w:rPr>
              <w:t>满足</w:t>
            </w:r>
            <w:r>
              <w:rPr>
                <w:rFonts w:hint="default" w:ascii="Times New Roman" w:hAnsi="Times New Roman" w:cs="Times New Roman"/>
                <w:b w:val="0"/>
                <w:bCs w:val="0"/>
                <w:color w:val="auto"/>
                <w:sz w:val="24"/>
                <w:szCs w:val="24"/>
                <w:lang w:val="en-US" w:eastAsia="zh-CN"/>
              </w:rPr>
              <w:t>《医疗机构水污染排放标准》（GB18466-2005）表2中排放标准。</w:t>
            </w:r>
          </w:p>
          <w:p w14:paraId="1CDD740B">
            <w:pPr>
              <w:pStyle w:val="38"/>
              <w:spacing w:line="360" w:lineRule="auto"/>
              <w:ind w:firstLine="482"/>
              <w:rPr>
                <w:rFonts w:hint="default" w:ascii="Times New Roman" w:hAnsi="Times New Roman" w:cs="Times New Roman"/>
                <w:b/>
                <w:bCs/>
                <w:color w:val="auto"/>
                <w:sz w:val="24"/>
                <w:szCs w:val="24"/>
              </w:rPr>
            </w:pPr>
            <w:r>
              <w:rPr>
                <w:rFonts w:hint="eastAsia"/>
                <w:b/>
                <w:bCs/>
                <w:color w:val="auto"/>
                <w:sz w:val="24"/>
                <w:szCs w:val="24"/>
                <w:lang w:val="en-US" w:eastAsia="zh-CN"/>
              </w:rPr>
              <w:t>3、</w:t>
            </w:r>
            <w:r>
              <w:rPr>
                <w:rFonts w:hint="default" w:ascii="Times New Roman" w:hAnsi="Times New Roman" w:cs="Times New Roman"/>
                <w:b/>
                <w:bCs/>
                <w:color w:val="auto"/>
                <w:sz w:val="24"/>
                <w:szCs w:val="24"/>
              </w:rPr>
              <w:t>噪声</w:t>
            </w:r>
          </w:p>
          <w:p w14:paraId="73FBDE9E">
            <w:pPr>
              <w:autoSpaceDE w:val="0"/>
              <w:autoSpaceDN w:val="0"/>
              <w:adjustRightInd w:val="0"/>
              <w:ind w:firstLine="482"/>
              <w:jc w:val="center"/>
              <w:rPr>
                <w:rFonts w:hint="default" w:ascii="Times New Roman" w:hAnsi="Times New Roman" w:cs="Times New Roman"/>
                <w:color w:val="auto"/>
                <w:kern w:val="0"/>
                <w:sz w:val="28"/>
                <w:szCs w:val="28"/>
              </w:rPr>
            </w:pPr>
            <w:r>
              <w:rPr>
                <w:rFonts w:hint="eastAsia" w:ascii="Times New Roman" w:hAnsi="Times New Roman" w:cs="Times New Roman"/>
                <w:b/>
                <w:bCs/>
                <w:color w:val="auto"/>
                <w:lang w:val="en-US" w:eastAsia="zh-CN"/>
              </w:rPr>
              <w:t>表2-</w:t>
            </w:r>
            <w:r>
              <w:rPr>
                <w:rFonts w:hint="eastAsia" w:cs="Times New Roman"/>
                <w:b/>
                <w:bCs/>
                <w:color w:val="auto"/>
                <w:lang w:val="en-US" w:eastAsia="zh-CN"/>
              </w:rPr>
              <w:t>11</w:t>
            </w:r>
            <w:r>
              <w:rPr>
                <w:rFonts w:hint="eastAsia" w:ascii="Times New Roman" w:hAnsi="Times New Roman" w:cs="Times New Roman"/>
                <w:b/>
                <w:bCs/>
                <w:color w:val="auto"/>
                <w:lang w:val="en-US" w:eastAsia="zh-CN"/>
              </w:rPr>
              <w:t xml:space="preserve">  </w:t>
            </w:r>
            <w:r>
              <w:rPr>
                <w:rFonts w:hint="eastAsia" w:cs="Times New Roman"/>
                <w:b/>
                <w:bCs/>
                <w:color w:val="auto"/>
                <w:lang w:val="en-US" w:eastAsia="zh-CN"/>
              </w:rPr>
              <w:t>原</w:t>
            </w:r>
            <w:r>
              <w:rPr>
                <w:rFonts w:hint="default" w:ascii="Times New Roman" w:hAnsi="Times New Roman" w:cs="Times New Roman"/>
                <w:b/>
                <w:bCs/>
                <w:color w:val="auto"/>
              </w:rPr>
              <w:t>项目噪声源情况汇总表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052"/>
              <w:gridCol w:w="2177"/>
              <w:gridCol w:w="3381"/>
            </w:tblGrid>
            <w:tr w14:paraId="4CC8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43C13960">
                  <w:pPr>
                    <w:pStyle w:val="37"/>
                    <w:spacing w:line="28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30" w:type="dxa"/>
                  <w:vAlign w:val="center"/>
                </w:tcPr>
                <w:p w14:paraId="78D585A4">
                  <w:pPr>
                    <w:pStyle w:val="37"/>
                    <w:spacing w:line="28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主要产噪设备</w:t>
                  </w:r>
                </w:p>
              </w:tc>
              <w:tc>
                <w:tcPr>
                  <w:tcW w:w="2260" w:type="dxa"/>
                  <w:vAlign w:val="center"/>
                </w:tcPr>
                <w:p w14:paraId="7EB7A9AA">
                  <w:pPr>
                    <w:pStyle w:val="37"/>
                    <w:spacing w:line="28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等效声级[dB(A)]</w:t>
                  </w:r>
                </w:p>
              </w:tc>
              <w:tc>
                <w:tcPr>
                  <w:tcW w:w="3513" w:type="dxa"/>
                  <w:vAlign w:val="center"/>
                </w:tcPr>
                <w:p w14:paraId="1410F491">
                  <w:pPr>
                    <w:pStyle w:val="37"/>
                    <w:spacing w:line="28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r>
            <w:tr w14:paraId="0C1B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0DF405BD">
                  <w:pPr>
                    <w:pStyle w:val="37"/>
                    <w:spacing w:line="28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2130" w:type="dxa"/>
                  <w:vAlign w:val="center"/>
                </w:tcPr>
                <w:p w14:paraId="5A791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风机</w:t>
                  </w:r>
                </w:p>
              </w:tc>
              <w:tc>
                <w:tcPr>
                  <w:tcW w:w="2260" w:type="dxa"/>
                  <w:vAlign w:val="center"/>
                </w:tcPr>
                <w:p w14:paraId="07FE3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70</w:t>
                  </w:r>
                </w:p>
              </w:tc>
              <w:tc>
                <w:tcPr>
                  <w:tcW w:w="3513" w:type="dxa"/>
                  <w:vAlign w:val="center"/>
                </w:tcPr>
                <w:p w14:paraId="43E85D9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lang w:eastAsia="zh-CN"/>
                    </w:rPr>
                    <w:t>设置减震装置，合理布局</w:t>
                  </w:r>
                </w:p>
              </w:tc>
            </w:tr>
            <w:tr w14:paraId="3B66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10BEF326">
                  <w:pPr>
                    <w:pStyle w:val="37"/>
                    <w:spacing w:line="28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2130" w:type="dxa"/>
                  <w:vAlign w:val="center"/>
                </w:tcPr>
                <w:p w14:paraId="569D5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污水处理设施</w:t>
                  </w:r>
                  <w:r>
                    <w:rPr>
                      <w:rFonts w:hint="eastAsia" w:cs="Times New Roman"/>
                      <w:b w:val="0"/>
                      <w:bCs w:val="0"/>
                      <w:color w:val="auto"/>
                      <w:sz w:val="21"/>
                      <w:szCs w:val="21"/>
                      <w:vertAlign w:val="baseline"/>
                      <w:lang w:val="en-US" w:eastAsia="zh-CN"/>
                    </w:rPr>
                    <w:t>水泵</w:t>
                  </w:r>
                </w:p>
              </w:tc>
              <w:tc>
                <w:tcPr>
                  <w:tcW w:w="2260" w:type="dxa"/>
                  <w:vAlign w:val="center"/>
                </w:tcPr>
                <w:p w14:paraId="6A3CE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80</w:t>
                  </w:r>
                </w:p>
              </w:tc>
              <w:tc>
                <w:tcPr>
                  <w:tcW w:w="3513" w:type="dxa"/>
                  <w:vAlign w:val="center"/>
                </w:tcPr>
                <w:p w14:paraId="5B53B09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水泵安装减震垫</w:t>
                  </w:r>
                  <w:r>
                    <w:rPr>
                      <w:rFonts w:hint="default" w:ascii="Times New Roman" w:hAnsi="Times New Roman" w:cs="Times New Roman"/>
                      <w:b w:val="0"/>
                      <w:bCs w:val="0"/>
                      <w:color w:val="auto"/>
                      <w:sz w:val="21"/>
                      <w:szCs w:val="21"/>
                      <w:lang w:eastAsia="zh-CN"/>
                    </w:rPr>
                    <w:t>，合理布局</w:t>
                  </w:r>
                </w:p>
              </w:tc>
            </w:tr>
          </w:tbl>
          <w:p w14:paraId="16F13A7B">
            <w:pPr>
              <w:pStyle w:val="10"/>
              <w:tabs>
                <w:tab w:val="left" w:pos="7200"/>
              </w:tabs>
              <w:spacing w:line="360" w:lineRule="auto"/>
              <w:ind w:firstLine="482"/>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厂界噪声</w:t>
            </w:r>
            <w:r>
              <w:rPr>
                <w:rFonts w:hint="eastAsia" w:ascii="Times New Roman" w:hAnsi="Times New Roman" w:cs="Times New Roman"/>
                <w:b/>
                <w:bCs/>
                <w:color w:val="auto"/>
                <w:sz w:val="24"/>
                <w:szCs w:val="24"/>
                <w:lang w:val="en-US" w:eastAsia="zh-CN"/>
              </w:rPr>
              <w:t>验收监测结果</w:t>
            </w:r>
          </w:p>
          <w:p w14:paraId="281D219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cs="Times New Roman"/>
                <w:b w:val="0"/>
                <w:bCs/>
                <w:color w:val="auto"/>
                <w:sz w:val="24"/>
                <w:szCs w:val="24"/>
                <w:lang w:val="en-US" w:eastAsia="zh-CN"/>
              </w:rPr>
              <w:t>根据“昆明长青慈宁精神病医院扩建项目竣工环境保护验收检测”</w:t>
            </w:r>
            <w:r>
              <w:rPr>
                <w:rFonts w:hint="eastAsia" w:cs="Times New Roman"/>
                <w:color w:val="auto"/>
                <w:sz w:val="24"/>
                <w:szCs w:val="24"/>
                <w:lang w:val="en-US" w:eastAsia="zh-CN"/>
              </w:rPr>
              <w:t>原项目院</w:t>
            </w:r>
            <w:r>
              <w:rPr>
                <w:rFonts w:hint="default" w:ascii="Times New Roman" w:hAnsi="Times New Roman" w:cs="Times New Roman"/>
                <w:color w:val="auto"/>
                <w:sz w:val="24"/>
                <w:szCs w:val="24"/>
              </w:rPr>
              <w:t>区厂界噪声监测结果见下表：</w:t>
            </w:r>
          </w:p>
          <w:p w14:paraId="0687EB02">
            <w:pPr>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12</w:t>
            </w:r>
            <w:r>
              <w:rPr>
                <w:rFonts w:hint="default" w:ascii="Times New Roman" w:hAnsi="Times New Roman" w:cs="Times New Roman"/>
                <w:b/>
                <w:bCs/>
                <w:color w:val="auto"/>
                <w:sz w:val="21"/>
                <w:szCs w:val="21"/>
              </w:rPr>
              <w:t xml:space="preserve">  </w:t>
            </w:r>
            <w:r>
              <w:rPr>
                <w:rFonts w:hint="eastAsia" w:cs="Times New Roman"/>
                <w:b/>
                <w:bCs/>
                <w:color w:val="auto"/>
                <w:sz w:val="21"/>
                <w:szCs w:val="21"/>
                <w:lang w:val="en-US" w:eastAsia="zh-CN"/>
              </w:rPr>
              <w:t>原</w:t>
            </w:r>
            <w:r>
              <w:rPr>
                <w:rFonts w:hint="default" w:ascii="Times New Roman" w:hAnsi="Times New Roman" w:cs="Times New Roman"/>
                <w:b/>
                <w:bCs/>
                <w:color w:val="auto"/>
                <w:sz w:val="21"/>
                <w:szCs w:val="21"/>
              </w:rPr>
              <w:t>项目噪声监测结果</w:t>
            </w:r>
            <w:r>
              <w:rPr>
                <w:rFonts w:hint="eastAsia" w:cs="Times New Roman"/>
                <w:b/>
                <w:bCs/>
                <w:color w:val="auto"/>
                <w:sz w:val="21"/>
                <w:szCs w:val="21"/>
                <w:lang w:val="en-US" w:eastAsia="zh-CN"/>
              </w:rPr>
              <w:t>一览表</w:t>
            </w:r>
          </w:p>
          <w:tbl>
            <w:tblPr>
              <w:tblStyle w:val="24"/>
              <w:tblW w:w="4998" w:type="pct"/>
              <w:jc w:val="center"/>
              <w:tblLayout w:type="fixed"/>
              <w:tblCellMar>
                <w:top w:w="0" w:type="dxa"/>
                <w:left w:w="108" w:type="dxa"/>
                <w:bottom w:w="0" w:type="dxa"/>
                <w:right w:w="108" w:type="dxa"/>
              </w:tblCellMar>
            </w:tblPr>
            <w:tblGrid>
              <w:gridCol w:w="725"/>
              <w:gridCol w:w="2154"/>
              <w:gridCol w:w="820"/>
              <w:gridCol w:w="747"/>
              <w:gridCol w:w="746"/>
              <w:gridCol w:w="793"/>
              <w:gridCol w:w="791"/>
              <w:gridCol w:w="800"/>
              <w:gridCol w:w="751"/>
            </w:tblGrid>
            <w:tr w14:paraId="56A2C574">
              <w:tblPrEx>
                <w:tblCellMar>
                  <w:top w:w="0" w:type="dxa"/>
                  <w:left w:w="108" w:type="dxa"/>
                  <w:bottom w:w="0" w:type="dxa"/>
                  <w:right w:w="108" w:type="dxa"/>
                </w:tblCellMar>
              </w:tblPrEx>
              <w:trPr>
                <w:trHeight w:val="340" w:hRule="atLeast"/>
                <w:jc w:val="center"/>
              </w:trPr>
              <w:tc>
                <w:tcPr>
                  <w:tcW w:w="436" w:type="pct"/>
                  <w:vMerge w:val="restart"/>
                  <w:tcBorders>
                    <w:top w:val="single" w:color="auto" w:sz="4" w:space="0"/>
                    <w:left w:val="single" w:color="auto" w:sz="4" w:space="0"/>
                    <w:bottom w:val="single" w:color="auto" w:sz="4" w:space="0"/>
                    <w:right w:val="single" w:color="auto" w:sz="4" w:space="0"/>
                  </w:tcBorders>
                  <w:vAlign w:val="center"/>
                </w:tcPr>
                <w:p w14:paraId="26F1CEF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检测内容</w:t>
                  </w:r>
                </w:p>
              </w:tc>
              <w:tc>
                <w:tcPr>
                  <w:tcW w:w="1293" w:type="pct"/>
                  <w:vMerge w:val="restart"/>
                  <w:tcBorders>
                    <w:top w:val="single" w:color="auto" w:sz="4" w:space="0"/>
                    <w:left w:val="nil"/>
                    <w:bottom w:val="single" w:color="auto" w:sz="4" w:space="0"/>
                    <w:right w:val="single" w:color="auto" w:sz="4" w:space="0"/>
                  </w:tcBorders>
                  <w:vAlign w:val="center"/>
                </w:tcPr>
                <w:p w14:paraId="59FA110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检测点位置</w:t>
                  </w:r>
                </w:p>
              </w:tc>
              <w:tc>
                <w:tcPr>
                  <w:tcW w:w="941" w:type="pct"/>
                  <w:gridSpan w:val="2"/>
                  <w:tcBorders>
                    <w:top w:val="single" w:color="auto" w:sz="4" w:space="0"/>
                    <w:left w:val="nil"/>
                    <w:bottom w:val="single" w:color="auto" w:sz="4" w:space="0"/>
                    <w:right w:val="single" w:color="auto" w:sz="4" w:space="0"/>
                  </w:tcBorders>
                  <w:vAlign w:val="center"/>
                </w:tcPr>
                <w:p w14:paraId="2D8E6E2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2022/4/15</w:t>
                  </w:r>
                </w:p>
              </w:tc>
              <w:tc>
                <w:tcPr>
                  <w:tcW w:w="924" w:type="pct"/>
                  <w:gridSpan w:val="2"/>
                  <w:tcBorders>
                    <w:top w:val="single" w:color="auto" w:sz="4" w:space="0"/>
                    <w:left w:val="nil"/>
                    <w:bottom w:val="single" w:color="auto" w:sz="4" w:space="0"/>
                    <w:right w:val="single" w:color="auto" w:sz="4" w:space="0"/>
                  </w:tcBorders>
                  <w:vAlign w:val="center"/>
                </w:tcPr>
                <w:p w14:paraId="5F52D3D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2022/4/16</w:t>
                  </w:r>
                </w:p>
              </w:tc>
              <w:tc>
                <w:tcPr>
                  <w:tcW w:w="955" w:type="pct"/>
                  <w:gridSpan w:val="2"/>
                  <w:tcBorders>
                    <w:top w:val="single" w:color="auto" w:sz="4" w:space="0"/>
                    <w:left w:val="nil"/>
                    <w:bottom w:val="single" w:color="auto" w:sz="4" w:space="0"/>
                    <w:right w:val="single" w:color="auto" w:sz="4" w:space="0"/>
                  </w:tcBorders>
                  <w:vAlign w:val="center"/>
                </w:tcPr>
                <w:p w14:paraId="498C0BC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448" w:type="pct"/>
                  <w:vMerge w:val="restart"/>
                  <w:tcBorders>
                    <w:top w:val="single" w:color="auto" w:sz="4" w:space="0"/>
                    <w:left w:val="nil"/>
                    <w:bottom w:val="single" w:color="auto" w:sz="4" w:space="0"/>
                    <w:right w:val="single" w:color="auto" w:sz="4" w:space="0"/>
                  </w:tcBorders>
                  <w:vAlign w:val="center"/>
                </w:tcPr>
                <w:p w14:paraId="343E37C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结果</w:t>
                  </w:r>
                </w:p>
                <w:p w14:paraId="39980D1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w:t>
                  </w:r>
                </w:p>
              </w:tc>
            </w:tr>
            <w:tr w14:paraId="140DDBA7">
              <w:tblPrEx>
                <w:tblCellMar>
                  <w:top w:w="0" w:type="dxa"/>
                  <w:left w:w="108" w:type="dxa"/>
                  <w:bottom w:w="0" w:type="dxa"/>
                  <w:right w:w="108" w:type="dxa"/>
                </w:tblCellMar>
              </w:tblPrEx>
              <w:trPr>
                <w:trHeight w:val="340" w:hRule="atLeast"/>
                <w:jc w:val="center"/>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4F23CB86">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1293" w:type="pct"/>
                  <w:vMerge w:val="continue"/>
                  <w:tcBorders>
                    <w:top w:val="single" w:color="auto" w:sz="4" w:space="0"/>
                    <w:left w:val="nil"/>
                    <w:bottom w:val="single" w:color="auto" w:sz="4" w:space="0"/>
                    <w:right w:val="single" w:color="auto" w:sz="4" w:space="0"/>
                  </w:tcBorders>
                  <w:vAlign w:val="center"/>
                </w:tcPr>
                <w:p w14:paraId="5D6BFAE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492" w:type="pct"/>
                  <w:tcBorders>
                    <w:top w:val="single" w:color="auto" w:sz="4" w:space="0"/>
                    <w:left w:val="nil"/>
                    <w:bottom w:val="single" w:color="auto" w:sz="4" w:space="0"/>
                    <w:right w:val="single" w:color="auto" w:sz="4" w:space="0"/>
                  </w:tcBorders>
                  <w:vAlign w:val="center"/>
                </w:tcPr>
                <w:p w14:paraId="0079129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449" w:type="pct"/>
                  <w:tcBorders>
                    <w:top w:val="single" w:color="auto" w:sz="4" w:space="0"/>
                    <w:left w:val="nil"/>
                    <w:bottom w:val="single" w:color="auto" w:sz="4" w:space="0"/>
                    <w:right w:val="single" w:color="auto" w:sz="4" w:space="0"/>
                  </w:tcBorders>
                  <w:vAlign w:val="center"/>
                </w:tcPr>
                <w:p w14:paraId="15DAD22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448" w:type="pct"/>
                  <w:tcBorders>
                    <w:top w:val="single" w:color="auto" w:sz="4" w:space="0"/>
                    <w:left w:val="nil"/>
                    <w:bottom w:val="single" w:color="auto" w:sz="4" w:space="0"/>
                    <w:right w:val="single" w:color="auto" w:sz="4" w:space="0"/>
                  </w:tcBorders>
                  <w:vAlign w:val="center"/>
                </w:tcPr>
                <w:p w14:paraId="54885C9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475" w:type="pct"/>
                  <w:tcBorders>
                    <w:top w:val="single" w:color="auto" w:sz="4" w:space="0"/>
                    <w:left w:val="nil"/>
                    <w:bottom w:val="single" w:color="auto" w:sz="4" w:space="0"/>
                    <w:right w:val="single" w:color="auto" w:sz="4" w:space="0"/>
                  </w:tcBorders>
                  <w:vAlign w:val="center"/>
                </w:tcPr>
                <w:p w14:paraId="218445E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475" w:type="pct"/>
                  <w:tcBorders>
                    <w:top w:val="single" w:color="auto" w:sz="4" w:space="0"/>
                    <w:left w:val="nil"/>
                    <w:bottom w:val="single" w:color="auto" w:sz="4" w:space="0"/>
                    <w:right w:val="single" w:color="auto" w:sz="4" w:space="0"/>
                  </w:tcBorders>
                  <w:vAlign w:val="center"/>
                </w:tcPr>
                <w:p w14:paraId="7794DDD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480" w:type="pct"/>
                  <w:tcBorders>
                    <w:top w:val="single" w:color="auto" w:sz="4" w:space="0"/>
                    <w:left w:val="nil"/>
                    <w:bottom w:val="single" w:color="auto" w:sz="4" w:space="0"/>
                    <w:right w:val="single" w:color="auto" w:sz="4" w:space="0"/>
                  </w:tcBorders>
                  <w:vAlign w:val="center"/>
                </w:tcPr>
                <w:p w14:paraId="5A08A67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448" w:type="pct"/>
                  <w:vMerge w:val="continue"/>
                  <w:tcBorders>
                    <w:top w:val="single" w:color="auto" w:sz="4" w:space="0"/>
                    <w:left w:val="nil"/>
                    <w:bottom w:val="single" w:color="auto" w:sz="4" w:space="0"/>
                    <w:right w:val="single" w:color="auto" w:sz="4" w:space="0"/>
                  </w:tcBorders>
                  <w:vAlign w:val="center"/>
                </w:tcPr>
                <w:p w14:paraId="23C86D27">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r>
            <w:tr w14:paraId="64FF8174">
              <w:tblPrEx>
                <w:tblCellMar>
                  <w:top w:w="0" w:type="dxa"/>
                  <w:left w:w="108" w:type="dxa"/>
                  <w:bottom w:w="0" w:type="dxa"/>
                  <w:right w:w="108" w:type="dxa"/>
                </w:tblCellMar>
              </w:tblPrEx>
              <w:trPr>
                <w:trHeight w:val="340" w:hRule="atLeast"/>
                <w:jc w:val="center"/>
              </w:trPr>
              <w:tc>
                <w:tcPr>
                  <w:tcW w:w="436" w:type="pct"/>
                  <w:vMerge w:val="restart"/>
                  <w:tcBorders>
                    <w:top w:val="single" w:color="auto" w:sz="4" w:space="0"/>
                    <w:left w:val="single" w:color="auto" w:sz="4" w:space="0"/>
                    <w:right w:val="single" w:color="auto" w:sz="4" w:space="0"/>
                  </w:tcBorders>
                  <w:vAlign w:val="center"/>
                </w:tcPr>
                <w:p w14:paraId="5CC9343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厂界噪声</w:t>
                  </w:r>
                </w:p>
              </w:tc>
              <w:tc>
                <w:tcPr>
                  <w:tcW w:w="1293" w:type="pct"/>
                  <w:tcBorders>
                    <w:top w:val="single" w:color="auto" w:sz="4" w:space="0"/>
                    <w:left w:val="nil"/>
                    <w:bottom w:val="single" w:color="auto" w:sz="4" w:space="0"/>
                    <w:right w:val="single" w:color="auto" w:sz="4" w:space="0"/>
                  </w:tcBorders>
                  <w:vAlign w:val="center"/>
                </w:tcPr>
                <w:p w14:paraId="5D291DE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东</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3812FA6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46.8</w:t>
                  </w:r>
                </w:p>
              </w:tc>
              <w:tc>
                <w:tcPr>
                  <w:tcW w:w="449" w:type="pct"/>
                  <w:tcBorders>
                    <w:top w:val="single" w:color="auto" w:sz="4" w:space="0"/>
                    <w:left w:val="nil"/>
                    <w:bottom w:val="single" w:color="auto" w:sz="4" w:space="0"/>
                    <w:right w:val="single" w:color="auto" w:sz="4" w:space="0"/>
                  </w:tcBorders>
                  <w:vAlign w:val="center"/>
                </w:tcPr>
                <w:p w14:paraId="611281D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40.2</w:t>
                  </w:r>
                </w:p>
              </w:tc>
              <w:tc>
                <w:tcPr>
                  <w:tcW w:w="448" w:type="pct"/>
                  <w:tcBorders>
                    <w:top w:val="single" w:color="auto" w:sz="4" w:space="0"/>
                    <w:left w:val="nil"/>
                    <w:bottom w:val="single" w:color="auto" w:sz="4" w:space="0"/>
                    <w:right w:val="single" w:color="auto" w:sz="4" w:space="0"/>
                  </w:tcBorders>
                  <w:vAlign w:val="center"/>
                </w:tcPr>
                <w:p w14:paraId="457F85E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48.3</w:t>
                  </w:r>
                </w:p>
              </w:tc>
              <w:tc>
                <w:tcPr>
                  <w:tcW w:w="475" w:type="pct"/>
                  <w:tcBorders>
                    <w:top w:val="single" w:color="auto" w:sz="4" w:space="0"/>
                    <w:left w:val="nil"/>
                    <w:bottom w:val="single" w:color="auto" w:sz="4" w:space="0"/>
                    <w:right w:val="single" w:color="auto" w:sz="4" w:space="0"/>
                  </w:tcBorders>
                  <w:vAlign w:val="center"/>
                </w:tcPr>
                <w:p w14:paraId="0CAF80F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40.0</w:t>
                  </w:r>
                </w:p>
              </w:tc>
              <w:tc>
                <w:tcPr>
                  <w:tcW w:w="475" w:type="pct"/>
                  <w:tcBorders>
                    <w:top w:val="single" w:color="auto" w:sz="4" w:space="0"/>
                    <w:left w:val="nil"/>
                    <w:bottom w:val="single" w:color="auto" w:sz="4" w:space="0"/>
                    <w:right w:val="single" w:color="auto" w:sz="4" w:space="0"/>
                  </w:tcBorders>
                  <w:vAlign w:val="center"/>
                </w:tcPr>
                <w:p w14:paraId="6518256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60</w:t>
                  </w:r>
                </w:p>
              </w:tc>
              <w:tc>
                <w:tcPr>
                  <w:tcW w:w="480" w:type="pct"/>
                  <w:tcBorders>
                    <w:top w:val="single" w:color="auto" w:sz="4" w:space="0"/>
                    <w:left w:val="nil"/>
                    <w:bottom w:val="single" w:color="auto" w:sz="4" w:space="0"/>
                    <w:right w:val="single" w:color="auto" w:sz="4" w:space="0"/>
                  </w:tcBorders>
                  <w:vAlign w:val="center"/>
                </w:tcPr>
                <w:p w14:paraId="74D46DD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50</w:t>
                  </w:r>
                </w:p>
              </w:tc>
              <w:tc>
                <w:tcPr>
                  <w:tcW w:w="448" w:type="pct"/>
                  <w:tcBorders>
                    <w:top w:val="single" w:color="auto" w:sz="4" w:space="0"/>
                    <w:left w:val="nil"/>
                    <w:bottom w:val="single" w:color="auto" w:sz="4" w:space="0"/>
                    <w:right w:val="single" w:color="auto" w:sz="4" w:space="0"/>
                  </w:tcBorders>
                  <w:vAlign w:val="center"/>
                </w:tcPr>
                <w:p w14:paraId="6B238A5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54D6BE6B">
              <w:tblPrEx>
                <w:tblCellMar>
                  <w:top w:w="0" w:type="dxa"/>
                  <w:left w:w="108" w:type="dxa"/>
                  <w:bottom w:w="0" w:type="dxa"/>
                  <w:right w:w="108" w:type="dxa"/>
                </w:tblCellMar>
              </w:tblPrEx>
              <w:trPr>
                <w:trHeight w:val="340" w:hRule="atLeast"/>
                <w:jc w:val="center"/>
              </w:trPr>
              <w:tc>
                <w:tcPr>
                  <w:tcW w:w="436" w:type="pct"/>
                  <w:vMerge w:val="continue"/>
                  <w:tcBorders>
                    <w:left w:val="single" w:color="auto" w:sz="4" w:space="0"/>
                    <w:right w:val="single" w:color="auto" w:sz="4" w:space="0"/>
                  </w:tcBorders>
                  <w:vAlign w:val="center"/>
                </w:tcPr>
                <w:p w14:paraId="0C596F3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293" w:type="pct"/>
                  <w:tcBorders>
                    <w:top w:val="single" w:color="auto" w:sz="4" w:space="0"/>
                    <w:left w:val="nil"/>
                    <w:bottom w:val="single" w:color="auto" w:sz="4" w:space="0"/>
                    <w:right w:val="single" w:color="auto" w:sz="4" w:space="0"/>
                  </w:tcBorders>
                  <w:vAlign w:val="center"/>
                </w:tcPr>
                <w:p w14:paraId="085EF4E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南</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5095D5F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44.3</w:t>
                  </w:r>
                </w:p>
              </w:tc>
              <w:tc>
                <w:tcPr>
                  <w:tcW w:w="449" w:type="pct"/>
                  <w:tcBorders>
                    <w:top w:val="single" w:color="auto" w:sz="4" w:space="0"/>
                    <w:left w:val="nil"/>
                    <w:bottom w:val="single" w:color="auto" w:sz="4" w:space="0"/>
                    <w:right w:val="single" w:color="auto" w:sz="4" w:space="0"/>
                  </w:tcBorders>
                  <w:vAlign w:val="center"/>
                </w:tcPr>
                <w:p w14:paraId="0E6FF73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38.3</w:t>
                  </w:r>
                </w:p>
              </w:tc>
              <w:tc>
                <w:tcPr>
                  <w:tcW w:w="448" w:type="pct"/>
                  <w:tcBorders>
                    <w:top w:val="single" w:color="auto" w:sz="4" w:space="0"/>
                    <w:left w:val="nil"/>
                    <w:bottom w:val="single" w:color="auto" w:sz="4" w:space="0"/>
                    <w:right w:val="single" w:color="auto" w:sz="4" w:space="0"/>
                  </w:tcBorders>
                  <w:vAlign w:val="center"/>
                </w:tcPr>
                <w:p w14:paraId="364598D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48.9</w:t>
                  </w:r>
                </w:p>
              </w:tc>
              <w:tc>
                <w:tcPr>
                  <w:tcW w:w="475" w:type="pct"/>
                  <w:tcBorders>
                    <w:top w:val="single" w:color="auto" w:sz="4" w:space="0"/>
                    <w:left w:val="nil"/>
                    <w:bottom w:val="single" w:color="auto" w:sz="4" w:space="0"/>
                    <w:right w:val="single" w:color="auto" w:sz="4" w:space="0"/>
                  </w:tcBorders>
                  <w:vAlign w:val="center"/>
                </w:tcPr>
                <w:p w14:paraId="43FC674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38.0</w:t>
                  </w:r>
                </w:p>
              </w:tc>
              <w:tc>
                <w:tcPr>
                  <w:tcW w:w="475" w:type="pct"/>
                  <w:tcBorders>
                    <w:top w:val="single" w:color="auto" w:sz="4" w:space="0"/>
                    <w:left w:val="nil"/>
                    <w:bottom w:val="single" w:color="auto" w:sz="4" w:space="0"/>
                    <w:right w:val="single" w:color="auto" w:sz="4" w:space="0"/>
                  </w:tcBorders>
                  <w:vAlign w:val="center"/>
                </w:tcPr>
                <w:p w14:paraId="1EB81AD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480" w:type="pct"/>
                  <w:tcBorders>
                    <w:top w:val="single" w:color="auto" w:sz="4" w:space="0"/>
                    <w:left w:val="nil"/>
                    <w:bottom w:val="single" w:color="auto" w:sz="4" w:space="0"/>
                    <w:right w:val="single" w:color="auto" w:sz="4" w:space="0"/>
                  </w:tcBorders>
                  <w:vAlign w:val="center"/>
                </w:tcPr>
                <w:p w14:paraId="4018150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w:t>
                  </w:r>
                </w:p>
              </w:tc>
              <w:tc>
                <w:tcPr>
                  <w:tcW w:w="448" w:type="pct"/>
                  <w:tcBorders>
                    <w:top w:val="single" w:color="auto" w:sz="4" w:space="0"/>
                    <w:left w:val="nil"/>
                    <w:bottom w:val="single" w:color="auto" w:sz="4" w:space="0"/>
                    <w:right w:val="single" w:color="auto" w:sz="4" w:space="0"/>
                  </w:tcBorders>
                  <w:vAlign w:val="center"/>
                </w:tcPr>
                <w:p w14:paraId="5B7EEA1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32E27907">
              <w:tblPrEx>
                <w:tblCellMar>
                  <w:top w:w="0" w:type="dxa"/>
                  <w:left w:w="108" w:type="dxa"/>
                  <w:bottom w:w="0" w:type="dxa"/>
                  <w:right w:w="108" w:type="dxa"/>
                </w:tblCellMar>
              </w:tblPrEx>
              <w:trPr>
                <w:trHeight w:val="340" w:hRule="atLeast"/>
                <w:jc w:val="center"/>
              </w:trPr>
              <w:tc>
                <w:tcPr>
                  <w:tcW w:w="436" w:type="pct"/>
                  <w:vMerge w:val="continue"/>
                  <w:tcBorders>
                    <w:left w:val="single" w:color="auto" w:sz="4" w:space="0"/>
                    <w:right w:val="single" w:color="auto" w:sz="4" w:space="0"/>
                  </w:tcBorders>
                  <w:vAlign w:val="center"/>
                </w:tcPr>
                <w:p w14:paraId="5A8BA5E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293" w:type="pct"/>
                  <w:tcBorders>
                    <w:top w:val="single" w:color="auto" w:sz="4" w:space="0"/>
                    <w:left w:val="nil"/>
                    <w:bottom w:val="single" w:color="auto" w:sz="4" w:space="0"/>
                    <w:right w:val="single" w:color="auto" w:sz="4" w:space="0"/>
                  </w:tcBorders>
                  <w:vAlign w:val="center"/>
                </w:tcPr>
                <w:p w14:paraId="3743C52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西</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445FDA0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47.0</w:t>
                  </w:r>
                </w:p>
              </w:tc>
              <w:tc>
                <w:tcPr>
                  <w:tcW w:w="449" w:type="pct"/>
                  <w:tcBorders>
                    <w:top w:val="single" w:color="auto" w:sz="4" w:space="0"/>
                    <w:left w:val="nil"/>
                    <w:bottom w:val="single" w:color="auto" w:sz="4" w:space="0"/>
                    <w:right w:val="single" w:color="auto" w:sz="4" w:space="0"/>
                  </w:tcBorders>
                  <w:vAlign w:val="center"/>
                </w:tcPr>
                <w:p w14:paraId="7160613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39.3</w:t>
                  </w:r>
                </w:p>
              </w:tc>
              <w:tc>
                <w:tcPr>
                  <w:tcW w:w="448" w:type="pct"/>
                  <w:tcBorders>
                    <w:top w:val="single" w:color="auto" w:sz="4" w:space="0"/>
                    <w:left w:val="nil"/>
                    <w:bottom w:val="single" w:color="auto" w:sz="4" w:space="0"/>
                    <w:right w:val="single" w:color="auto" w:sz="4" w:space="0"/>
                  </w:tcBorders>
                  <w:vAlign w:val="center"/>
                </w:tcPr>
                <w:p w14:paraId="71C650C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47.2</w:t>
                  </w:r>
                </w:p>
              </w:tc>
              <w:tc>
                <w:tcPr>
                  <w:tcW w:w="475" w:type="pct"/>
                  <w:tcBorders>
                    <w:top w:val="single" w:color="auto" w:sz="4" w:space="0"/>
                    <w:left w:val="nil"/>
                    <w:bottom w:val="single" w:color="auto" w:sz="4" w:space="0"/>
                    <w:right w:val="single" w:color="auto" w:sz="4" w:space="0"/>
                  </w:tcBorders>
                  <w:vAlign w:val="center"/>
                </w:tcPr>
                <w:p w14:paraId="7991ED9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38.7</w:t>
                  </w:r>
                </w:p>
              </w:tc>
              <w:tc>
                <w:tcPr>
                  <w:tcW w:w="475" w:type="pct"/>
                  <w:tcBorders>
                    <w:top w:val="single" w:color="auto" w:sz="4" w:space="0"/>
                    <w:left w:val="nil"/>
                    <w:bottom w:val="single" w:color="auto" w:sz="4" w:space="0"/>
                    <w:right w:val="single" w:color="auto" w:sz="4" w:space="0"/>
                  </w:tcBorders>
                  <w:vAlign w:val="center"/>
                </w:tcPr>
                <w:p w14:paraId="24E1113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60</w:t>
                  </w:r>
                </w:p>
              </w:tc>
              <w:tc>
                <w:tcPr>
                  <w:tcW w:w="480" w:type="pct"/>
                  <w:tcBorders>
                    <w:top w:val="single" w:color="auto" w:sz="4" w:space="0"/>
                    <w:left w:val="nil"/>
                    <w:bottom w:val="single" w:color="auto" w:sz="4" w:space="0"/>
                    <w:right w:val="single" w:color="auto" w:sz="4" w:space="0"/>
                  </w:tcBorders>
                  <w:vAlign w:val="center"/>
                </w:tcPr>
                <w:p w14:paraId="39582BA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448" w:type="pct"/>
                  <w:tcBorders>
                    <w:top w:val="single" w:color="auto" w:sz="4" w:space="0"/>
                    <w:left w:val="nil"/>
                    <w:bottom w:val="single" w:color="auto" w:sz="4" w:space="0"/>
                    <w:right w:val="single" w:color="auto" w:sz="4" w:space="0"/>
                  </w:tcBorders>
                  <w:vAlign w:val="center"/>
                </w:tcPr>
                <w:p w14:paraId="7165533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5C88C0F1">
              <w:tblPrEx>
                <w:tblCellMar>
                  <w:top w:w="0" w:type="dxa"/>
                  <w:left w:w="108" w:type="dxa"/>
                  <w:bottom w:w="0" w:type="dxa"/>
                  <w:right w:w="108" w:type="dxa"/>
                </w:tblCellMar>
              </w:tblPrEx>
              <w:trPr>
                <w:trHeight w:val="340" w:hRule="atLeast"/>
                <w:jc w:val="center"/>
              </w:trPr>
              <w:tc>
                <w:tcPr>
                  <w:tcW w:w="436" w:type="pct"/>
                  <w:vMerge w:val="continue"/>
                  <w:tcBorders>
                    <w:left w:val="single" w:color="auto" w:sz="4" w:space="0"/>
                    <w:bottom w:val="single" w:color="auto" w:sz="4" w:space="0"/>
                    <w:right w:val="single" w:color="auto" w:sz="4" w:space="0"/>
                  </w:tcBorders>
                  <w:vAlign w:val="center"/>
                </w:tcPr>
                <w:p w14:paraId="784DDE3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293" w:type="pct"/>
                  <w:tcBorders>
                    <w:top w:val="single" w:color="auto" w:sz="4" w:space="0"/>
                    <w:left w:val="nil"/>
                    <w:bottom w:val="single" w:color="auto" w:sz="4" w:space="0"/>
                    <w:right w:val="single" w:color="auto" w:sz="4" w:space="0"/>
                  </w:tcBorders>
                  <w:vAlign w:val="center"/>
                </w:tcPr>
                <w:p w14:paraId="7B1C025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北</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52BDE73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46.4</w:t>
                  </w:r>
                </w:p>
              </w:tc>
              <w:tc>
                <w:tcPr>
                  <w:tcW w:w="449" w:type="pct"/>
                  <w:tcBorders>
                    <w:top w:val="single" w:color="auto" w:sz="4" w:space="0"/>
                    <w:left w:val="nil"/>
                    <w:bottom w:val="single" w:color="auto" w:sz="4" w:space="0"/>
                    <w:right w:val="single" w:color="auto" w:sz="4" w:space="0"/>
                  </w:tcBorders>
                  <w:vAlign w:val="center"/>
                </w:tcPr>
                <w:p w14:paraId="2089CBC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41.6</w:t>
                  </w:r>
                </w:p>
              </w:tc>
              <w:tc>
                <w:tcPr>
                  <w:tcW w:w="448" w:type="pct"/>
                  <w:tcBorders>
                    <w:top w:val="single" w:color="auto" w:sz="4" w:space="0"/>
                    <w:left w:val="nil"/>
                    <w:bottom w:val="single" w:color="auto" w:sz="4" w:space="0"/>
                    <w:right w:val="single" w:color="auto" w:sz="4" w:space="0"/>
                  </w:tcBorders>
                  <w:vAlign w:val="center"/>
                </w:tcPr>
                <w:p w14:paraId="79A291C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48.7</w:t>
                  </w:r>
                </w:p>
              </w:tc>
              <w:tc>
                <w:tcPr>
                  <w:tcW w:w="475" w:type="pct"/>
                  <w:tcBorders>
                    <w:top w:val="single" w:color="auto" w:sz="4" w:space="0"/>
                    <w:left w:val="nil"/>
                    <w:bottom w:val="single" w:color="auto" w:sz="4" w:space="0"/>
                    <w:right w:val="single" w:color="auto" w:sz="4" w:space="0"/>
                  </w:tcBorders>
                  <w:vAlign w:val="center"/>
                </w:tcPr>
                <w:p w14:paraId="60C713C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39.5</w:t>
                  </w:r>
                </w:p>
              </w:tc>
              <w:tc>
                <w:tcPr>
                  <w:tcW w:w="475" w:type="pct"/>
                  <w:tcBorders>
                    <w:top w:val="single" w:color="auto" w:sz="4" w:space="0"/>
                    <w:left w:val="nil"/>
                    <w:bottom w:val="single" w:color="auto" w:sz="4" w:space="0"/>
                    <w:right w:val="single" w:color="auto" w:sz="4" w:space="0"/>
                  </w:tcBorders>
                  <w:vAlign w:val="center"/>
                </w:tcPr>
                <w:p w14:paraId="309DAC6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480" w:type="pct"/>
                  <w:tcBorders>
                    <w:top w:val="single" w:color="auto" w:sz="4" w:space="0"/>
                    <w:left w:val="nil"/>
                    <w:bottom w:val="single" w:color="auto" w:sz="4" w:space="0"/>
                    <w:right w:val="single" w:color="auto" w:sz="4" w:space="0"/>
                  </w:tcBorders>
                  <w:vAlign w:val="center"/>
                </w:tcPr>
                <w:p w14:paraId="29173D1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w:t>
                  </w:r>
                </w:p>
              </w:tc>
              <w:tc>
                <w:tcPr>
                  <w:tcW w:w="448" w:type="pct"/>
                  <w:tcBorders>
                    <w:top w:val="single" w:color="auto" w:sz="4" w:space="0"/>
                    <w:left w:val="nil"/>
                    <w:bottom w:val="single" w:color="auto" w:sz="4" w:space="0"/>
                    <w:right w:val="single" w:color="auto" w:sz="4" w:space="0"/>
                  </w:tcBorders>
                  <w:vAlign w:val="center"/>
                </w:tcPr>
                <w:p w14:paraId="29C1A63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418899F8">
              <w:tblPrEx>
                <w:tblCellMar>
                  <w:top w:w="0" w:type="dxa"/>
                  <w:left w:w="108" w:type="dxa"/>
                  <w:bottom w:w="0" w:type="dxa"/>
                  <w:right w:w="108" w:type="dxa"/>
                </w:tblCellMar>
              </w:tblPrEx>
              <w:trPr>
                <w:trHeight w:val="340" w:hRule="atLeast"/>
                <w:jc w:val="center"/>
              </w:trPr>
              <w:tc>
                <w:tcPr>
                  <w:tcW w:w="436" w:type="pct"/>
                  <w:tcBorders>
                    <w:top w:val="single" w:color="auto" w:sz="4" w:space="0"/>
                    <w:left w:val="single" w:color="auto" w:sz="4" w:space="0"/>
                    <w:bottom w:val="single" w:color="auto" w:sz="4" w:space="0"/>
                    <w:right w:val="single" w:color="auto" w:sz="4" w:space="0"/>
                  </w:tcBorders>
                  <w:vAlign w:val="center"/>
                </w:tcPr>
                <w:p w14:paraId="346DAE7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结果</w:t>
                  </w:r>
                </w:p>
                <w:p w14:paraId="39F89608">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评价</w:t>
                  </w:r>
                </w:p>
              </w:tc>
              <w:tc>
                <w:tcPr>
                  <w:tcW w:w="4563" w:type="pct"/>
                  <w:gridSpan w:val="8"/>
                  <w:tcBorders>
                    <w:top w:val="single" w:color="auto" w:sz="4" w:space="0"/>
                    <w:left w:val="single" w:color="auto" w:sz="4" w:space="0"/>
                    <w:bottom w:val="single" w:color="auto" w:sz="4" w:space="0"/>
                    <w:right w:val="single" w:color="auto" w:sz="4" w:space="0"/>
                  </w:tcBorders>
                  <w:vAlign w:val="center"/>
                </w:tcPr>
                <w:p w14:paraId="58AE564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经监测，</w:t>
                  </w:r>
                  <w:r>
                    <w:rPr>
                      <w:rFonts w:hint="eastAsia" w:cs="Times New Roman"/>
                      <w:color w:val="auto"/>
                      <w:sz w:val="21"/>
                      <w:szCs w:val="21"/>
                      <w:lang w:val="en-US" w:eastAsia="zh-CN"/>
                    </w:rPr>
                    <w:t>医院</w:t>
                  </w:r>
                  <w:r>
                    <w:rPr>
                      <w:rFonts w:hint="default" w:ascii="Times New Roman" w:hAnsi="Times New Roman" w:cs="Times New Roman"/>
                      <w:color w:val="auto"/>
                      <w:sz w:val="21"/>
                      <w:szCs w:val="21"/>
                    </w:rPr>
                    <w:t>运营期</w:t>
                  </w:r>
                  <w:r>
                    <w:rPr>
                      <w:rFonts w:hint="default" w:ascii="Times New Roman" w:hAnsi="Times New Roman" w:cs="Times New Roman"/>
                      <w:color w:val="auto"/>
                      <w:sz w:val="21"/>
                      <w:szCs w:val="21"/>
                      <w:lang w:eastAsia="zh-CN"/>
                    </w:rPr>
                    <w:t>间厂界</w:t>
                  </w:r>
                  <w:r>
                    <w:rPr>
                      <w:rFonts w:hint="eastAsia" w:cs="Times New Roman"/>
                      <w:color w:val="auto"/>
                      <w:sz w:val="21"/>
                      <w:szCs w:val="21"/>
                      <w:lang w:val="en-US" w:eastAsia="zh-CN"/>
                    </w:rPr>
                    <w:t>能</w:t>
                  </w:r>
                  <w:r>
                    <w:rPr>
                      <w:rFonts w:hint="default" w:ascii="Times New Roman" w:hAnsi="Times New Roman" w:cs="Times New Roman"/>
                      <w:color w:val="auto"/>
                      <w:sz w:val="21"/>
                      <w:szCs w:val="21"/>
                      <w:lang w:eastAsia="zh-CN"/>
                    </w:rPr>
                    <w:t>达到</w:t>
                  </w:r>
                  <w:r>
                    <w:rPr>
                      <w:rFonts w:hint="eastAsia" w:cs="Times New Roman"/>
                      <w:color w:val="auto"/>
                      <w:sz w:val="21"/>
                      <w:szCs w:val="21"/>
                      <w:lang w:eastAsia="zh-CN"/>
                    </w:rPr>
                    <w:t>（GB12348-2008）</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工业企业厂界环境噪声排放标准</w:t>
                  </w:r>
                  <w:r>
                    <w:rPr>
                      <w:rFonts w:hint="default" w:ascii="Times New Roman" w:hAnsi="Times New Roman" w:cs="Times New Roman"/>
                      <w:color w:val="auto"/>
                      <w:sz w:val="21"/>
                      <w:szCs w:val="21"/>
                      <w:lang w:eastAsia="zh-CN"/>
                    </w:rPr>
                    <w:t>》中2类标准</w:t>
                  </w:r>
                  <w:r>
                    <w:rPr>
                      <w:rFonts w:hint="default" w:ascii="Times New Roman" w:hAnsi="Times New Roman" w:cs="Times New Roman"/>
                      <w:color w:val="auto"/>
                      <w:sz w:val="21"/>
                      <w:szCs w:val="21"/>
                    </w:rPr>
                    <w:t>。</w:t>
                  </w:r>
                </w:p>
              </w:tc>
            </w:tr>
          </w:tbl>
          <w:p w14:paraId="6D72BBF4">
            <w:pPr>
              <w:pStyle w:val="38"/>
              <w:ind w:firstLine="482"/>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、固废</w:t>
            </w:r>
          </w:p>
          <w:p w14:paraId="686B32D9">
            <w:pPr>
              <w:spacing w:line="360" w:lineRule="auto"/>
              <w:ind w:firstLine="480" w:firstLineChars="200"/>
              <w:rPr>
                <w:rFonts w:hint="default" w:ascii="Times New Roman" w:hAnsi="Times New Roman" w:cs="Times New Roman"/>
                <w:b/>
                <w:color w:val="auto"/>
                <w:sz w:val="24"/>
                <w:szCs w:val="24"/>
              </w:rPr>
            </w:pPr>
            <w:r>
              <w:rPr>
                <w:rFonts w:hint="eastAsia" w:ascii="Times New Roman" w:hAnsi="Times New Roman" w:cs="Times New Roman"/>
                <w:color w:val="auto"/>
                <w:sz w:val="24"/>
                <w:szCs w:val="24"/>
                <w:lang w:val="en-US" w:eastAsia="zh-CN"/>
              </w:rPr>
              <w:t>原</w:t>
            </w:r>
            <w:r>
              <w:rPr>
                <w:rFonts w:hint="default" w:ascii="Times New Roman" w:hAnsi="Times New Roman" w:cs="Times New Roman"/>
                <w:color w:val="auto"/>
                <w:sz w:val="24"/>
                <w:szCs w:val="24"/>
              </w:rPr>
              <w:t>项目产生的固体废弃物主要为医疗废物、生活垃圾、污水处理设施污泥。</w:t>
            </w:r>
            <w:r>
              <w:rPr>
                <w:rFonts w:hint="eastAsia" w:ascii="Times New Roman" w:cs="Times New Roman"/>
                <w:b w:val="0"/>
                <w:bCs/>
                <w:color w:val="auto"/>
                <w:sz w:val="24"/>
                <w:szCs w:val="24"/>
                <w:lang w:val="en-US" w:eastAsia="zh-CN"/>
              </w:rPr>
              <w:t>根据“昆明长青慈宁精神病医院扩建项目竣工环境保护验收检测”</w:t>
            </w:r>
            <w:r>
              <w:rPr>
                <w:rFonts w:hint="default" w:ascii="Times New Roman" w:hAnsi="Times New Roman" w:cs="Times New Roman"/>
                <w:color w:val="auto"/>
                <w:sz w:val="24"/>
                <w:szCs w:val="24"/>
              </w:rPr>
              <w:t>产排情况如</w:t>
            </w:r>
            <w:r>
              <w:rPr>
                <w:rFonts w:hint="eastAsia"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所示。</w:t>
            </w:r>
          </w:p>
          <w:p w14:paraId="4825E934">
            <w:pPr>
              <w:adjustRightInd w:val="0"/>
              <w:spacing w:after="80" w:line="240" w:lineRule="auto"/>
              <w:ind w:firstLine="482"/>
              <w:jc w:val="center"/>
              <w:textAlignment w:val="baseline"/>
              <w:rPr>
                <w:rFonts w:hint="default" w:ascii="Times New Roman" w:hAnsi="Times New Roman" w:cs="Times New Roman"/>
                <w:b/>
                <w:color w:val="auto"/>
              </w:rPr>
            </w:pPr>
            <w:r>
              <w:rPr>
                <w:rFonts w:hint="default" w:ascii="Times New Roman" w:hAnsi="Times New Roman" w:cs="Times New Roman"/>
                <w:b/>
                <w:color w:val="auto"/>
              </w:rPr>
              <w:t>表</w:t>
            </w:r>
            <w:r>
              <w:rPr>
                <w:rFonts w:hint="eastAsia" w:ascii="Times New Roman" w:hAnsi="Times New Roman" w:cs="Times New Roman"/>
                <w:b/>
                <w:color w:val="auto"/>
                <w:lang w:val="en-US" w:eastAsia="zh-CN"/>
              </w:rPr>
              <w:t>2</w:t>
            </w:r>
            <w:r>
              <w:rPr>
                <w:rFonts w:hint="default" w:ascii="Times New Roman" w:hAnsi="Times New Roman" w:cs="Times New Roman"/>
                <w:b/>
                <w:color w:val="auto"/>
              </w:rPr>
              <w:t>-</w:t>
            </w:r>
            <w:r>
              <w:rPr>
                <w:rFonts w:hint="eastAsia" w:ascii="Times New Roman" w:hAnsi="Times New Roman" w:cs="Times New Roman"/>
                <w:b/>
                <w:color w:val="auto"/>
                <w:lang w:val="en-US" w:eastAsia="zh-CN"/>
              </w:rPr>
              <w:t>1</w:t>
            </w:r>
            <w:r>
              <w:rPr>
                <w:rFonts w:hint="eastAsia" w:cs="Times New Roman"/>
                <w:b/>
                <w:color w:val="auto"/>
                <w:lang w:val="en-US" w:eastAsia="zh-CN"/>
              </w:rPr>
              <w:t>3</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 xml:space="preserve"> </w:t>
            </w:r>
            <w:r>
              <w:rPr>
                <w:rFonts w:hint="eastAsia" w:cs="Times New Roman"/>
                <w:b/>
                <w:color w:val="auto"/>
                <w:lang w:val="en-US" w:eastAsia="zh-CN"/>
              </w:rPr>
              <w:t>原</w:t>
            </w:r>
            <w:r>
              <w:rPr>
                <w:rFonts w:hint="default" w:ascii="Times New Roman" w:hAnsi="Times New Roman" w:cs="Times New Roman"/>
                <w:b/>
                <w:color w:val="auto"/>
              </w:rPr>
              <w:t>项目固体废物产生情况</w:t>
            </w:r>
          </w:p>
          <w:tbl>
            <w:tblPr>
              <w:tblStyle w:val="24"/>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316"/>
              <w:gridCol w:w="1315"/>
              <w:gridCol w:w="4613"/>
            </w:tblGrid>
            <w:tr w14:paraId="7E62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339002DF">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316" w:type="dxa"/>
                  <w:noWrap w:val="0"/>
                  <w:vAlign w:val="center"/>
                </w:tcPr>
                <w:p w14:paraId="16133D46">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日产生量（kg/d）</w:t>
                  </w:r>
                </w:p>
              </w:tc>
              <w:tc>
                <w:tcPr>
                  <w:tcW w:w="1315" w:type="dxa"/>
                  <w:noWrap w:val="0"/>
                  <w:vAlign w:val="center"/>
                </w:tcPr>
                <w:p w14:paraId="504D7CE0">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年产生量（t/a）</w:t>
                  </w:r>
                </w:p>
              </w:tc>
              <w:tc>
                <w:tcPr>
                  <w:tcW w:w="4613" w:type="dxa"/>
                  <w:noWrap w:val="0"/>
                  <w:vAlign w:val="center"/>
                </w:tcPr>
                <w:p w14:paraId="255F7F29">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处置方式</w:t>
                  </w:r>
                </w:p>
              </w:tc>
            </w:tr>
            <w:tr w14:paraId="3C4A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1AE9F85F">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生活垃圾</w:t>
                  </w:r>
                </w:p>
              </w:tc>
              <w:tc>
                <w:tcPr>
                  <w:tcW w:w="1316" w:type="dxa"/>
                  <w:noWrap w:val="0"/>
                  <w:vAlign w:val="center"/>
                </w:tcPr>
                <w:p w14:paraId="5E55AD1B">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46</w:t>
                  </w:r>
                </w:p>
              </w:tc>
              <w:tc>
                <w:tcPr>
                  <w:tcW w:w="1315" w:type="dxa"/>
                  <w:noWrap w:val="0"/>
                  <w:vAlign w:val="center"/>
                </w:tcPr>
                <w:p w14:paraId="029EF879">
                  <w:pPr>
                    <w:keepNext w:val="0"/>
                    <w:keepLines w:val="0"/>
                    <w:pageBreakBefore w:val="0"/>
                    <w:widowControl w:val="0"/>
                    <w:kinsoku/>
                    <w:wordWrap/>
                    <w:overflowPunct/>
                    <w:topLinePunct w:val="0"/>
                    <w:autoSpaceDE/>
                    <w:autoSpaceDN/>
                    <w:bidi w:val="0"/>
                    <w:adjustRightInd w:val="0"/>
                    <w:snapToGrid/>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16.79</w:t>
                  </w:r>
                </w:p>
              </w:tc>
              <w:tc>
                <w:tcPr>
                  <w:tcW w:w="4613" w:type="dxa"/>
                  <w:noWrap w:val="0"/>
                  <w:vAlign w:val="center"/>
                </w:tcPr>
                <w:p w14:paraId="1ED9661E">
                  <w:pPr>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使用生活垃圾收集桶</w:t>
                  </w:r>
                  <w:r>
                    <w:rPr>
                      <w:rFonts w:hint="eastAsia" w:cs="Times New Roman"/>
                      <w:b w:val="0"/>
                      <w:bCs w:val="0"/>
                      <w:color w:val="auto"/>
                      <w:sz w:val="21"/>
                      <w:szCs w:val="21"/>
                      <w:lang w:val="en-US" w:eastAsia="zh-CN"/>
                    </w:rPr>
                    <w:t>分类</w:t>
                  </w:r>
                  <w:r>
                    <w:rPr>
                      <w:rFonts w:hint="default" w:ascii="Times New Roman" w:hAnsi="Times New Roman" w:eastAsia="宋体" w:cs="Times New Roman"/>
                      <w:b w:val="0"/>
                      <w:bCs w:val="0"/>
                      <w:color w:val="auto"/>
                      <w:sz w:val="21"/>
                      <w:szCs w:val="21"/>
                      <w:lang w:eastAsia="zh-CN"/>
                    </w:rPr>
                    <w:t>收集</w:t>
                  </w:r>
                  <w:r>
                    <w:rPr>
                      <w:rFonts w:hint="eastAsia" w:cs="Times New Roman"/>
                      <w:b w:val="0"/>
                      <w:bCs w:val="0"/>
                      <w:color w:val="auto"/>
                      <w:sz w:val="21"/>
                      <w:szCs w:val="21"/>
                      <w:lang w:val="en-US" w:eastAsia="zh-CN"/>
                    </w:rPr>
                    <w:t>后</w:t>
                  </w:r>
                  <w:r>
                    <w:rPr>
                      <w:rFonts w:hint="default" w:ascii="Times New Roman" w:hAnsi="Times New Roman" w:eastAsia="宋体" w:cs="Times New Roman"/>
                      <w:b w:val="0"/>
                      <w:bCs w:val="0"/>
                      <w:color w:val="auto"/>
                      <w:sz w:val="21"/>
                      <w:szCs w:val="21"/>
                      <w:lang w:eastAsia="zh-CN"/>
                    </w:rPr>
                    <w:t>委托环卫部门清运</w:t>
                  </w:r>
                </w:p>
              </w:tc>
            </w:tr>
            <w:tr w14:paraId="136C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35F2CC36">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医疗废物</w:t>
                  </w:r>
                </w:p>
              </w:tc>
              <w:tc>
                <w:tcPr>
                  <w:tcW w:w="1316" w:type="dxa"/>
                  <w:noWrap w:val="0"/>
                  <w:vAlign w:val="center"/>
                </w:tcPr>
                <w:p w14:paraId="336B58DC">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6.92</w:t>
                  </w:r>
                </w:p>
              </w:tc>
              <w:tc>
                <w:tcPr>
                  <w:tcW w:w="1315" w:type="dxa"/>
                  <w:noWrap w:val="0"/>
                  <w:vAlign w:val="center"/>
                </w:tcPr>
                <w:p w14:paraId="3F6A11A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2.53</w:t>
                  </w:r>
                </w:p>
              </w:tc>
              <w:tc>
                <w:tcPr>
                  <w:tcW w:w="4613" w:type="dxa"/>
                  <w:noWrap w:val="0"/>
                  <w:vAlign w:val="center"/>
                </w:tcPr>
                <w:p w14:paraId="3085342B">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lang w:eastAsia="zh-CN"/>
                    </w:rPr>
                    <w:t>委托玉溪易和环境技术有限公司昆明分公司清运处置</w:t>
                  </w:r>
                </w:p>
              </w:tc>
            </w:tr>
            <w:tr w14:paraId="02EB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251643E4">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污泥</w:t>
                  </w:r>
                </w:p>
              </w:tc>
              <w:tc>
                <w:tcPr>
                  <w:tcW w:w="1316" w:type="dxa"/>
                  <w:noWrap w:val="0"/>
                  <w:vAlign w:val="center"/>
                </w:tcPr>
                <w:p w14:paraId="51D83600">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2.45</w:t>
                  </w:r>
                </w:p>
              </w:tc>
              <w:tc>
                <w:tcPr>
                  <w:tcW w:w="1315" w:type="dxa"/>
                  <w:noWrap w:val="0"/>
                  <w:vAlign w:val="center"/>
                </w:tcPr>
                <w:p w14:paraId="60B7E50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0.89</w:t>
                  </w:r>
                </w:p>
              </w:tc>
              <w:tc>
                <w:tcPr>
                  <w:tcW w:w="4613" w:type="dxa"/>
                  <w:noWrap w:val="0"/>
                  <w:vAlign w:val="center"/>
                </w:tcPr>
                <w:p w14:paraId="6E1BA9DD">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委托云南大地丰源环保有限公司处置</w:t>
                  </w:r>
                </w:p>
              </w:tc>
            </w:tr>
            <w:tr w14:paraId="7F39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0175F25D">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总计</w:t>
                  </w:r>
                </w:p>
              </w:tc>
              <w:tc>
                <w:tcPr>
                  <w:tcW w:w="1316" w:type="dxa"/>
                  <w:noWrap w:val="0"/>
                  <w:vAlign w:val="center"/>
                </w:tcPr>
                <w:p w14:paraId="0EEA2EC9">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55.37</w:t>
                  </w:r>
                </w:p>
              </w:tc>
              <w:tc>
                <w:tcPr>
                  <w:tcW w:w="1315" w:type="dxa"/>
                  <w:noWrap w:val="0"/>
                  <w:vAlign w:val="center"/>
                </w:tcPr>
                <w:p w14:paraId="2F12C360">
                  <w:pPr>
                    <w:keepNext w:val="0"/>
                    <w:keepLines w:val="0"/>
                    <w:pageBreakBefore w:val="0"/>
                    <w:widowControl w:val="0"/>
                    <w:tabs>
                      <w:tab w:val="left" w:pos="3915"/>
                    </w:tabs>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20.21</w:t>
                  </w:r>
                </w:p>
              </w:tc>
              <w:tc>
                <w:tcPr>
                  <w:tcW w:w="4613" w:type="dxa"/>
                  <w:noWrap w:val="0"/>
                  <w:vAlign w:val="center"/>
                </w:tcPr>
                <w:p w14:paraId="14E16B69">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bl>
          <w:p w14:paraId="1B0BC7AD">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76"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综上所述，</w:t>
            </w:r>
            <w:r>
              <w:rPr>
                <w:rFonts w:hint="eastAsia" w:ascii="Times New Roman" w:hAnsi="Times New Roman" w:cs="Times New Roman"/>
                <w:color w:val="auto"/>
                <w:spacing w:val="-1"/>
                <w:sz w:val="24"/>
                <w:szCs w:val="24"/>
                <w:lang w:val="en-US" w:eastAsia="zh-CN"/>
              </w:rPr>
              <w:t>原项目</w:t>
            </w:r>
            <w:r>
              <w:rPr>
                <w:rFonts w:hint="default" w:ascii="Times New Roman" w:hAnsi="Times New Roman" w:cs="Times New Roman"/>
                <w:color w:val="auto"/>
                <w:spacing w:val="-1"/>
                <w:sz w:val="24"/>
                <w:szCs w:val="24"/>
              </w:rPr>
              <w:t>固废的处置率达100%，对外界环境影响较小。</w:t>
            </w:r>
          </w:p>
          <w:p w14:paraId="52EE6925">
            <w:pPr>
              <w:keepNext w:val="0"/>
              <w:keepLines w:val="0"/>
              <w:pageBreakBefore w:val="0"/>
              <w:widowControl w:val="0"/>
              <w:kinsoku/>
              <w:wordWrap w:val="0"/>
              <w:overflowPunct/>
              <w:topLinePunct/>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五、与本项目有关的原有污染问题及主要环境问题</w:t>
            </w:r>
          </w:p>
          <w:p w14:paraId="7D50F7E7">
            <w:pPr>
              <w:pStyle w:val="12"/>
              <w:keepNext w:val="0"/>
              <w:keepLines w:val="0"/>
              <w:pageBreakBefore w:val="0"/>
              <w:widowControl w:val="0"/>
              <w:kinsoku/>
              <w:wordWrap w:val="0"/>
              <w:overflowPunct/>
              <w:topLinePunct/>
              <w:autoSpaceDE/>
              <w:autoSpaceDN/>
              <w:bidi w:val="0"/>
              <w:adjustRightInd/>
              <w:snapToGrid w:val="0"/>
              <w:spacing w:afterLines="0" w:line="360" w:lineRule="auto"/>
              <w:ind w:right="0" w:firstLine="480" w:firstLineChars="200"/>
              <w:textAlignment w:val="auto"/>
              <w:outlineLvl w:val="9"/>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原项目</w:t>
            </w:r>
            <w:r>
              <w:rPr>
                <w:rFonts w:hint="eastAsia" w:ascii="Times New Roman" w:hAnsi="Times New Roman" w:eastAsia="宋体" w:cs="Times New Roman"/>
                <w:b w:val="0"/>
                <w:bCs w:val="0"/>
                <w:i w:val="0"/>
                <w:iCs w:val="0"/>
                <w:color w:val="auto"/>
                <w:sz w:val="24"/>
                <w:szCs w:val="24"/>
                <w:lang w:val="en-US" w:eastAsia="zh-CN"/>
              </w:rPr>
              <w:t>精神病院</w:t>
            </w:r>
            <w:r>
              <w:rPr>
                <w:rFonts w:hint="default" w:ascii="Times New Roman" w:hAnsi="Times New Roman" w:eastAsia="宋体" w:cs="Times New Roman"/>
                <w:b w:val="0"/>
                <w:bCs w:val="0"/>
                <w:i w:val="0"/>
                <w:iCs w:val="0"/>
                <w:color w:val="auto"/>
                <w:sz w:val="24"/>
                <w:szCs w:val="24"/>
                <w:lang w:val="en-US" w:eastAsia="zh-CN"/>
              </w:rPr>
              <w:t>位于昆明市寻甸回族彝族自治县倘甸镇者己村，根据现场踏勘，</w:t>
            </w:r>
            <w:r>
              <w:rPr>
                <w:rFonts w:hint="eastAsia" w:ascii="Times New Roman" w:hAnsi="Times New Roman" w:eastAsia="宋体" w:cs="Times New Roman"/>
                <w:b w:val="0"/>
                <w:bCs w:val="0"/>
                <w:i w:val="0"/>
                <w:iCs w:val="0"/>
                <w:color w:val="auto"/>
                <w:sz w:val="24"/>
                <w:szCs w:val="24"/>
                <w:lang w:val="en-US" w:eastAsia="zh-CN"/>
              </w:rPr>
              <w:t>污水处理站运行正常</w:t>
            </w:r>
            <w:r>
              <w:rPr>
                <w:rFonts w:hint="default" w:ascii="Times New Roman" w:hAnsi="Times New Roman" w:eastAsia="宋体" w:cs="Times New Roman"/>
                <w:b w:val="0"/>
                <w:bCs w:val="0"/>
                <w:i w:val="0"/>
                <w:iCs w:val="0"/>
                <w:color w:val="auto"/>
                <w:sz w:val="24"/>
                <w:szCs w:val="24"/>
                <w:lang w:val="en-US" w:eastAsia="zh-CN"/>
              </w:rPr>
              <w:t>，未发生过废水泄漏事件；</w:t>
            </w:r>
            <w:r>
              <w:rPr>
                <w:rFonts w:hint="eastAsia" w:ascii="Times New Roman" w:hAnsi="Times New Roman" w:eastAsia="宋体" w:cs="Times New Roman"/>
                <w:b w:val="0"/>
                <w:bCs w:val="0"/>
                <w:i w:val="0"/>
                <w:iCs w:val="0"/>
                <w:color w:val="auto"/>
                <w:sz w:val="24"/>
                <w:szCs w:val="24"/>
                <w:lang w:val="en-US" w:eastAsia="zh-CN"/>
              </w:rPr>
              <w:t>医废暂存间</w:t>
            </w:r>
            <w:r>
              <w:rPr>
                <w:rFonts w:hint="default" w:ascii="Times New Roman" w:hAnsi="Times New Roman" w:eastAsia="宋体" w:cs="Times New Roman"/>
                <w:b w:val="0"/>
                <w:bCs w:val="0"/>
                <w:i w:val="0"/>
                <w:iCs w:val="0"/>
                <w:color w:val="auto"/>
                <w:sz w:val="24"/>
                <w:szCs w:val="24"/>
                <w:lang w:val="en-US" w:eastAsia="zh-CN"/>
              </w:rPr>
              <w:t>设置收集</w:t>
            </w:r>
            <w:r>
              <w:rPr>
                <w:rFonts w:hint="eastAsia" w:ascii="Times New Roman" w:hAnsi="Times New Roman" w:eastAsia="宋体" w:cs="Times New Roman"/>
                <w:b w:val="0"/>
                <w:bCs w:val="0"/>
                <w:i w:val="0"/>
                <w:iCs w:val="0"/>
                <w:color w:val="auto"/>
                <w:sz w:val="24"/>
                <w:szCs w:val="24"/>
                <w:lang w:val="en-US" w:eastAsia="zh-CN"/>
              </w:rPr>
              <w:t>箱</w:t>
            </w:r>
            <w:r>
              <w:rPr>
                <w:rFonts w:hint="default" w:ascii="Times New Roman" w:hAnsi="Times New Roman" w:eastAsia="宋体" w:cs="Times New Roman"/>
                <w:b w:val="0"/>
                <w:bCs w:val="0"/>
                <w:i w:val="0"/>
                <w:iCs w:val="0"/>
                <w:color w:val="auto"/>
                <w:sz w:val="24"/>
                <w:szCs w:val="24"/>
                <w:lang w:val="en-US" w:eastAsia="zh-CN"/>
              </w:rPr>
              <w:t>，</w:t>
            </w:r>
            <w:r>
              <w:rPr>
                <w:rFonts w:hint="eastAsia" w:ascii="Times New Roman" w:hAnsi="Times New Roman" w:eastAsia="宋体" w:cs="Times New Roman"/>
                <w:b w:val="0"/>
                <w:bCs w:val="0"/>
                <w:i w:val="0"/>
                <w:iCs w:val="0"/>
                <w:color w:val="auto"/>
                <w:sz w:val="24"/>
                <w:szCs w:val="24"/>
                <w:lang w:val="en-US" w:eastAsia="zh-CN"/>
              </w:rPr>
              <w:t>医废暂存间</w:t>
            </w:r>
            <w:r>
              <w:rPr>
                <w:rFonts w:hint="default" w:ascii="Times New Roman" w:hAnsi="Times New Roman" w:eastAsia="宋体" w:cs="Times New Roman"/>
                <w:b w:val="0"/>
                <w:bCs w:val="0"/>
                <w:i w:val="0"/>
                <w:iCs w:val="0"/>
                <w:color w:val="auto"/>
                <w:sz w:val="24"/>
                <w:szCs w:val="24"/>
                <w:lang w:val="en-US" w:eastAsia="zh-CN"/>
              </w:rPr>
              <w:t>地面进行了防渗，根据建设单位反映，</w:t>
            </w:r>
            <w:r>
              <w:rPr>
                <w:rFonts w:hint="eastAsia" w:ascii="Times New Roman" w:hAnsi="Times New Roman" w:eastAsia="宋体" w:cs="Times New Roman"/>
                <w:b w:val="0"/>
                <w:bCs w:val="0"/>
                <w:i w:val="0"/>
                <w:iCs w:val="0"/>
                <w:color w:val="auto"/>
                <w:sz w:val="24"/>
                <w:szCs w:val="24"/>
                <w:lang w:val="en-US" w:eastAsia="zh-CN"/>
              </w:rPr>
              <w:t>医废</w:t>
            </w:r>
            <w:r>
              <w:rPr>
                <w:rFonts w:hint="default" w:ascii="Times New Roman" w:hAnsi="Times New Roman" w:eastAsia="宋体" w:cs="Times New Roman"/>
                <w:b w:val="0"/>
                <w:bCs w:val="0"/>
                <w:i w:val="0"/>
                <w:iCs w:val="0"/>
                <w:color w:val="auto"/>
                <w:sz w:val="24"/>
                <w:szCs w:val="24"/>
                <w:lang w:val="en-US" w:eastAsia="zh-CN"/>
              </w:rPr>
              <w:t>未发生过泄漏。且原项目环境管理较规范，</w:t>
            </w:r>
            <w:r>
              <w:rPr>
                <w:rFonts w:hint="eastAsia" w:ascii="Times New Roman" w:hAnsi="Times New Roman" w:eastAsia="宋体" w:cs="Times New Roman"/>
                <w:b w:val="0"/>
                <w:bCs w:val="0"/>
                <w:i w:val="0"/>
                <w:iCs w:val="0"/>
                <w:color w:val="auto"/>
                <w:sz w:val="24"/>
                <w:szCs w:val="24"/>
                <w:lang w:val="en-US" w:eastAsia="zh-CN"/>
              </w:rPr>
              <w:t>医院</w:t>
            </w:r>
            <w:r>
              <w:rPr>
                <w:rFonts w:hint="default" w:ascii="Times New Roman" w:hAnsi="Times New Roman" w:eastAsia="宋体" w:cs="Times New Roman"/>
                <w:b w:val="0"/>
                <w:bCs w:val="0"/>
                <w:i w:val="0"/>
                <w:iCs w:val="0"/>
                <w:color w:val="auto"/>
                <w:sz w:val="24"/>
                <w:szCs w:val="24"/>
                <w:lang w:val="en-US" w:eastAsia="zh-CN"/>
              </w:rPr>
              <w:t>本身对内部环境要求较高，因此，搬迁后原有项目场地无遗留环境问题。</w:t>
            </w:r>
          </w:p>
          <w:p w14:paraId="5B23D4C9">
            <w:pPr>
              <w:spacing w:line="360" w:lineRule="auto"/>
              <w:ind w:firstLine="480" w:firstLineChars="200"/>
              <w:rPr>
                <w:rFonts w:hint="eastAsia" w:eastAsia="宋体"/>
                <w:color w:val="auto"/>
                <w:lang w:val="en-US" w:eastAsia="zh-CN"/>
              </w:rPr>
            </w:pPr>
            <w:r>
              <w:rPr>
                <w:rFonts w:hint="eastAsia"/>
                <w:color w:val="auto"/>
                <w:sz w:val="24"/>
                <w:szCs w:val="24"/>
                <w:lang w:val="en-US" w:eastAsia="zh-CN"/>
              </w:rPr>
              <w:t>本项目搬迁至</w:t>
            </w:r>
            <w:r>
              <w:rPr>
                <w:rFonts w:hint="eastAsia" w:ascii="宋体" w:hAnsi="宋体" w:eastAsia="宋体" w:cs="宋体"/>
                <w:color w:val="auto"/>
                <w:sz w:val="24"/>
                <w:szCs w:val="24"/>
              </w:rPr>
              <w:t>寻甸回族彝族自治县倘甸镇白章村委会芭蕉树村108号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项目场地内的寻甸骨伤医院</w:t>
            </w:r>
            <w:r>
              <w:rPr>
                <w:rFonts w:hint="eastAsia" w:ascii="宋体" w:hAnsi="宋体" w:cs="宋体"/>
                <w:color w:val="auto"/>
                <w:sz w:val="24"/>
                <w:szCs w:val="24"/>
                <w:lang w:val="en-US" w:eastAsia="zh-CN"/>
              </w:rPr>
              <w:t>已于2024年9月</w:t>
            </w:r>
            <w:r>
              <w:rPr>
                <w:rFonts w:hint="eastAsia" w:ascii="宋体" w:hAnsi="宋体" w:eastAsia="宋体" w:cs="宋体"/>
                <w:color w:val="auto"/>
                <w:sz w:val="24"/>
                <w:szCs w:val="24"/>
                <w:lang w:val="en-US" w:eastAsia="zh-CN"/>
              </w:rPr>
              <w:t>搬离，建筑房屋已长期空置，无</w:t>
            </w:r>
            <w:r>
              <w:rPr>
                <w:rFonts w:hint="eastAsia" w:cs="宋体"/>
                <w:bCs/>
                <w:color w:val="auto"/>
                <w:kern w:val="2"/>
                <w:sz w:val="24"/>
                <w:szCs w:val="24"/>
              </w:rPr>
              <w:t>原有环境污染问题</w:t>
            </w:r>
            <w:r>
              <w:rPr>
                <w:rFonts w:hint="eastAsia" w:cs="宋体"/>
                <w:bCs/>
                <w:color w:val="auto"/>
                <w:kern w:val="2"/>
                <w:sz w:val="24"/>
                <w:szCs w:val="24"/>
                <w:lang w:eastAsia="zh-CN"/>
              </w:rPr>
              <w:t>。</w:t>
            </w:r>
          </w:p>
          <w:p w14:paraId="4C15D958">
            <w:pPr>
              <w:pStyle w:val="32"/>
              <w:ind w:left="0" w:leftChars="0" w:firstLine="0" w:firstLineChars="0"/>
              <w:rPr>
                <w:rFonts w:hint="default"/>
                <w:color w:val="auto"/>
                <w:lang w:val="en-US" w:eastAsia="zh-CN"/>
              </w:rPr>
            </w:pPr>
          </w:p>
        </w:tc>
      </w:tr>
    </w:tbl>
    <w:p w14:paraId="720F87D3">
      <w:pPr>
        <w:rPr>
          <w:color w:val="auto"/>
        </w:rPr>
      </w:pPr>
    </w:p>
    <w:p w14:paraId="5F8ECDD5">
      <w:pPr>
        <w:pStyle w:val="22"/>
        <w:keepNext/>
        <w:keepLines w:val="0"/>
        <w:pageBreakBefore/>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rPr>
      </w:pPr>
      <w:bookmarkStart w:id="12" w:name="_Toc105"/>
      <w:bookmarkStart w:id="13" w:name="_Toc24975"/>
      <w:r>
        <w:rPr>
          <w:rFonts w:hint="eastAsia" w:ascii="黑体" w:hAnsi="黑体" w:eastAsia="黑体"/>
          <w:snapToGrid w:val="0"/>
          <w:color w:val="auto"/>
          <w:sz w:val="30"/>
          <w:szCs w:val="30"/>
        </w:rPr>
        <w:t>三、区域环境质量现状、环境保护目标及评价标准</w:t>
      </w:r>
      <w:bookmarkEnd w:id="12"/>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452"/>
      </w:tblGrid>
      <w:tr w14:paraId="41083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6" w:type="pct"/>
            <w:noWrap w:val="0"/>
            <w:vAlign w:val="center"/>
          </w:tcPr>
          <w:p w14:paraId="6605113B">
            <w:pPr>
              <w:adjustRightInd w:val="0"/>
              <w:snapToGrid w:val="0"/>
              <w:spacing w:line="360" w:lineRule="auto"/>
              <w:jc w:val="center"/>
              <w:rPr>
                <w:rFonts w:hint="eastAsia" w:ascii="宋体" w:hAnsi="宋体" w:cs="宋体"/>
                <w:b/>
                <w:bCs/>
                <w:color w:val="auto"/>
                <w:kern w:val="0"/>
                <w:szCs w:val="21"/>
              </w:rPr>
            </w:pPr>
            <w:r>
              <w:rPr>
                <w:rFonts w:hint="eastAsia" w:ascii="宋体" w:hAnsi="宋体" w:cs="宋体"/>
                <w:b/>
                <w:bCs/>
                <w:color w:val="auto"/>
                <w:kern w:val="0"/>
                <w:szCs w:val="21"/>
              </w:rPr>
              <w:t>区域</w:t>
            </w:r>
          </w:p>
          <w:p w14:paraId="5F24952B">
            <w:pPr>
              <w:adjustRightInd w:val="0"/>
              <w:snapToGrid w:val="0"/>
              <w:spacing w:line="360" w:lineRule="auto"/>
              <w:jc w:val="center"/>
              <w:rPr>
                <w:rFonts w:hint="eastAsia" w:ascii="宋体" w:hAnsi="宋体" w:cs="宋体"/>
                <w:b/>
                <w:bCs/>
                <w:color w:val="auto"/>
                <w:kern w:val="0"/>
                <w:szCs w:val="21"/>
              </w:rPr>
            </w:pPr>
            <w:r>
              <w:rPr>
                <w:rFonts w:hint="eastAsia" w:ascii="宋体" w:hAnsi="宋体" w:cs="宋体"/>
                <w:b/>
                <w:bCs/>
                <w:color w:val="auto"/>
                <w:kern w:val="0"/>
                <w:szCs w:val="21"/>
              </w:rPr>
              <w:t>环境</w:t>
            </w:r>
          </w:p>
          <w:p w14:paraId="3D139155">
            <w:pPr>
              <w:adjustRightInd w:val="0"/>
              <w:snapToGrid w:val="0"/>
              <w:spacing w:line="360" w:lineRule="auto"/>
              <w:jc w:val="center"/>
              <w:rPr>
                <w:rFonts w:hint="eastAsia" w:ascii="宋体" w:hAnsi="宋体" w:cs="宋体"/>
                <w:b/>
                <w:bCs/>
                <w:color w:val="auto"/>
                <w:kern w:val="0"/>
                <w:szCs w:val="21"/>
              </w:rPr>
            </w:pPr>
            <w:r>
              <w:rPr>
                <w:rFonts w:hint="eastAsia" w:ascii="宋体" w:hAnsi="宋体" w:cs="宋体"/>
                <w:b/>
                <w:bCs/>
                <w:color w:val="auto"/>
                <w:kern w:val="0"/>
                <w:szCs w:val="21"/>
              </w:rPr>
              <w:t>质量</w:t>
            </w:r>
          </w:p>
          <w:p w14:paraId="4161663F">
            <w:pPr>
              <w:adjustRightInd w:val="0"/>
              <w:snapToGrid w:val="0"/>
              <w:spacing w:line="360" w:lineRule="auto"/>
              <w:jc w:val="center"/>
              <w:rPr>
                <w:rFonts w:ascii="宋体" w:hAnsi="宋体" w:cs="宋体"/>
                <w:b/>
                <w:bCs/>
                <w:color w:val="auto"/>
                <w:kern w:val="0"/>
                <w:szCs w:val="21"/>
              </w:rPr>
            </w:pPr>
            <w:r>
              <w:rPr>
                <w:rFonts w:hint="eastAsia" w:ascii="宋体" w:hAnsi="宋体" w:cs="宋体"/>
                <w:b/>
                <w:bCs/>
                <w:color w:val="auto"/>
                <w:kern w:val="0"/>
                <w:szCs w:val="21"/>
              </w:rPr>
              <w:t>现状</w:t>
            </w:r>
          </w:p>
        </w:tc>
        <w:tc>
          <w:tcPr>
            <w:tcW w:w="4663" w:type="pct"/>
            <w:noWrap w:val="0"/>
            <w:vAlign w:val="center"/>
          </w:tcPr>
          <w:p w14:paraId="69671DEC">
            <w:pPr>
              <w:pStyle w:val="34"/>
              <w:bidi w:val="0"/>
              <w:spacing w:line="360" w:lineRule="auto"/>
              <w:ind w:firstLine="482" w:firstLineChars="200"/>
              <w:rPr>
                <w:rFonts w:hint="default"/>
                <w:b/>
                <w:bCs/>
                <w:color w:val="auto"/>
                <w:sz w:val="24"/>
                <w:szCs w:val="24"/>
                <w:lang w:val="en-US" w:eastAsia="zh-CN"/>
              </w:rPr>
            </w:pPr>
            <w:bookmarkStart w:id="14" w:name="_Toc16556"/>
            <w:bookmarkStart w:id="15" w:name="_Toc29700"/>
            <w:bookmarkStart w:id="16" w:name="_Toc13932"/>
            <w:r>
              <w:rPr>
                <w:rFonts w:hint="default"/>
                <w:b/>
                <w:bCs/>
                <w:color w:val="auto"/>
                <w:sz w:val="24"/>
                <w:szCs w:val="24"/>
                <w:lang w:val="en-US" w:eastAsia="zh-CN"/>
              </w:rPr>
              <w:t>1、环境空气质量现状</w:t>
            </w:r>
            <w:bookmarkEnd w:id="14"/>
            <w:bookmarkEnd w:id="15"/>
            <w:bookmarkEnd w:id="16"/>
          </w:p>
          <w:p w14:paraId="524391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val="0"/>
                <w:color w:val="auto"/>
                <w:sz w:val="24"/>
                <w:szCs w:val="24"/>
                <w:vertAlign w:val="baseline"/>
                <w:lang w:val="en-US" w:eastAsia="zh-CN"/>
              </w:rPr>
              <w:t>项目位于</w:t>
            </w:r>
            <w:r>
              <w:rPr>
                <w:rFonts w:hint="eastAsia" w:ascii="宋体" w:hAnsi="宋体" w:eastAsia="宋体" w:cs="宋体"/>
                <w:color w:val="auto"/>
                <w:sz w:val="24"/>
                <w:szCs w:val="24"/>
              </w:rPr>
              <w:t>寻甸回族彝族自治县倘甸镇白章村委会芭蕉树村108号</w:t>
            </w:r>
            <w:r>
              <w:rPr>
                <w:rFonts w:hint="default" w:ascii="Times New Roman" w:hAnsi="Times New Roman" w:eastAsia="宋体" w:cs="Times New Roman"/>
                <w:b w:val="0"/>
                <w:bCs w:val="0"/>
                <w:color w:val="auto"/>
                <w:sz w:val="24"/>
                <w:szCs w:val="24"/>
                <w:vertAlign w:val="baseline"/>
                <w:lang w:val="en-US" w:eastAsia="zh-CN"/>
              </w:rPr>
              <w:t>，属农村地区。</w:t>
            </w:r>
            <w:r>
              <w:rPr>
                <w:rFonts w:hint="default" w:ascii="Times New Roman" w:hAnsi="Times New Roman" w:eastAsia="宋体" w:cs="Times New Roman"/>
                <w:color w:val="auto"/>
                <w:kern w:val="0"/>
                <w:sz w:val="24"/>
                <w:szCs w:val="24"/>
                <w:lang w:val="en-US" w:eastAsia="zh-CN" w:bidi="ar"/>
              </w:rPr>
              <w:t>根据《环境影响评价技术导则大气环境》（HJ2.2-2018）可知，城市环境空气质量达标情况评价指标为SO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2.5</w:t>
            </w:r>
            <w:r>
              <w:rPr>
                <w:rFonts w:hint="default" w:ascii="Times New Roman" w:hAnsi="Times New Roman" w:eastAsia="宋体" w:cs="Times New Roman"/>
                <w:color w:val="auto"/>
                <w:kern w:val="0"/>
                <w:sz w:val="24"/>
                <w:szCs w:val="24"/>
                <w:lang w:val="en-US" w:eastAsia="zh-CN" w:bidi="ar"/>
              </w:rPr>
              <w:t>、CO和O</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，六项污染物全部达标即为城市环境空气质量达标。</w:t>
            </w:r>
          </w:p>
          <w:p w14:paraId="5F9633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（1）项目区域大气环境质量达标情况</w:t>
            </w:r>
          </w:p>
          <w:p w14:paraId="6C08B9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eastAsia="宋体" w:cs="Times New Roman"/>
                <w:b w:val="0"/>
                <w:bCs w:val="0"/>
                <w:color w:val="auto"/>
                <w:sz w:val="24"/>
                <w:szCs w:val="24"/>
                <w:vertAlign w:val="baseline"/>
                <w:lang w:val="en-US" w:eastAsia="zh-CN"/>
              </w:rPr>
              <w:t>根据环境功能区划分原则，</w:t>
            </w:r>
            <w:r>
              <w:rPr>
                <w:rFonts w:hint="default" w:ascii="Times New Roman" w:hAnsi="Times New Roman" w:eastAsia="宋体" w:cs="Times New Roman"/>
                <w:color w:val="auto"/>
                <w:kern w:val="0"/>
                <w:sz w:val="24"/>
                <w:szCs w:val="24"/>
                <w:lang w:val="en-US" w:eastAsia="zh-CN" w:bidi="ar"/>
              </w:rPr>
              <w:t>本项目所在区域为二类环境空气质量功能区，执行《环境空气质量标准》（GB3095-</w:t>
            </w:r>
            <w:r>
              <w:rPr>
                <w:rFonts w:hint="eastAsia" w:cs="Times New Roman"/>
                <w:color w:val="auto"/>
                <w:kern w:val="0"/>
                <w:sz w:val="24"/>
                <w:szCs w:val="24"/>
                <w:lang w:val="en-US" w:eastAsia="zh-CN" w:bidi="ar"/>
              </w:rPr>
              <w:t>2026</w:t>
            </w:r>
            <w:r>
              <w:rPr>
                <w:rFonts w:hint="default" w:ascii="Times New Roman" w:hAnsi="Times New Roman" w:eastAsia="宋体" w:cs="Times New Roman"/>
                <w:color w:val="auto"/>
                <w:kern w:val="0"/>
                <w:sz w:val="24"/>
                <w:szCs w:val="24"/>
                <w:lang w:val="en-US" w:eastAsia="zh-CN" w:bidi="ar"/>
              </w:rPr>
              <w:t>）中过渡阶段浓度限值</w:t>
            </w:r>
            <w:r>
              <w:rPr>
                <w:rFonts w:hint="eastAsia" w:cs="Times New Roman"/>
                <w:color w:val="auto"/>
                <w:kern w:val="0"/>
                <w:sz w:val="24"/>
                <w:szCs w:val="24"/>
                <w:lang w:val="en-US" w:eastAsia="zh-CN" w:bidi="ar"/>
              </w:rPr>
              <w:t>二级</w:t>
            </w:r>
            <w:r>
              <w:rPr>
                <w:rFonts w:hint="default" w:ascii="Times New Roman" w:hAnsi="Times New Roman" w:eastAsia="宋体" w:cs="Times New Roman"/>
                <w:color w:val="auto"/>
                <w:kern w:val="0"/>
                <w:sz w:val="24"/>
                <w:szCs w:val="24"/>
                <w:lang w:val="en-US" w:eastAsia="zh-CN" w:bidi="ar"/>
              </w:rPr>
              <w:t>标准，标准限值见下表</w:t>
            </w:r>
            <w:r>
              <w:rPr>
                <w:rFonts w:hint="default" w:ascii="Times New Roman" w:hAnsi="Times New Roman" w:cs="Times New Roman"/>
                <w:color w:val="auto"/>
                <w:kern w:val="0"/>
                <w:sz w:val="24"/>
                <w:szCs w:val="24"/>
                <w:lang w:val="en-US" w:eastAsia="zh-CN" w:bidi="ar"/>
              </w:rPr>
              <w:t>：</w:t>
            </w:r>
          </w:p>
          <w:p w14:paraId="2DD0448F">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表3-1</w:t>
            </w:r>
            <w:r>
              <w:rPr>
                <w:rFonts w:hint="eastAsia"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环境空气质量标准（GB3095-</w:t>
            </w:r>
            <w:r>
              <w:rPr>
                <w:rFonts w:hint="eastAsia" w:cs="Times New Roman"/>
                <w:b/>
                <w:bCs/>
                <w:color w:val="auto"/>
                <w:kern w:val="0"/>
                <w:sz w:val="21"/>
                <w:szCs w:val="21"/>
                <w:lang w:val="en-US" w:eastAsia="zh-CN" w:bidi="ar"/>
              </w:rPr>
              <w:t>2026</w:t>
            </w:r>
            <w:r>
              <w:rPr>
                <w:rFonts w:hint="default" w:ascii="Times New Roman" w:hAnsi="Times New Roman" w:eastAsia="宋体" w:cs="Times New Roman"/>
                <w:b/>
                <w:bCs/>
                <w:color w:val="auto"/>
                <w:kern w:val="0"/>
                <w:sz w:val="21"/>
                <w:szCs w:val="21"/>
                <w:lang w:val="en-US" w:eastAsia="zh-CN" w:bidi="ar"/>
              </w:rPr>
              <w:t>）摘录</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055"/>
              <w:gridCol w:w="3162"/>
              <w:gridCol w:w="955"/>
            </w:tblGrid>
            <w:tr w14:paraId="27F5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30EAC3E0">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污染物名称</w:t>
                  </w:r>
                </w:p>
              </w:tc>
              <w:tc>
                <w:tcPr>
                  <w:tcW w:w="1249" w:type="pct"/>
                  <w:noWrap w:val="0"/>
                  <w:vAlign w:val="center"/>
                </w:tcPr>
                <w:p w14:paraId="5CD88B44">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取值时间</w:t>
                  </w:r>
                </w:p>
              </w:tc>
              <w:tc>
                <w:tcPr>
                  <w:tcW w:w="1921" w:type="pct"/>
                  <w:noWrap w:val="0"/>
                  <w:vAlign w:val="center"/>
                </w:tcPr>
                <w:p w14:paraId="2018A32C">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GB3095-</w:t>
                  </w:r>
                  <w:r>
                    <w:rPr>
                      <w:rFonts w:hint="eastAsia" w:cs="Times New Roman"/>
                      <w:b/>
                      <w:bCs/>
                      <w:color w:val="auto"/>
                      <w:kern w:val="0"/>
                      <w:sz w:val="21"/>
                      <w:szCs w:val="21"/>
                      <w:lang w:val="en-US" w:eastAsia="zh-CN" w:bidi="ar"/>
                    </w:rPr>
                    <w:t>2026</w:t>
                  </w:r>
                  <w:r>
                    <w:rPr>
                      <w:rFonts w:hint="default" w:ascii="Times New Roman" w:hAnsi="Times New Roman" w:eastAsia="宋体" w:cs="Times New Roman"/>
                      <w:b/>
                      <w:bCs/>
                      <w:color w:val="auto"/>
                      <w:kern w:val="0"/>
                      <w:sz w:val="21"/>
                      <w:szCs w:val="21"/>
                      <w:lang w:val="en-US" w:eastAsia="zh-CN" w:bidi="ar"/>
                    </w:rPr>
                    <w:t>《环境空气质量标准》二级标准浓度限值</w:t>
                  </w:r>
                </w:p>
              </w:tc>
              <w:tc>
                <w:tcPr>
                  <w:tcW w:w="580" w:type="pct"/>
                  <w:noWrap w:val="0"/>
                  <w:vAlign w:val="center"/>
                </w:tcPr>
                <w:p w14:paraId="1FA652E9">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单位</w:t>
                  </w:r>
                </w:p>
              </w:tc>
            </w:tr>
            <w:tr w14:paraId="54EB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48" w:type="pct"/>
                  <w:vMerge w:val="restart"/>
                  <w:noWrap w:val="0"/>
                  <w:vAlign w:val="center"/>
                </w:tcPr>
                <w:p w14:paraId="4A7F0DFA">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颗粒物（PM10）</w:t>
                  </w:r>
                </w:p>
              </w:tc>
              <w:tc>
                <w:tcPr>
                  <w:tcW w:w="1249" w:type="pct"/>
                  <w:noWrap w:val="0"/>
                  <w:vAlign w:val="center"/>
                </w:tcPr>
                <w:p w14:paraId="4D82C956">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5FF14B81">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lang w:val="en-US" w:eastAsia="zh-CN" w:bidi="ar"/>
                    </w:rPr>
                    <w:t>60</w:t>
                  </w:r>
                </w:p>
              </w:tc>
              <w:tc>
                <w:tcPr>
                  <w:tcW w:w="580" w:type="pct"/>
                  <w:vMerge w:val="restart"/>
                  <w:noWrap w:val="0"/>
                  <w:vAlign w:val="center"/>
                </w:tcPr>
                <w:p w14:paraId="24D3D1A2">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lang w:val="en-US" w:eastAsia="zh-CN" w:bidi="ar"/>
                    </w:rPr>
                    <w:t>μg/m</w:t>
                  </w:r>
                  <w:r>
                    <w:rPr>
                      <w:rFonts w:hint="default" w:ascii="Times New Roman" w:hAnsi="Times New Roman" w:cs="Times New Roman"/>
                      <w:color w:val="auto"/>
                      <w:kern w:val="0"/>
                      <w:sz w:val="21"/>
                      <w:szCs w:val="21"/>
                      <w:vertAlign w:val="superscript"/>
                      <w:lang w:val="en-US" w:eastAsia="zh-CN" w:bidi="ar"/>
                    </w:rPr>
                    <w:t>3</w:t>
                  </w:r>
                </w:p>
              </w:tc>
            </w:tr>
            <w:tr w14:paraId="4C72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48" w:type="pct"/>
                  <w:vMerge w:val="continue"/>
                  <w:noWrap w:val="0"/>
                  <w:vAlign w:val="center"/>
                </w:tcPr>
                <w:p w14:paraId="7E63E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1A6507B9">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1DA0FEAA">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lang w:val="en-US" w:eastAsia="zh-CN" w:bidi="ar"/>
                    </w:rPr>
                    <w:t>120</w:t>
                  </w:r>
                </w:p>
              </w:tc>
              <w:tc>
                <w:tcPr>
                  <w:tcW w:w="580" w:type="pct"/>
                  <w:vMerge w:val="continue"/>
                  <w:noWrap w:val="0"/>
                  <w:vAlign w:val="center"/>
                </w:tcPr>
                <w:p w14:paraId="43C5C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3B62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248" w:type="pct"/>
                  <w:vMerge w:val="restart"/>
                  <w:noWrap w:val="0"/>
                  <w:vAlign w:val="center"/>
                </w:tcPr>
                <w:p w14:paraId="52D29232">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颗粒物（PM2.5）</w:t>
                  </w:r>
                </w:p>
              </w:tc>
              <w:tc>
                <w:tcPr>
                  <w:tcW w:w="1249" w:type="pct"/>
                  <w:noWrap w:val="0"/>
                  <w:vAlign w:val="center"/>
                </w:tcPr>
                <w:p w14:paraId="7351CA4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14CE3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30</w:t>
                  </w:r>
                </w:p>
              </w:tc>
              <w:tc>
                <w:tcPr>
                  <w:tcW w:w="580" w:type="pct"/>
                  <w:vMerge w:val="continue"/>
                  <w:noWrap w:val="0"/>
                  <w:vAlign w:val="center"/>
                </w:tcPr>
                <w:p w14:paraId="3163E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44B3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248" w:type="pct"/>
                  <w:vMerge w:val="continue"/>
                  <w:noWrap w:val="0"/>
                  <w:vAlign w:val="center"/>
                </w:tcPr>
                <w:p w14:paraId="5401F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7248F79B">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4DEFA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60</w:t>
                  </w:r>
                </w:p>
              </w:tc>
              <w:tc>
                <w:tcPr>
                  <w:tcW w:w="580" w:type="pct"/>
                  <w:vMerge w:val="continue"/>
                  <w:noWrap w:val="0"/>
                  <w:vAlign w:val="center"/>
                </w:tcPr>
                <w:p w14:paraId="202C9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556E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restart"/>
                  <w:noWrap w:val="0"/>
                  <w:vAlign w:val="center"/>
                </w:tcPr>
                <w:p w14:paraId="7940D6C9">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二氧化硫</w:t>
                  </w:r>
                </w:p>
                <w:p w14:paraId="508C3B04">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SO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cs="Times New Roman"/>
                      <w:color w:val="auto"/>
                      <w:kern w:val="0"/>
                      <w:sz w:val="21"/>
                      <w:szCs w:val="21"/>
                      <w:lang w:val="en-US" w:eastAsia="zh-CN" w:bidi="ar"/>
                    </w:rPr>
                    <w:t>)</w:t>
                  </w:r>
                </w:p>
              </w:tc>
              <w:tc>
                <w:tcPr>
                  <w:tcW w:w="1249" w:type="pct"/>
                  <w:noWrap w:val="0"/>
                  <w:vAlign w:val="center"/>
                </w:tcPr>
                <w:p w14:paraId="46CAAD1A">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6A662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60</w:t>
                  </w:r>
                </w:p>
              </w:tc>
              <w:tc>
                <w:tcPr>
                  <w:tcW w:w="580" w:type="pct"/>
                  <w:vMerge w:val="continue"/>
                  <w:noWrap w:val="0"/>
                  <w:vAlign w:val="center"/>
                </w:tcPr>
                <w:p w14:paraId="7CE9A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12E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2977F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38F86EC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3D732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150</w:t>
                  </w:r>
                </w:p>
              </w:tc>
              <w:tc>
                <w:tcPr>
                  <w:tcW w:w="580" w:type="pct"/>
                  <w:vMerge w:val="continue"/>
                  <w:noWrap w:val="0"/>
                  <w:vAlign w:val="center"/>
                </w:tcPr>
                <w:p w14:paraId="59A6B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4005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36E67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c>
                <w:tcPr>
                  <w:tcW w:w="1249" w:type="pct"/>
                  <w:noWrap w:val="0"/>
                  <w:vAlign w:val="center"/>
                </w:tcPr>
                <w:p w14:paraId="256BF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3049D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500</w:t>
                  </w:r>
                </w:p>
              </w:tc>
              <w:tc>
                <w:tcPr>
                  <w:tcW w:w="580" w:type="pct"/>
                  <w:vMerge w:val="continue"/>
                  <w:noWrap w:val="0"/>
                  <w:vAlign w:val="center"/>
                </w:tcPr>
                <w:p w14:paraId="6DA81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0686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restart"/>
                  <w:noWrap w:val="0"/>
                  <w:vAlign w:val="center"/>
                </w:tcPr>
                <w:p w14:paraId="591BED97">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二氧化氮</w:t>
                  </w:r>
                </w:p>
                <w:p w14:paraId="2DF2AED0">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NO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cs="Times New Roman"/>
                      <w:color w:val="auto"/>
                      <w:kern w:val="0"/>
                      <w:sz w:val="21"/>
                      <w:szCs w:val="21"/>
                      <w:lang w:val="en-US" w:eastAsia="zh-CN" w:bidi="ar"/>
                    </w:rPr>
                    <w:t>)</w:t>
                  </w:r>
                </w:p>
              </w:tc>
              <w:tc>
                <w:tcPr>
                  <w:tcW w:w="1249" w:type="pct"/>
                  <w:noWrap w:val="0"/>
                  <w:vAlign w:val="center"/>
                </w:tcPr>
                <w:p w14:paraId="2A183806">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43953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40</w:t>
                  </w:r>
                </w:p>
              </w:tc>
              <w:tc>
                <w:tcPr>
                  <w:tcW w:w="580" w:type="pct"/>
                  <w:vMerge w:val="continue"/>
                  <w:noWrap w:val="0"/>
                  <w:vAlign w:val="center"/>
                </w:tcPr>
                <w:p w14:paraId="4CEA9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51BB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26A57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0D4B96C5">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4717A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80</w:t>
                  </w:r>
                </w:p>
              </w:tc>
              <w:tc>
                <w:tcPr>
                  <w:tcW w:w="580" w:type="pct"/>
                  <w:vMerge w:val="continue"/>
                  <w:noWrap w:val="0"/>
                  <w:vAlign w:val="center"/>
                </w:tcPr>
                <w:p w14:paraId="04ADA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3A7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037F7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c>
                <w:tcPr>
                  <w:tcW w:w="1249" w:type="pct"/>
                  <w:noWrap w:val="0"/>
                  <w:vAlign w:val="center"/>
                </w:tcPr>
                <w:p w14:paraId="1A682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44869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200</w:t>
                  </w:r>
                </w:p>
              </w:tc>
              <w:tc>
                <w:tcPr>
                  <w:tcW w:w="580" w:type="pct"/>
                  <w:vMerge w:val="continue"/>
                  <w:noWrap w:val="0"/>
                  <w:vAlign w:val="center"/>
                </w:tcPr>
                <w:p w14:paraId="6B975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51BA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48" w:type="pct"/>
                  <w:vMerge w:val="restart"/>
                  <w:noWrap w:val="0"/>
                  <w:vAlign w:val="center"/>
                </w:tcPr>
                <w:p w14:paraId="54A00189">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一氧化碳</w:t>
                  </w:r>
                </w:p>
                <w:p w14:paraId="3A9827A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CO</w:t>
                  </w:r>
                  <w:r>
                    <w:rPr>
                      <w:rFonts w:hint="default" w:ascii="Times New Roman" w:hAnsi="Times New Roman" w:cs="Times New Roman"/>
                      <w:color w:val="auto"/>
                      <w:kern w:val="0"/>
                      <w:sz w:val="21"/>
                      <w:szCs w:val="21"/>
                      <w:lang w:val="en-US" w:eastAsia="zh-CN" w:bidi="ar"/>
                    </w:rPr>
                    <w:t>)</w:t>
                  </w:r>
                </w:p>
              </w:tc>
              <w:tc>
                <w:tcPr>
                  <w:tcW w:w="1249" w:type="pct"/>
                  <w:noWrap w:val="0"/>
                  <w:vAlign w:val="center"/>
                </w:tcPr>
                <w:p w14:paraId="7BF10EE4">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245C3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4</w:t>
                  </w:r>
                </w:p>
              </w:tc>
              <w:tc>
                <w:tcPr>
                  <w:tcW w:w="580" w:type="pct"/>
                  <w:vMerge w:val="restart"/>
                  <w:noWrap w:val="0"/>
                  <w:vAlign w:val="center"/>
                </w:tcPr>
                <w:p w14:paraId="7B5DB3A4">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p>
              </w:tc>
            </w:tr>
            <w:tr w14:paraId="5748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48" w:type="pct"/>
                  <w:vMerge w:val="continue"/>
                  <w:noWrap w:val="0"/>
                  <w:vAlign w:val="center"/>
                </w:tcPr>
                <w:p w14:paraId="71791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204A8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79A17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10</w:t>
                  </w:r>
                </w:p>
              </w:tc>
              <w:tc>
                <w:tcPr>
                  <w:tcW w:w="580" w:type="pct"/>
                  <w:vMerge w:val="continue"/>
                  <w:noWrap w:val="0"/>
                  <w:vAlign w:val="center"/>
                </w:tcPr>
                <w:p w14:paraId="6A8D15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04ED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248" w:type="pct"/>
                  <w:vMerge w:val="restart"/>
                  <w:noWrap w:val="0"/>
                  <w:vAlign w:val="center"/>
                </w:tcPr>
                <w:p w14:paraId="583BC94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臭氧（O</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w:t>
                  </w:r>
                </w:p>
              </w:tc>
              <w:tc>
                <w:tcPr>
                  <w:tcW w:w="1249" w:type="pct"/>
                  <w:noWrap w:val="0"/>
                  <w:vAlign w:val="center"/>
                </w:tcPr>
                <w:p w14:paraId="0C2B1F24">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日最大8小时平</w:t>
                  </w:r>
                </w:p>
                <w:p w14:paraId="19628CE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均</w:t>
                  </w:r>
                </w:p>
              </w:tc>
              <w:tc>
                <w:tcPr>
                  <w:tcW w:w="1921" w:type="pct"/>
                  <w:noWrap w:val="0"/>
                  <w:vAlign w:val="center"/>
                </w:tcPr>
                <w:p w14:paraId="4FF56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160</w:t>
                  </w:r>
                </w:p>
              </w:tc>
              <w:tc>
                <w:tcPr>
                  <w:tcW w:w="580" w:type="pct"/>
                  <w:vMerge w:val="restart"/>
                  <w:noWrap w:val="0"/>
                  <w:vAlign w:val="center"/>
                </w:tcPr>
                <w:p w14:paraId="05951FF8">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lang w:val="en-US" w:eastAsia="zh-CN" w:bidi="ar"/>
                    </w:rPr>
                    <w:t>μg/m</w:t>
                  </w:r>
                  <w:r>
                    <w:rPr>
                      <w:rFonts w:hint="default" w:ascii="Times New Roman" w:hAnsi="Times New Roman" w:cs="Times New Roman"/>
                      <w:color w:val="auto"/>
                      <w:kern w:val="0"/>
                      <w:sz w:val="21"/>
                      <w:szCs w:val="21"/>
                      <w:vertAlign w:val="superscript"/>
                      <w:lang w:val="en-US" w:eastAsia="zh-CN" w:bidi="ar"/>
                    </w:rPr>
                    <w:t>3</w:t>
                  </w:r>
                </w:p>
              </w:tc>
            </w:tr>
            <w:tr w14:paraId="6574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248" w:type="pct"/>
                  <w:vMerge w:val="continue"/>
                  <w:noWrap w:val="0"/>
                  <w:vAlign w:val="center"/>
                </w:tcPr>
                <w:p w14:paraId="42D0F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79A86EDE">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3D1C4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200</w:t>
                  </w:r>
                </w:p>
              </w:tc>
              <w:tc>
                <w:tcPr>
                  <w:tcW w:w="580" w:type="pct"/>
                  <w:vMerge w:val="continue"/>
                  <w:noWrap w:val="0"/>
                  <w:vAlign w:val="center"/>
                </w:tcPr>
                <w:p w14:paraId="2F8AE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A96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48" w:type="pct"/>
                  <w:vMerge w:val="restart"/>
                  <w:noWrap w:val="0"/>
                  <w:vAlign w:val="center"/>
                </w:tcPr>
                <w:p w14:paraId="0EC0B9E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TSP</w:t>
                  </w:r>
                </w:p>
              </w:tc>
              <w:tc>
                <w:tcPr>
                  <w:tcW w:w="1249" w:type="pct"/>
                  <w:noWrap w:val="0"/>
                  <w:vAlign w:val="center"/>
                </w:tcPr>
                <w:p w14:paraId="5F7581E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4E9F1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300</w:t>
                  </w:r>
                </w:p>
              </w:tc>
              <w:tc>
                <w:tcPr>
                  <w:tcW w:w="580" w:type="pct"/>
                  <w:vMerge w:val="continue"/>
                  <w:noWrap w:val="0"/>
                  <w:vAlign w:val="center"/>
                </w:tcPr>
                <w:p w14:paraId="5BAC4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355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248" w:type="pct"/>
                  <w:vMerge w:val="continue"/>
                  <w:noWrap w:val="0"/>
                  <w:vAlign w:val="center"/>
                </w:tcPr>
                <w:p w14:paraId="792A4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68EE7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lang w:val="en-US" w:eastAsia="zh-CN" w:bidi="ar"/>
                    </w:rPr>
                    <w:t>年</w:t>
                  </w:r>
                  <w:r>
                    <w:rPr>
                      <w:rFonts w:hint="default" w:ascii="Times New Roman" w:hAnsi="Times New Roman" w:eastAsia="宋体" w:cs="Times New Roman"/>
                      <w:color w:val="auto"/>
                      <w:kern w:val="0"/>
                      <w:sz w:val="21"/>
                      <w:szCs w:val="21"/>
                      <w:lang w:val="en-US" w:eastAsia="zh-CN" w:bidi="ar"/>
                    </w:rPr>
                    <w:t>平均</w:t>
                  </w:r>
                </w:p>
              </w:tc>
              <w:tc>
                <w:tcPr>
                  <w:tcW w:w="1921" w:type="pct"/>
                  <w:noWrap w:val="0"/>
                  <w:vAlign w:val="center"/>
                </w:tcPr>
                <w:p w14:paraId="640E6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200</w:t>
                  </w:r>
                </w:p>
              </w:tc>
              <w:tc>
                <w:tcPr>
                  <w:tcW w:w="580" w:type="pct"/>
                  <w:vMerge w:val="continue"/>
                  <w:noWrap w:val="0"/>
                  <w:vAlign w:val="center"/>
                </w:tcPr>
                <w:p w14:paraId="74C4E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bl>
          <w:p w14:paraId="051A835D">
            <w:pPr>
              <w:adjustRightInd w:val="0"/>
              <w:snapToGrid w:val="0"/>
              <w:jc w:val="both"/>
              <w:rPr>
                <w:rFonts w:ascii="宋体" w:hAnsi="宋体" w:cs="宋体"/>
                <w:bCs/>
                <w:color w:val="auto"/>
                <w:szCs w:val="21"/>
              </w:rPr>
            </w:pPr>
          </w:p>
          <w:p w14:paraId="7BAF7848">
            <w:pPr>
              <w:spacing w:line="360" w:lineRule="auto"/>
              <w:ind w:firstLine="480" w:firstLineChars="200"/>
              <w:rPr>
                <w:rFonts w:hint="eastAsia"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w:t>
            </w:r>
            <w:r>
              <w:rPr>
                <w:rFonts w:hint="eastAsia" w:ascii="Times New Roman" w:hAnsi="Times New Roman" w:cs="Times New Roman"/>
                <w:color w:val="auto"/>
                <w:kern w:val="0"/>
                <w:sz w:val="24"/>
                <w:szCs w:val="24"/>
                <w:lang w:val="en-US" w:eastAsia="zh-CN" w:bidi="ar"/>
              </w:rPr>
              <w:t>昆明市生态环境局发布的</w:t>
            </w:r>
            <w:r>
              <w:rPr>
                <w:rFonts w:hint="eastAsia" w:cs="Times New Roman"/>
                <w:color w:val="auto"/>
                <w:kern w:val="0"/>
                <w:sz w:val="24"/>
                <w:szCs w:val="24"/>
                <w:lang w:val="en-US" w:eastAsia="zh-CN" w:bidi="ar"/>
              </w:rPr>
              <w:t>《2024年昆明市生态环境状况公报》2</w:t>
            </w:r>
            <w:r>
              <w:rPr>
                <w:rFonts w:hint="eastAsia" w:ascii="Times New Roman" w:hAnsi="Times New Roman" w:cs="Times New Roman"/>
                <w:color w:val="auto"/>
                <w:kern w:val="0"/>
                <w:sz w:val="24"/>
                <w:szCs w:val="24"/>
                <w:lang w:val="en-US" w:eastAsia="zh-CN" w:bidi="ar"/>
              </w:rPr>
              <w:t>024年昆明市主城区外所辖的8个县</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市</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、区环境空气质量总体保持良好，各项污染物平均浓度均达到《环境空气质量标准》</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GB3095-</w:t>
            </w:r>
            <w:r>
              <w:rPr>
                <w:rFonts w:hint="eastAsia" w:cs="Times New Roman"/>
                <w:color w:val="auto"/>
                <w:kern w:val="0"/>
                <w:sz w:val="24"/>
                <w:szCs w:val="24"/>
                <w:lang w:val="en-US" w:eastAsia="zh-CN" w:bidi="ar"/>
              </w:rPr>
              <w:t>2026）</w:t>
            </w:r>
            <w:r>
              <w:rPr>
                <w:rFonts w:hint="default" w:ascii="Times New Roman" w:hAnsi="Times New Roman" w:eastAsia="宋体" w:cs="Times New Roman"/>
                <w:color w:val="auto"/>
                <w:kern w:val="0"/>
                <w:sz w:val="24"/>
                <w:szCs w:val="24"/>
                <w:lang w:val="en-US" w:eastAsia="zh-CN" w:bidi="ar"/>
              </w:rPr>
              <w:t>过渡阶段浓度限值</w:t>
            </w:r>
            <w:r>
              <w:rPr>
                <w:rFonts w:hint="eastAsia" w:ascii="Times New Roman" w:hAnsi="Times New Roman" w:cs="Times New Roman"/>
                <w:color w:val="auto"/>
                <w:kern w:val="0"/>
                <w:sz w:val="24"/>
                <w:szCs w:val="24"/>
                <w:lang w:val="en-US" w:eastAsia="zh-CN" w:bidi="ar"/>
              </w:rPr>
              <w:t>二级标准</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空气优良天数比例范围为97.50%~100%，与2023年相比，石林县、富民县、宜良县、东川区、寻甸县、明县、劝县空气优良天数比例均有提高。</w:t>
            </w:r>
          </w:p>
          <w:p w14:paraId="5377F509">
            <w:pPr>
              <w:spacing w:line="360" w:lineRule="auto"/>
              <w:ind w:firstLine="480" w:firstLineChars="200"/>
              <w:rPr>
                <w:rFonts w:ascii="宋体" w:hAnsi="宋体" w:cs="宋体"/>
                <w:bCs/>
                <w:color w:val="auto"/>
                <w:szCs w:val="21"/>
              </w:rPr>
            </w:pPr>
            <w:r>
              <w:rPr>
                <w:rFonts w:hint="default" w:ascii="Times New Roman" w:hAnsi="Times New Roman" w:eastAsia="宋体" w:cs="Times New Roman"/>
                <w:color w:val="auto"/>
                <w:kern w:val="0"/>
                <w:sz w:val="24"/>
                <w:szCs w:val="24"/>
                <w:lang w:val="en-US" w:eastAsia="zh-CN" w:bidi="ar"/>
              </w:rPr>
              <w:t>综上，</w:t>
            </w:r>
            <w:r>
              <w:rPr>
                <w:rFonts w:hint="eastAsia" w:ascii="Times New Roman" w:hAnsi="Times New Roman" w:cs="Times New Roman"/>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项目所在区域环境空气</w:t>
            </w:r>
            <w:r>
              <w:rPr>
                <w:rFonts w:hint="eastAsia" w:ascii="Times New Roman" w:hAnsi="Times New Roman" w:cs="Times New Roman"/>
                <w:color w:val="auto"/>
                <w:kern w:val="0"/>
                <w:sz w:val="24"/>
                <w:szCs w:val="24"/>
                <w:lang w:val="en-US" w:eastAsia="zh-CN" w:bidi="ar"/>
              </w:rPr>
              <w:t>《环境空气质量标准》</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GB3095-</w:t>
            </w:r>
            <w:r>
              <w:rPr>
                <w:rFonts w:hint="eastAsia" w:cs="Times New Roman"/>
                <w:color w:val="auto"/>
                <w:kern w:val="0"/>
                <w:sz w:val="24"/>
                <w:szCs w:val="24"/>
                <w:lang w:val="en-US" w:eastAsia="zh-CN" w:bidi="ar"/>
              </w:rPr>
              <w:t>2026）</w:t>
            </w:r>
            <w:r>
              <w:rPr>
                <w:rFonts w:hint="default" w:ascii="Times New Roman" w:hAnsi="Times New Roman" w:eastAsia="宋体" w:cs="Times New Roman"/>
                <w:color w:val="auto"/>
                <w:kern w:val="0"/>
                <w:sz w:val="24"/>
                <w:szCs w:val="24"/>
                <w:lang w:val="en-US" w:eastAsia="zh-CN" w:bidi="ar"/>
              </w:rPr>
              <w:t>过渡阶段浓度限值</w:t>
            </w:r>
            <w:r>
              <w:rPr>
                <w:rFonts w:hint="eastAsia" w:ascii="Times New Roman" w:hAnsi="Times New Roman" w:cs="Times New Roman"/>
                <w:color w:val="auto"/>
                <w:kern w:val="0"/>
                <w:sz w:val="24"/>
                <w:szCs w:val="24"/>
                <w:lang w:val="en-US" w:eastAsia="zh-CN" w:bidi="ar"/>
              </w:rPr>
              <w:t>二级标准</w:t>
            </w:r>
            <w:r>
              <w:rPr>
                <w:rFonts w:hint="default" w:ascii="Times New Roman" w:hAnsi="Times New Roman" w:eastAsia="宋体" w:cs="Times New Roman"/>
                <w:color w:val="auto"/>
                <w:kern w:val="0"/>
                <w:sz w:val="24"/>
                <w:szCs w:val="24"/>
                <w:lang w:val="en-US" w:eastAsia="zh-CN" w:bidi="ar"/>
              </w:rPr>
              <w:t>要求，属于达标区。</w:t>
            </w:r>
          </w:p>
          <w:p w14:paraId="006F2263">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（2）其他特征污染物</w:t>
            </w:r>
          </w:p>
          <w:p w14:paraId="49F95EC6">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本项目涉及的其他污染物主要为氨气、硫化氢。</w:t>
            </w:r>
          </w:p>
          <w:p w14:paraId="3C24F7D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根据《建设项目环境影响报告表编制技术指南</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污染影响类</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试行</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以及《生态环境部环境工程评估中心关于建设项目环境影响报告表内容、格式及编制技术指南常见问题解答》中第7条“技术指南中提到排放国家、地方环境空气质量标准中有标准限值要求的特征污染物，其中环境空气质量标准指《环境空气质量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GB3095-</w:t>
            </w:r>
            <w:r>
              <w:rPr>
                <w:rFonts w:hint="eastAsia" w:cs="Times New Roman"/>
                <w:b w:val="0"/>
                <w:bCs w:val="0"/>
                <w:color w:val="auto"/>
                <w:sz w:val="24"/>
                <w:szCs w:val="24"/>
                <w:lang w:val="en-US" w:eastAsia="zh-CN"/>
              </w:rPr>
              <w:t>2026</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和地方的环境空气质量标准，不包括《环境影响评价技术导则 大气环境》</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HJ2.2-2018</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附录D、《工业企业设计卫生标准》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TJ36-97</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、《前苏联居住区标准》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CH245-71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、《大气污染物综合排放标准详解》等导则或参考资料。排放的特征污染物需要在国家、地方环境空气质量标准中有限值要求才涉及现状监测，且优先引用现有监测数据。和第9条“对《环境空气质量标准》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GB3095-</w:t>
            </w:r>
            <w:r>
              <w:rPr>
                <w:rFonts w:hint="eastAsia" w:cs="Times New Roman"/>
                <w:b w:val="0"/>
                <w:bCs w:val="0"/>
                <w:color w:val="auto"/>
                <w:sz w:val="24"/>
                <w:szCs w:val="24"/>
                <w:lang w:val="en-US" w:eastAsia="zh-CN"/>
              </w:rPr>
              <w:t>2026</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和项目所在地的环境空气质量标准之外的特征污染物无需提供现状监测数据”。因氨、硫化氢污染物在国家、地方环境空气质量标准中无限值要求，故本评价未进行现状监测。</w:t>
            </w:r>
          </w:p>
          <w:p w14:paraId="19F615CA">
            <w:pPr>
              <w:pStyle w:val="13"/>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2、地表水环境质量现状</w:t>
            </w:r>
          </w:p>
          <w:p w14:paraId="244DAC77">
            <w:pPr>
              <w:pStyle w:val="35"/>
              <w:bidi w:val="0"/>
              <w:rPr>
                <w:rFonts w:hint="default"/>
                <w:color w:val="auto"/>
                <w:lang w:val="zh-CN"/>
              </w:rPr>
            </w:pPr>
            <w:r>
              <w:rPr>
                <w:rFonts w:hint="default"/>
                <w:color w:val="auto"/>
                <w:lang w:val="zh-CN"/>
              </w:rPr>
              <w:t>项目区附近地表水体为</w:t>
            </w:r>
            <w:r>
              <w:rPr>
                <w:rFonts w:hint="eastAsia"/>
                <w:color w:val="auto"/>
                <w:lang w:val="en-US" w:eastAsia="zh-CN"/>
              </w:rPr>
              <w:t>倘甸河</w:t>
            </w:r>
            <w:r>
              <w:rPr>
                <w:rFonts w:hint="default"/>
                <w:color w:val="auto"/>
                <w:lang w:val="zh-CN"/>
              </w:rPr>
              <w:t>，</w:t>
            </w:r>
            <w:r>
              <w:rPr>
                <w:rFonts w:hint="eastAsia"/>
                <w:color w:val="auto"/>
                <w:lang w:val="en-US" w:eastAsia="zh-CN"/>
              </w:rPr>
              <w:t>流经倘甸镇的区域河流又称马街河，</w:t>
            </w:r>
            <w:r>
              <w:rPr>
                <w:rFonts w:hint="default"/>
                <w:color w:val="auto"/>
                <w:lang w:val="zh-CN"/>
              </w:rPr>
              <w:t>位于项目</w:t>
            </w:r>
            <w:r>
              <w:rPr>
                <w:rFonts w:hint="default"/>
                <w:color w:val="auto"/>
                <w:lang w:val="en-US" w:eastAsia="zh-CN"/>
              </w:rPr>
              <w:t>西</w:t>
            </w:r>
            <w:r>
              <w:rPr>
                <w:rFonts w:hint="default"/>
                <w:color w:val="auto"/>
                <w:lang w:val="zh-CN"/>
              </w:rPr>
              <w:t>侧，距离约</w:t>
            </w:r>
            <w:r>
              <w:rPr>
                <w:rFonts w:hint="eastAsia"/>
                <w:color w:val="auto"/>
                <w:lang w:val="en-US" w:eastAsia="zh-CN"/>
              </w:rPr>
              <w:t>383</w:t>
            </w:r>
            <w:r>
              <w:rPr>
                <w:rFonts w:hint="default"/>
                <w:color w:val="auto"/>
                <w:lang w:val="en-US" w:eastAsia="zh-CN"/>
              </w:rPr>
              <w:t>m。</w:t>
            </w:r>
            <w:r>
              <w:rPr>
                <w:rFonts w:hint="eastAsia"/>
                <w:color w:val="auto"/>
                <w:lang w:val="en-US" w:eastAsia="zh-CN"/>
              </w:rPr>
              <w:t>倘甸河为</w:t>
            </w:r>
            <w:r>
              <w:rPr>
                <w:rFonts w:hint="default"/>
                <w:color w:val="auto"/>
              </w:rPr>
              <w:t>洗马河</w:t>
            </w:r>
            <w:r>
              <w:rPr>
                <w:rFonts w:hint="eastAsia"/>
                <w:color w:val="auto"/>
                <w:lang w:val="en-US" w:eastAsia="zh-CN"/>
              </w:rPr>
              <w:t>上游河流</w:t>
            </w:r>
            <w:r>
              <w:rPr>
                <w:rFonts w:hint="eastAsia"/>
                <w:color w:val="auto"/>
                <w:lang w:eastAsia="zh-CN"/>
              </w:rPr>
              <w:t>，</w:t>
            </w:r>
            <w:r>
              <w:rPr>
                <w:rFonts w:hint="default"/>
                <w:color w:val="auto"/>
                <w:lang w:val="en-US" w:eastAsia="zh-CN"/>
              </w:rPr>
              <w:t>根据</w:t>
            </w:r>
            <w:r>
              <w:rPr>
                <w:rFonts w:hint="eastAsia"/>
                <w:color w:val="auto"/>
                <w:lang w:val="en-US" w:eastAsia="zh-CN"/>
              </w:rPr>
              <w:t>《昆明市和滇中产业新区水功能区划（2011-2030年）》</w:t>
            </w:r>
            <w:r>
              <w:rPr>
                <w:rFonts w:hint="default"/>
                <w:color w:val="auto"/>
                <w:lang w:val="en-US" w:eastAsia="zh-CN"/>
              </w:rPr>
              <w:t>，</w:t>
            </w:r>
            <w:r>
              <w:rPr>
                <w:rFonts w:hint="eastAsia"/>
                <w:color w:val="auto"/>
                <w:lang w:eastAsia="zh-CN"/>
              </w:rPr>
              <w:t>“</w:t>
            </w:r>
            <w:r>
              <w:rPr>
                <w:rFonts w:hint="eastAsia"/>
                <w:color w:val="auto"/>
                <w:lang w:val="en-US" w:eastAsia="zh-CN"/>
              </w:rPr>
              <w:t>马街河两区景观、工业用水白拉卡至洗马河汇口，河长11.6km。2030规划水平年水质保护目标</w:t>
            </w:r>
            <w:r>
              <w:rPr>
                <w:rFonts w:hint="default"/>
                <w:color w:val="auto"/>
              </w:rPr>
              <w:t>Ⅲ</w:t>
            </w:r>
            <w:r>
              <w:rPr>
                <w:rFonts w:hint="eastAsia"/>
                <w:color w:val="auto"/>
                <w:lang w:val="en-US" w:eastAsia="zh-CN"/>
              </w:rPr>
              <w:t>类。</w:t>
            </w:r>
            <w:r>
              <w:rPr>
                <w:rFonts w:hint="eastAsia"/>
                <w:color w:val="auto"/>
                <w:lang w:eastAsia="zh-CN"/>
              </w:rPr>
              <w:t>”</w:t>
            </w:r>
            <w:r>
              <w:rPr>
                <w:rFonts w:hint="eastAsia"/>
                <w:color w:val="auto"/>
                <w:lang w:val="en-US" w:eastAsia="zh-CN"/>
              </w:rPr>
              <w:t>马街河（倘甸河）水功能区划</w:t>
            </w:r>
            <w:r>
              <w:rPr>
                <w:rFonts w:hint="default"/>
                <w:color w:val="auto"/>
              </w:rPr>
              <w:t>为Ⅲ类水</w:t>
            </w:r>
            <w:r>
              <w:rPr>
                <w:rFonts w:hint="eastAsia"/>
                <w:color w:val="auto"/>
                <w:lang w:eastAsia="zh-CN"/>
              </w:rPr>
              <w:t>，</w:t>
            </w:r>
            <w:r>
              <w:rPr>
                <w:rFonts w:hint="default"/>
                <w:color w:val="auto"/>
              </w:rPr>
              <w:t>执行《地表水环境质量标准》（GB3838-2002）Ⅲ类标准</w:t>
            </w:r>
            <w:r>
              <w:rPr>
                <w:rFonts w:hint="eastAsia"/>
                <w:color w:val="auto"/>
                <w:lang w:eastAsia="zh-CN"/>
              </w:rPr>
              <w:t>。</w:t>
            </w:r>
          </w:p>
          <w:p w14:paraId="09883579">
            <w:pPr>
              <w:pStyle w:val="35"/>
              <w:bidi w:val="0"/>
              <w:rPr>
                <w:rFonts w:hint="eastAsia"/>
                <w:color w:val="auto"/>
                <w:lang w:val="en-US" w:eastAsia="zh-CN"/>
              </w:rPr>
            </w:pPr>
            <w:r>
              <w:rPr>
                <w:rFonts w:hint="eastAsia"/>
                <w:color w:val="auto"/>
                <w:lang w:val="en-US" w:eastAsia="zh-CN"/>
              </w:rPr>
              <w:t>根据</w:t>
            </w:r>
            <w:r>
              <w:rPr>
                <w:rFonts w:hint="eastAsia"/>
                <w:color w:val="auto"/>
                <w:lang w:eastAsia="zh-CN"/>
              </w:rPr>
              <w:t>“</w:t>
            </w:r>
            <w:r>
              <w:rPr>
                <w:rFonts w:hint="default"/>
                <w:color w:val="auto"/>
                <w:lang w:eastAsia="zh-CN"/>
              </w:rPr>
              <w:t>寻甸县人民政府网站</w:t>
            </w:r>
            <w:r>
              <w:rPr>
                <w:rFonts w:hint="eastAsia"/>
                <w:color w:val="auto"/>
                <w:lang w:eastAsia="zh-CN"/>
              </w:rPr>
              <w:t>”</w:t>
            </w:r>
            <w:r>
              <w:rPr>
                <w:rFonts w:hint="default"/>
                <w:color w:val="auto"/>
                <w:lang w:eastAsia="zh-CN"/>
              </w:rPr>
              <w:t>上公布的</w:t>
            </w:r>
            <w:r>
              <w:rPr>
                <w:rFonts w:hint="default"/>
                <w:color w:val="auto"/>
              </w:rPr>
              <w:t>《</w:t>
            </w:r>
            <w:r>
              <w:rPr>
                <w:rFonts w:hint="eastAsia"/>
                <w:color w:val="auto"/>
                <w:lang w:val="en-US" w:eastAsia="zh-CN"/>
              </w:rPr>
              <w:t>寻甸县2025年第三季度环境质量公报</w:t>
            </w:r>
            <w:r>
              <w:rPr>
                <w:rFonts w:hint="default"/>
                <w:color w:val="auto"/>
              </w:rPr>
              <w:t>》中</w:t>
            </w:r>
            <w:r>
              <w:rPr>
                <w:rFonts w:hint="eastAsia"/>
                <w:color w:val="auto"/>
                <w:lang w:eastAsia="zh-CN"/>
              </w:rPr>
              <w:t>“</w:t>
            </w:r>
            <w:r>
              <w:rPr>
                <w:rFonts w:hint="eastAsia"/>
                <w:color w:val="auto"/>
              </w:rPr>
              <w:t>马街河入洗马河入口</w:t>
            </w:r>
            <w:r>
              <w:rPr>
                <w:rFonts w:hint="eastAsia"/>
                <w:color w:val="auto"/>
                <w:lang w:val="en-US" w:eastAsia="zh-CN"/>
              </w:rPr>
              <w:t>断面</w:t>
            </w:r>
            <w:r>
              <w:rPr>
                <w:rFonts w:hint="default"/>
                <w:color w:val="auto"/>
                <w:lang w:eastAsia="zh-CN"/>
              </w:rPr>
              <w:t>处</w:t>
            </w:r>
            <w:r>
              <w:rPr>
                <w:rFonts w:hint="default"/>
                <w:color w:val="auto"/>
              </w:rPr>
              <w:t>水质</w:t>
            </w:r>
            <w:r>
              <w:rPr>
                <w:rFonts w:hint="eastAsia"/>
                <w:color w:val="auto"/>
                <w:lang w:val="en-US" w:eastAsia="zh-CN"/>
              </w:rPr>
              <w:t>类别为</w:t>
            </w:r>
            <w:r>
              <w:rPr>
                <w:rFonts w:hint="default"/>
                <w:color w:val="auto"/>
              </w:rPr>
              <w:t>Ⅲ类水</w:t>
            </w:r>
            <w:r>
              <w:rPr>
                <w:rFonts w:hint="eastAsia"/>
                <w:color w:val="auto"/>
                <w:lang w:eastAsia="zh-CN"/>
              </w:rPr>
              <w:t>，与2024年同期相比无明显变化”</w:t>
            </w:r>
            <w:r>
              <w:rPr>
                <w:rFonts w:hint="eastAsia"/>
                <w:color w:val="auto"/>
                <w:lang w:val="en-US" w:eastAsia="zh-CN"/>
              </w:rPr>
              <w:t>该断面处</w:t>
            </w:r>
            <w:r>
              <w:rPr>
                <w:rFonts w:hint="default"/>
                <w:color w:val="auto"/>
                <w:lang w:eastAsia="zh-CN"/>
              </w:rPr>
              <w:t>水质达到</w:t>
            </w:r>
            <w:r>
              <w:rPr>
                <w:rFonts w:hint="default"/>
                <w:color w:val="auto"/>
              </w:rPr>
              <w:t>Ⅲ类水</w:t>
            </w:r>
            <w:r>
              <w:rPr>
                <w:rFonts w:hint="default"/>
                <w:color w:val="auto"/>
                <w:lang w:eastAsia="zh-CN"/>
              </w:rPr>
              <w:t>标准</w:t>
            </w:r>
            <w:r>
              <w:rPr>
                <w:rFonts w:hint="eastAsia"/>
                <w:color w:val="auto"/>
                <w:lang w:eastAsia="zh-CN"/>
              </w:rPr>
              <w:t>。</w:t>
            </w:r>
            <w:r>
              <w:rPr>
                <w:rFonts w:hint="eastAsia"/>
                <w:color w:val="auto"/>
              </w:rPr>
              <w:t>马街河</w:t>
            </w:r>
            <w:r>
              <w:rPr>
                <w:rFonts w:hint="eastAsia"/>
                <w:color w:val="auto"/>
                <w:lang w:eastAsia="zh-CN"/>
              </w:rPr>
              <w:t>（</w:t>
            </w:r>
            <w:r>
              <w:rPr>
                <w:rFonts w:hint="eastAsia"/>
                <w:color w:val="auto"/>
                <w:lang w:val="en-US" w:eastAsia="zh-CN"/>
              </w:rPr>
              <w:t>倘甸河</w:t>
            </w:r>
            <w:r>
              <w:rPr>
                <w:rFonts w:hint="eastAsia"/>
                <w:color w:val="auto"/>
                <w:lang w:eastAsia="zh-CN"/>
              </w:rPr>
              <w:t>）</w:t>
            </w:r>
            <w:r>
              <w:rPr>
                <w:rFonts w:hint="eastAsia"/>
                <w:color w:val="auto"/>
                <w:lang w:val="en-US" w:eastAsia="zh-CN"/>
              </w:rPr>
              <w:t>水质满足</w:t>
            </w:r>
            <w:r>
              <w:rPr>
                <w:rFonts w:hint="default"/>
                <w:color w:val="auto"/>
              </w:rPr>
              <w:t>《地表水环境质量标准》（GB3838-2002）Ⅲ类标准</w:t>
            </w:r>
            <w:r>
              <w:rPr>
                <w:rFonts w:hint="eastAsia"/>
                <w:color w:val="auto"/>
                <w:lang w:eastAsia="zh-CN"/>
              </w:rPr>
              <w:t>。</w:t>
            </w:r>
          </w:p>
          <w:p w14:paraId="1405A95F">
            <w:pPr>
              <w:spacing w:line="360" w:lineRule="auto"/>
              <w:ind w:firstLine="482" w:firstLineChars="200"/>
              <w:rPr>
                <w:rFonts w:hint="default" w:ascii="宋体" w:hAnsi="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3、声环境质量现状</w:t>
            </w:r>
          </w:p>
          <w:p w14:paraId="13DEEB51">
            <w:p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rPr>
              <w:t>寻甸回族彝族自治县倘甸镇白章村委会芭蕉树村108号</w:t>
            </w:r>
            <w:r>
              <w:rPr>
                <w:rFonts w:hint="default" w:ascii="Times New Roman" w:hAnsi="Times New Roman" w:eastAsia="宋体" w:cs="Times New Roman"/>
                <w:color w:val="auto"/>
                <w:sz w:val="24"/>
                <w:szCs w:val="24"/>
                <w:highlight w:val="none"/>
                <w:lang w:val="en-US" w:eastAsia="zh-CN"/>
              </w:rPr>
              <w:t>，项目区域声环境功能属2类声环境功能区，项目区内声环境执行《声环境质量标准》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GB3096-2008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中的2类标准，</w:t>
            </w: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“寻甸县人民政府网站”上公布的《寻甸县2025年第三季度环境质量公报》</w:t>
            </w:r>
            <w:r>
              <w:rPr>
                <w:rFonts w:hint="default" w:ascii="Times New Roman" w:hAnsi="Times New Roman" w:eastAsia="宋体" w:cs="Times New Roman"/>
                <w:i w:val="0"/>
                <w:iCs w:val="0"/>
                <w:caps w:val="0"/>
                <w:color w:val="auto"/>
                <w:spacing w:val="0"/>
                <w:sz w:val="24"/>
                <w:szCs w:val="24"/>
                <w:highlight w:val="none"/>
                <w:shd w:val="clear" w:fill="FFFFFF"/>
              </w:rPr>
              <w:t>2、3、4a类功能区昼间达标率均为100%，夜间达标率均为100%</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故项目现状满足</w:t>
            </w:r>
            <w:r>
              <w:rPr>
                <w:rFonts w:hint="eastAsia"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color w:val="auto"/>
                <w:sz w:val="24"/>
                <w:szCs w:val="24"/>
                <w:highlight w:val="none"/>
                <w:lang w:val="en-US" w:eastAsia="zh-CN"/>
              </w:rPr>
              <w:t>声环境质量标准》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GB3096-2008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中的2类标准</w:t>
            </w:r>
            <w:r>
              <w:rPr>
                <w:rFonts w:hint="eastAsia" w:cs="Times New Roman"/>
                <w:color w:val="auto"/>
                <w:sz w:val="24"/>
                <w:szCs w:val="24"/>
                <w:highlight w:val="none"/>
                <w:lang w:val="en-US" w:eastAsia="zh-CN"/>
              </w:rPr>
              <w:t>；项目周边50m范围内存在敏感点，已委托</w:t>
            </w:r>
            <w:r>
              <w:rPr>
                <w:rFonts w:hint="default" w:ascii="Times New Roman" w:hAnsi="Times New Roman" w:eastAsia="宋体" w:cs="Times New Roman"/>
                <w:color w:val="auto"/>
                <w:sz w:val="24"/>
                <w:szCs w:val="24"/>
                <w:highlight w:val="none"/>
                <w:lang w:val="en-US" w:eastAsia="zh-CN"/>
              </w:rPr>
              <w:t>中博源检测（云南）有限公司进行现状噪声监测，检测结果如下：</w:t>
            </w:r>
          </w:p>
          <w:p w14:paraId="51739C2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监测时间：2025年12月</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日-2025年12月</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日</w:t>
            </w:r>
            <w:r>
              <w:rPr>
                <w:rFonts w:hint="eastAsia" w:eastAsia="宋体" w:cs="Times New Roman"/>
                <w:color w:val="auto"/>
                <w:sz w:val="24"/>
                <w:szCs w:val="24"/>
                <w:highlight w:val="none"/>
                <w:lang w:val="en-US" w:eastAsia="zh-CN"/>
              </w:rPr>
              <w:t>；</w:t>
            </w:r>
          </w:p>
          <w:p w14:paraId="538A650E">
            <w:pPr>
              <w:spacing w:line="360" w:lineRule="auto"/>
              <w:ind w:firstLine="48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highlight w:val="none"/>
                <w:lang w:val="en-US" w:eastAsia="zh-CN"/>
              </w:rPr>
              <w:t>监测点位：</w:t>
            </w:r>
            <w:r>
              <w:rPr>
                <w:rFonts w:hint="eastAsia" w:ascii="Times New Roman" w:hAnsi="Times New Roman" w:cs="Times New Roman"/>
                <w:color w:val="auto"/>
                <w:sz w:val="24"/>
                <w:szCs w:val="24"/>
                <w:highlight w:val="none"/>
                <w:lang w:val="en-US" w:eastAsia="zh-CN"/>
              </w:rPr>
              <w:t>噪声监测点位</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芭蕉树</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监测点位，位于项目区东面</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芭蕉树2#</w:t>
            </w:r>
            <w:r>
              <w:rPr>
                <w:rFonts w:hint="eastAsia" w:cs="Times New Roman"/>
                <w:color w:val="auto"/>
                <w:sz w:val="24"/>
                <w:szCs w:val="24"/>
                <w:lang w:val="en-US" w:eastAsia="zh-CN"/>
              </w:rPr>
              <w:t>监测点位，</w:t>
            </w:r>
            <w:r>
              <w:rPr>
                <w:rFonts w:hint="eastAsia" w:cs="Times New Roman"/>
                <w:color w:val="auto"/>
                <w:sz w:val="24"/>
                <w:szCs w:val="24"/>
                <w:highlight w:val="none"/>
                <w:lang w:val="en-US" w:eastAsia="zh-CN"/>
              </w:rPr>
              <w:t>位于项目区北面；</w:t>
            </w:r>
            <w:r>
              <w:rPr>
                <w:rFonts w:hint="eastAsia" w:ascii="Times New Roman" w:hAnsi="Times New Roman" w:cs="Times New Roman"/>
                <w:color w:val="auto"/>
                <w:sz w:val="24"/>
                <w:szCs w:val="24"/>
                <w:highlight w:val="none"/>
                <w:lang w:val="en-US" w:eastAsia="zh-CN"/>
              </w:rPr>
              <w:t>芭蕉树3#</w:t>
            </w:r>
            <w:r>
              <w:rPr>
                <w:rFonts w:hint="eastAsia" w:cs="Times New Roman"/>
                <w:color w:val="auto"/>
                <w:sz w:val="24"/>
                <w:szCs w:val="24"/>
                <w:lang w:val="en-US" w:eastAsia="zh-CN"/>
              </w:rPr>
              <w:t>监测点位，</w:t>
            </w:r>
            <w:r>
              <w:rPr>
                <w:rFonts w:hint="eastAsia" w:cs="Times New Roman"/>
                <w:color w:val="auto"/>
                <w:sz w:val="24"/>
                <w:szCs w:val="24"/>
                <w:highlight w:val="none"/>
                <w:lang w:val="en-US" w:eastAsia="zh-CN"/>
              </w:rPr>
              <w:t>位于项目区西面；</w:t>
            </w:r>
            <w:r>
              <w:rPr>
                <w:rFonts w:hint="eastAsia" w:ascii="Times New Roman" w:hAnsi="Times New Roman" w:cs="Times New Roman"/>
                <w:color w:val="auto"/>
                <w:sz w:val="24"/>
                <w:szCs w:val="24"/>
                <w:highlight w:val="none"/>
                <w:lang w:val="en-US" w:eastAsia="zh-CN"/>
              </w:rPr>
              <w:t>芭蕉树4#</w:t>
            </w:r>
            <w:r>
              <w:rPr>
                <w:rFonts w:hint="eastAsia" w:cs="Times New Roman"/>
                <w:color w:val="auto"/>
                <w:sz w:val="24"/>
                <w:szCs w:val="24"/>
                <w:lang w:val="en-US" w:eastAsia="zh-CN"/>
              </w:rPr>
              <w:t>监测点位，</w:t>
            </w:r>
            <w:r>
              <w:rPr>
                <w:rFonts w:hint="eastAsia" w:cs="Times New Roman"/>
                <w:color w:val="auto"/>
                <w:sz w:val="24"/>
                <w:szCs w:val="24"/>
                <w:highlight w:val="none"/>
                <w:lang w:val="en-US" w:eastAsia="zh-CN"/>
              </w:rPr>
              <w:t>位于项目区南面；共</w:t>
            </w:r>
            <w:r>
              <w:rPr>
                <w:rFonts w:hint="eastAsia" w:ascii="Times New Roman" w:hAnsi="Times New Roman" w:cs="Times New Roman"/>
                <w:color w:val="auto"/>
                <w:sz w:val="24"/>
                <w:szCs w:val="24"/>
                <w:highlight w:val="none"/>
                <w:lang w:val="en-US" w:eastAsia="zh-CN"/>
              </w:rPr>
              <w:t>4个监测点位</w:t>
            </w:r>
            <w:r>
              <w:rPr>
                <w:rFonts w:hint="eastAsia" w:eastAsia="宋体" w:cs="Times New Roman"/>
                <w:color w:val="auto"/>
                <w:sz w:val="24"/>
                <w:szCs w:val="24"/>
                <w:lang w:val="en-US" w:eastAsia="zh-CN"/>
              </w:rPr>
              <w:t>；</w:t>
            </w:r>
          </w:p>
          <w:p w14:paraId="299ECAE4">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监测因子：</w:t>
            </w:r>
            <w:r>
              <w:rPr>
                <w:rFonts w:hint="default" w:ascii="Times New Roman" w:hAnsi="Times New Roman" w:eastAsia="宋体" w:cs="Times New Roman"/>
                <w:color w:val="auto"/>
                <w:sz w:val="24"/>
                <w:szCs w:val="24"/>
                <w:lang w:eastAsia="zh-CN"/>
              </w:rPr>
              <w:t>连续等效</w:t>
            </w:r>
            <w:r>
              <w:rPr>
                <w:rFonts w:hint="default" w:ascii="Times New Roman" w:hAnsi="Times New Roman" w:eastAsia="宋体" w:cs="Times New Roman"/>
                <w:color w:val="auto"/>
                <w:sz w:val="24"/>
                <w:szCs w:val="24"/>
                <w:lang w:val="en-US" w:eastAsia="zh-CN"/>
              </w:rPr>
              <w:t>A声级</w:t>
            </w:r>
            <w:r>
              <w:rPr>
                <w:rFonts w:hint="eastAsia" w:cs="Times New Roman"/>
                <w:color w:val="auto"/>
                <w:sz w:val="24"/>
                <w:szCs w:val="24"/>
                <w:lang w:val="en-US" w:eastAsia="zh-CN"/>
              </w:rPr>
              <w:t>；</w:t>
            </w:r>
          </w:p>
          <w:p w14:paraId="769415BA">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监测频次：</w:t>
            </w:r>
            <w:r>
              <w:rPr>
                <w:rFonts w:hint="default" w:ascii="Times New Roman" w:hAnsi="Times New Roman" w:eastAsia="宋体" w:cs="Times New Roman"/>
                <w:color w:val="auto"/>
                <w:sz w:val="24"/>
                <w:szCs w:val="24"/>
              </w:rPr>
              <w:t>连续监测2天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昼夜各</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次；</w:t>
            </w:r>
          </w:p>
          <w:p w14:paraId="0EC34D0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监测结果如下表所示：</w:t>
            </w:r>
          </w:p>
          <w:p w14:paraId="00F66C20">
            <w:pPr>
              <w:pStyle w:val="13"/>
              <w:ind w:left="0" w:leftChars="0" w:right="0" w:rightChars="0" w:firstLine="0" w:firstLineChars="0"/>
              <w:jc w:val="center"/>
              <w:rPr>
                <w:rFonts w:hint="eastAsia"/>
                <w:color w:val="auto"/>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环境噪声现状监测结果一览表</w:t>
            </w:r>
          </w:p>
          <w:tbl>
            <w:tblPr>
              <w:tblStyle w:val="24"/>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368"/>
              <w:gridCol w:w="761"/>
              <w:gridCol w:w="1524"/>
              <w:gridCol w:w="1492"/>
              <w:gridCol w:w="1252"/>
            </w:tblGrid>
            <w:tr w14:paraId="796F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noWrap w:val="0"/>
                  <w:vAlign w:val="center"/>
                </w:tcPr>
                <w:p w14:paraId="549B2FA7">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检</w:t>
                  </w:r>
                  <w:r>
                    <w:rPr>
                      <w:rFonts w:hint="default" w:ascii="Times New Roman" w:hAnsi="Times New Roman" w:cs="Times New Roman"/>
                      <w:b/>
                      <w:bCs/>
                      <w:color w:val="auto"/>
                      <w:sz w:val="24"/>
                      <w:szCs w:val="24"/>
                    </w:rPr>
                    <w:t>测点位</w:t>
                  </w:r>
                </w:p>
              </w:tc>
              <w:tc>
                <w:tcPr>
                  <w:tcW w:w="834" w:type="pct"/>
                  <w:noWrap w:val="0"/>
                  <w:vAlign w:val="center"/>
                </w:tcPr>
                <w:p w14:paraId="0F1985E6">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检</w:t>
                  </w:r>
                  <w:r>
                    <w:rPr>
                      <w:rFonts w:hint="default" w:ascii="Times New Roman" w:hAnsi="Times New Roman" w:cs="Times New Roman"/>
                      <w:b/>
                      <w:bCs/>
                      <w:color w:val="auto"/>
                      <w:sz w:val="24"/>
                      <w:szCs w:val="24"/>
                    </w:rPr>
                    <w:t>测</w:t>
                  </w:r>
                  <w:r>
                    <w:rPr>
                      <w:rFonts w:hint="default" w:ascii="Times New Roman" w:hAnsi="Times New Roman" w:cs="Times New Roman"/>
                      <w:b/>
                      <w:bCs/>
                      <w:color w:val="auto"/>
                      <w:sz w:val="24"/>
                      <w:szCs w:val="24"/>
                      <w:lang w:eastAsia="zh-CN"/>
                    </w:rPr>
                    <w:t>日期</w:t>
                  </w:r>
                </w:p>
              </w:tc>
              <w:tc>
                <w:tcPr>
                  <w:tcW w:w="1393" w:type="pct"/>
                  <w:gridSpan w:val="2"/>
                  <w:noWrap w:val="0"/>
                  <w:vAlign w:val="center"/>
                </w:tcPr>
                <w:p w14:paraId="735E10F1">
                  <w:pPr>
                    <w:autoSpaceDN w:val="0"/>
                    <w:ind w:left="0"/>
                    <w:jc w:val="center"/>
                    <w:textAlignment w:val="center"/>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采样时段</w:t>
                  </w:r>
                </w:p>
              </w:tc>
              <w:tc>
                <w:tcPr>
                  <w:tcW w:w="910" w:type="pct"/>
                  <w:noWrap w:val="0"/>
                  <w:vAlign w:val="center"/>
                </w:tcPr>
                <w:p w14:paraId="0416F47E">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噪声值</w:t>
                  </w:r>
                  <w:r>
                    <w:rPr>
                      <w:rFonts w:hint="default" w:ascii="Times New Roman" w:hAnsi="Times New Roman" w:cs="Times New Roman"/>
                      <w:b/>
                      <w:bCs/>
                      <w:color w:val="auto"/>
                      <w:sz w:val="24"/>
                      <w:szCs w:val="24"/>
                      <w:lang w:val="en-US" w:eastAsia="zh-CN"/>
                    </w:rPr>
                    <w:t>Leq</w:t>
                  </w:r>
                </w:p>
              </w:tc>
              <w:tc>
                <w:tcPr>
                  <w:tcW w:w="764" w:type="pct"/>
                  <w:noWrap w:val="0"/>
                  <w:vAlign w:val="center"/>
                </w:tcPr>
                <w:p w14:paraId="6CEFAFAD">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主要声源</w:t>
                  </w:r>
                </w:p>
              </w:tc>
            </w:tr>
            <w:tr w14:paraId="3FE5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131F13DE">
                  <w:pPr>
                    <w:pStyle w:val="22"/>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芭蕉树1#</w:t>
                  </w:r>
                </w:p>
              </w:tc>
              <w:tc>
                <w:tcPr>
                  <w:tcW w:w="834" w:type="pct"/>
                  <w:vMerge w:val="restart"/>
                  <w:noWrap w:val="0"/>
                  <w:vAlign w:val="center"/>
                </w:tcPr>
                <w:p w14:paraId="1BED9BA7">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21B302EE">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5E015B89">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09:01-09:11</w:t>
                  </w:r>
                </w:p>
              </w:tc>
              <w:tc>
                <w:tcPr>
                  <w:tcW w:w="910" w:type="pct"/>
                  <w:noWrap w:val="0"/>
                  <w:vAlign w:val="center"/>
                </w:tcPr>
                <w:p w14:paraId="64C0D2C9">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764" w:type="pct"/>
                  <w:noWrap w:val="0"/>
                  <w:vAlign w:val="center"/>
                </w:tcPr>
                <w:p w14:paraId="6E338149">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7E62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7D3F7196">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3046E443">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42407548">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08E61B7B">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22:01-22:11</w:t>
                  </w:r>
                </w:p>
              </w:tc>
              <w:tc>
                <w:tcPr>
                  <w:tcW w:w="910" w:type="pct"/>
                  <w:noWrap w:val="0"/>
                  <w:vAlign w:val="center"/>
                </w:tcPr>
                <w:p w14:paraId="17FC2C3C">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64" w:type="pct"/>
                  <w:noWrap w:val="0"/>
                  <w:vAlign w:val="center"/>
                </w:tcPr>
                <w:p w14:paraId="061FA15D">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779F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5A95EEEF">
                  <w:pPr>
                    <w:pStyle w:val="22"/>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p>
              </w:tc>
              <w:tc>
                <w:tcPr>
                  <w:tcW w:w="834" w:type="pct"/>
                  <w:vMerge w:val="restart"/>
                  <w:noWrap w:val="0"/>
                  <w:vAlign w:val="center"/>
                </w:tcPr>
                <w:p w14:paraId="0A68EB1B">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5972B550">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036FE6E5">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08:05-08:15</w:t>
                  </w:r>
                </w:p>
              </w:tc>
              <w:tc>
                <w:tcPr>
                  <w:tcW w:w="910" w:type="pct"/>
                  <w:noWrap w:val="0"/>
                  <w:vAlign w:val="center"/>
                </w:tcPr>
                <w:p w14:paraId="7D4CF166">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764" w:type="pct"/>
                  <w:noWrap w:val="0"/>
                  <w:vAlign w:val="center"/>
                </w:tcPr>
                <w:p w14:paraId="405F3A9B">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07B3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48FB2D6D">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1BA6A431">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6B19126D">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45FF60DA">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22:02-22:12</w:t>
                  </w:r>
                </w:p>
              </w:tc>
              <w:tc>
                <w:tcPr>
                  <w:tcW w:w="910" w:type="pct"/>
                  <w:noWrap w:val="0"/>
                  <w:vAlign w:val="center"/>
                </w:tcPr>
                <w:p w14:paraId="733B1019">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64" w:type="pct"/>
                  <w:noWrap w:val="0"/>
                  <w:vAlign w:val="center"/>
                </w:tcPr>
                <w:p w14:paraId="549BFD70">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23F3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619B0A31">
                  <w:pPr>
                    <w:pStyle w:val="22"/>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val="0"/>
                      <w:bCs w:val="0"/>
                      <w:color w:val="auto"/>
                      <w:sz w:val="21"/>
                      <w:szCs w:val="21"/>
                      <w:vertAlign w:val="baseline"/>
                      <w:lang w:val="en-US" w:eastAsia="zh-CN"/>
                    </w:rPr>
                    <w:t>芭蕉树</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p>
              </w:tc>
              <w:tc>
                <w:tcPr>
                  <w:tcW w:w="834" w:type="pct"/>
                  <w:vMerge w:val="restart"/>
                  <w:noWrap w:val="0"/>
                  <w:vAlign w:val="center"/>
                </w:tcPr>
                <w:p w14:paraId="3C90D7FC">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7AE3BAAB">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shd w:val="clear" w:color="auto" w:fill="auto"/>
                  <w:noWrap w:val="0"/>
                  <w:vAlign w:val="center"/>
                </w:tcPr>
                <w:p w14:paraId="4D039FAE">
                  <w:pPr>
                    <w:autoSpaceDN w:val="0"/>
                    <w:ind w:left="0" w:lef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09:16-09:26</w:t>
                  </w:r>
                </w:p>
              </w:tc>
              <w:tc>
                <w:tcPr>
                  <w:tcW w:w="910" w:type="pct"/>
                  <w:shd w:val="clear" w:color="auto" w:fill="auto"/>
                  <w:noWrap w:val="0"/>
                  <w:vAlign w:val="center"/>
                </w:tcPr>
                <w:p w14:paraId="7FF1A721">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49</w:t>
                  </w:r>
                </w:p>
              </w:tc>
              <w:tc>
                <w:tcPr>
                  <w:tcW w:w="764" w:type="pct"/>
                  <w:noWrap w:val="0"/>
                  <w:vAlign w:val="center"/>
                </w:tcPr>
                <w:p w14:paraId="4BE31898">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49CC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5A534D14">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53C23CFA">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0E94E7FC">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shd w:val="clear" w:color="auto" w:fill="auto"/>
                  <w:noWrap w:val="0"/>
                  <w:vAlign w:val="center"/>
                </w:tcPr>
                <w:p w14:paraId="41AFBDE2">
                  <w:pPr>
                    <w:autoSpaceDN w:val="0"/>
                    <w:ind w:left="0" w:lef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22:16-22:26</w:t>
                  </w:r>
                </w:p>
              </w:tc>
              <w:tc>
                <w:tcPr>
                  <w:tcW w:w="910" w:type="pct"/>
                  <w:shd w:val="clear" w:color="auto" w:fill="auto"/>
                  <w:noWrap w:val="0"/>
                  <w:vAlign w:val="center"/>
                </w:tcPr>
                <w:p w14:paraId="2173CDEC">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42</w:t>
                  </w:r>
                </w:p>
              </w:tc>
              <w:tc>
                <w:tcPr>
                  <w:tcW w:w="764" w:type="pct"/>
                  <w:shd w:val="clear" w:color="auto" w:fill="auto"/>
                  <w:noWrap w:val="0"/>
                  <w:vAlign w:val="center"/>
                </w:tcPr>
                <w:p w14:paraId="4B98C974">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环境噪声</w:t>
                  </w:r>
                </w:p>
              </w:tc>
            </w:tr>
            <w:tr w14:paraId="2743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44A26781">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restart"/>
                  <w:noWrap w:val="0"/>
                  <w:vAlign w:val="center"/>
                </w:tcPr>
                <w:p w14:paraId="0C4E2AB9">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7C36310A">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6B93287A">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08:20-08:30</w:t>
                  </w:r>
                </w:p>
              </w:tc>
              <w:tc>
                <w:tcPr>
                  <w:tcW w:w="910" w:type="pct"/>
                  <w:shd w:val="clear" w:color="auto" w:fill="auto"/>
                  <w:noWrap w:val="0"/>
                  <w:vAlign w:val="center"/>
                </w:tcPr>
                <w:p w14:paraId="562904D4">
                  <w:pPr>
                    <w:autoSpaceDN w:val="0"/>
                    <w:ind w:left="0" w:lef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49</w:t>
                  </w:r>
                </w:p>
              </w:tc>
              <w:tc>
                <w:tcPr>
                  <w:tcW w:w="764" w:type="pct"/>
                  <w:shd w:val="clear" w:color="auto" w:fill="auto"/>
                  <w:noWrap w:val="0"/>
                  <w:vAlign w:val="center"/>
                </w:tcPr>
                <w:p w14:paraId="43025B4A">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环境噪声</w:t>
                  </w:r>
                </w:p>
              </w:tc>
            </w:tr>
            <w:tr w14:paraId="6D6F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6D91964E">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098BD4F5">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62176183">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76715F12">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22:16-22:26</w:t>
                  </w:r>
                </w:p>
              </w:tc>
              <w:tc>
                <w:tcPr>
                  <w:tcW w:w="910" w:type="pct"/>
                  <w:noWrap w:val="0"/>
                  <w:vAlign w:val="center"/>
                </w:tcPr>
                <w:p w14:paraId="3DEA2CDE">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64" w:type="pct"/>
                  <w:noWrap w:val="0"/>
                  <w:vAlign w:val="center"/>
                </w:tcPr>
                <w:p w14:paraId="0B3AD578">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569A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54D42483">
                  <w:pPr>
                    <w:pStyle w:val="22"/>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芭蕉树</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w:t>
                  </w:r>
                </w:p>
              </w:tc>
              <w:tc>
                <w:tcPr>
                  <w:tcW w:w="834" w:type="pct"/>
                  <w:vMerge w:val="restart"/>
                  <w:noWrap w:val="0"/>
                  <w:vAlign w:val="center"/>
                </w:tcPr>
                <w:p w14:paraId="52737970">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7821EAF8">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4120F72F">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09:32-09:42</w:t>
                  </w:r>
                </w:p>
              </w:tc>
              <w:tc>
                <w:tcPr>
                  <w:tcW w:w="910" w:type="pct"/>
                  <w:noWrap w:val="0"/>
                  <w:vAlign w:val="center"/>
                </w:tcPr>
                <w:p w14:paraId="2DE40215">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764" w:type="pct"/>
                  <w:noWrap w:val="0"/>
                  <w:vAlign w:val="center"/>
                </w:tcPr>
                <w:p w14:paraId="35DEDAF1">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483C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2DCFB811">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52971545">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26E6ACE4">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22677E2A">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22:33-22:43</w:t>
                  </w:r>
                </w:p>
              </w:tc>
              <w:tc>
                <w:tcPr>
                  <w:tcW w:w="910" w:type="pct"/>
                  <w:noWrap w:val="0"/>
                  <w:vAlign w:val="center"/>
                </w:tcPr>
                <w:p w14:paraId="6360C0A7">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64" w:type="pct"/>
                  <w:noWrap w:val="0"/>
                  <w:vAlign w:val="center"/>
                </w:tcPr>
                <w:p w14:paraId="6CF41D46">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2168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31914944">
                  <w:pPr>
                    <w:pStyle w:val="22"/>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p>
              </w:tc>
              <w:tc>
                <w:tcPr>
                  <w:tcW w:w="834" w:type="pct"/>
                  <w:vMerge w:val="restart"/>
                  <w:noWrap w:val="0"/>
                  <w:vAlign w:val="center"/>
                </w:tcPr>
                <w:p w14:paraId="24387743">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156982B7">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09CD2772">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08:36-08:46</w:t>
                  </w:r>
                </w:p>
              </w:tc>
              <w:tc>
                <w:tcPr>
                  <w:tcW w:w="910" w:type="pct"/>
                  <w:noWrap w:val="0"/>
                  <w:vAlign w:val="center"/>
                </w:tcPr>
                <w:p w14:paraId="64434C91">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764" w:type="pct"/>
                  <w:noWrap w:val="0"/>
                  <w:vAlign w:val="center"/>
                </w:tcPr>
                <w:p w14:paraId="21565F03">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4AD9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194F5F43">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163116A3">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05E9DF1B">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49C9062D">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22:32-22:42</w:t>
                  </w:r>
                </w:p>
              </w:tc>
              <w:tc>
                <w:tcPr>
                  <w:tcW w:w="910" w:type="pct"/>
                  <w:noWrap w:val="0"/>
                  <w:vAlign w:val="center"/>
                </w:tcPr>
                <w:p w14:paraId="670E3008">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764" w:type="pct"/>
                  <w:noWrap w:val="0"/>
                  <w:vAlign w:val="center"/>
                </w:tcPr>
                <w:p w14:paraId="71238322">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3BB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28ECB98B">
                  <w:pPr>
                    <w:pStyle w:val="22"/>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val="0"/>
                      <w:bCs w:val="0"/>
                      <w:color w:val="auto"/>
                      <w:sz w:val="21"/>
                      <w:szCs w:val="21"/>
                      <w:vertAlign w:val="baseline"/>
                      <w:lang w:val="en-US" w:eastAsia="zh-CN"/>
                    </w:rPr>
                    <w:t>芭蕉树</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w:t>
                  </w:r>
                </w:p>
              </w:tc>
              <w:tc>
                <w:tcPr>
                  <w:tcW w:w="834" w:type="pct"/>
                  <w:vMerge w:val="restart"/>
                  <w:noWrap w:val="0"/>
                  <w:vAlign w:val="center"/>
                </w:tcPr>
                <w:p w14:paraId="158F7CDB">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577B4C13">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4795E5CF">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09:48-09:58</w:t>
                  </w:r>
                </w:p>
              </w:tc>
              <w:tc>
                <w:tcPr>
                  <w:tcW w:w="910" w:type="pct"/>
                  <w:noWrap w:val="0"/>
                  <w:vAlign w:val="center"/>
                </w:tcPr>
                <w:p w14:paraId="6F9969F4">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764" w:type="pct"/>
                  <w:noWrap w:val="0"/>
                  <w:vAlign w:val="center"/>
                </w:tcPr>
                <w:p w14:paraId="265E8B19">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65A8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49B9FD1D">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38A69331">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2CF8257C">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40F49F3D">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22:49-22:59</w:t>
                  </w:r>
                </w:p>
              </w:tc>
              <w:tc>
                <w:tcPr>
                  <w:tcW w:w="910" w:type="pct"/>
                  <w:noWrap w:val="0"/>
                  <w:vAlign w:val="center"/>
                </w:tcPr>
                <w:p w14:paraId="0972E380">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764" w:type="pct"/>
                  <w:noWrap w:val="0"/>
                  <w:vAlign w:val="center"/>
                </w:tcPr>
                <w:p w14:paraId="42837125">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00B4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3A586EAD">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restart"/>
                  <w:noWrap w:val="0"/>
                  <w:vAlign w:val="center"/>
                </w:tcPr>
                <w:p w14:paraId="5A93D87F">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19E950F7">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3EDBD372">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08:51-09:01</w:t>
                  </w:r>
                </w:p>
              </w:tc>
              <w:tc>
                <w:tcPr>
                  <w:tcW w:w="910" w:type="pct"/>
                  <w:noWrap w:val="0"/>
                  <w:vAlign w:val="center"/>
                </w:tcPr>
                <w:p w14:paraId="1AB98DE1">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764" w:type="pct"/>
                  <w:noWrap w:val="0"/>
                  <w:vAlign w:val="center"/>
                </w:tcPr>
                <w:p w14:paraId="1A0751D8">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4FB8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5780BFC2">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12270938">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0D2843A7">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155213B4">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22:50-23:00</w:t>
                  </w:r>
                </w:p>
              </w:tc>
              <w:tc>
                <w:tcPr>
                  <w:tcW w:w="910" w:type="pct"/>
                  <w:noWrap w:val="0"/>
                  <w:vAlign w:val="center"/>
                </w:tcPr>
                <w:p w14:paraId="660ABD01">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764" w:type="pct"/>
                  <w:noWrap w:val="0"/>
                  <w:vAlign w:val="center"/>
                </w:tcPr>
                <w:p w14:paraId="3AF6743C">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bl>
          <w:p w14:paraId="20E3D15A">
            <w:pPr>
              <w:pStyle w:val="13"/>
              <w:spacing w:line="360" w:lineRule="auto"/>
              <w:ind w:firstLine="480" w:firstLineChars="200"/>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根据现状监测结果可知，</w:t>
            </w:r>
            <w:r>
              <w:rPr>
                <w:rFonts w:hint="eastAsia" w:cs="Times New Roman"/>
                <w:color w:val="auto"/>
                <w:sz w:val="24"/>
                <w:szCs w:val="24"/>
                <w:highlight w:val="none"/>
                <w:lang w:val="en-US" w:eastAsia="zh-CN"/>
              </w:rPr>
              <w:t>项目周边50m范围内存在的敏感点</w:t>
            </w:r>
            <w:r>
              <w:rPr>
                <w:rFonts w:hint="eastAsia" w:ascii="Times New Roman" w:hAnsi="Times New Roman" w:eastAsia="宋体" w:cs="Times New Roman"/>
                <w:color w:val="auto"/>
                <w:sz w:val="24"/>
                <w:szCs w:val="24"/>
                <w:lang w:val="en-US" w:eastAsia="zh-CN"/>
              </w:rPr>
              <w:t>满足</w:t>
            </w:r>
            <w:r>
              <w:rPr>
                <w:rFonts w:hint="default" w:ascii="宋体" w:hAnsi="宋体" w:eastAsia="宋体" w:cs="宋体"/>
                <w:color w:val="auto"/>
                <w:sz w:val="24"/>
                <w:szCs w:val="24"/>
                <w:highlight w:val="none"/>
                <w:lang w:val="en-US" w:eastAsia="zh-CN"/>
              </w:rPr>
              <w:t>《声环境质量标准》</w:t>
            </w:r>
            <w:r>
              <w:rPr>
                <w:rFonts w:hint="eastAsia" w:ascii="宋体" w:hAnsi="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GB3096-2008</w:t>
            </w:r>
            <w:r>
              <w:rPr>
                <w:rFonts w:hint="eastAsia" w:ascii="宋体" w:hAnsi="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中的</w:t>
            </w:r>
            <w:r>
              <w:rPr>
                <w:rFonts w:hint="eastAsia" w:hAnsi="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类标准</w:t>
            </w:r>
            <w:r>
              <w:rPr>
                <w:rFonts w:hint="eastAsia" w:ascii="宋体" w:hAnsi="宋体" w:eastAsia="宋体" w:cs="宋体"/>
                <w:color w:val="auto"/>
                <w:sz w:val="24"/>
                <w:szCs w:val="24"/>
                <w:highlight w:val="none"/>
                <w:lang w:val="en-US" w:eastAsia="zh-CN"/>
              </w:rPr>
              <w:t>。</w:t>
            </w:r>
          </w:p>
          <w:p w14:paraId="6CE8C1A3">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4、生态环境质量现状</w:t>
            </w:r>
          </w:p>
          <w:p w14:paraId="1300EFD2">
            <w:pPr>
              <w:keepNext w:val="0"/>
              <w:keepLines w:val="0"/>
              <w:widowControl/>
              <w:suppressLineNumbers w:val="0"/>
              <w:spacing w:line="360" w:lineRule="auto"/>
              <w:ind w:firstLine="480" w:firstLineChars="200"/>
              <w:jc w:val="both"/>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本项目为新建项目，</w:t>
            </w:r>
            <w:r>
              <w:rPr>
                <w:rFonts w:hint="eastAsia" w:cs="Times New Roman"/>
                <w:b w:val="0"/>
                <w:bCs w:val="0"/>
                <w:color w:val="auto"/>
                <w:kern w:val="0"/>
                <w:sz w:val="24"/>
                <w:szCs w:val="24"/>
                <w:lang w:val="en-US" w:eastAsia="zh-CN" w:bidi="ar"/>
              </w:rPr>
              <w:t>项目</w:t>
            </w:r>
            <w:r>
              <w:rPr>
                <w:rFonts w:hint="default" w:ascii="Times New Roman" w:hAnsi="Times New Roman" w:eastAsia="宋体" w:cs="Times New Roman"/>
                <w:b w:val="0"/>
                <w:bCs w:val="0"/>
                <w:color w:val="auto"/>
                <w:kern w:val="0"/>
                <w:sz w:val="24"/>
                <w:szCs w:val="24"/>
                <w:lang w:val="en-US" w:eastAsia="zh-CN" w:bidi="ar"/>
              </w:rPr>
              <w:t>位于</w:t>
            </w:r>
            <w:r>
              <w:rPr>
                <w:rFonts w:hint="default" w:ascii="Times New Roman" w:hAnsi="Times New Roman" w:eastAsia="宋体" w:cs="Times New Roman"/>
                <w:color w:val="auto"/>
                <w:sz w:val="24"/>
                <w:szCs w:val="24"/>
                <w:highlight w:val="none"/>
              </w:rPr>
              <w:t>寻甸回族彝族自治县倘甸镇白章村委会芭蕉树村108号</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cs="Times New Roman"/>
                <w:color w:val="auto"/>
                <w:sz w:val="24"/>
                <w:szCs w:val="24"/>
                <w:lang w:val="zh-CN"/>
              </w:rPr>
              <w:t>项目区域内已无原生植被分布。项目周边</w:t>
            </w:r>
            <w:r>
              <w:rPr>
                <w:rFonts w:hint="default" w:ascii="Times New Roman" w:hAnsi="Times New Roman" w:cs="Times New Roman"/>
                <w:color w:val="auto"/>
                <w:sz w:val="24"/>
                <w:szCs w:val="24"/>
                <w:lang w:val="zh-CN"/>
              </w:rPr>
              <w:t>由于受人为活动的开发和破坏，地表植被已无原生植被，主要为次生植被和人工植被</w:t>
            </w:r>
            <w:r>
              <w:rPr>
                <w:rFonts w:hint="eastAsia" w:ascii="Times New Roman" w:hAnsi="Times New Roman" w:cs="Times New Roman"/>
                <w:color w:val="auto"/>
                <w:sz w:val="24"/>
                <w:szCs w:val="24"/>
                <w:lang w:val="zh-CN"/>
              </w:rPr>
              <w:t>，</w:t>
            </w:r>
            <w:r>
              <w:rPr>
                <w:rFonts w:hint="default" w:ascii="Times New Roman" w:hAnsi="Times New Roman" w:cs="Times New Roman"/>
                <w:color w:val="auto"/>
                <w:sz w:val="24"/>
                <w:szCs w:val="24"/>
                <w:lang w:val="zh-CN"/>
              </w:rPr>
              <w:t>植物种类较少，生物结构单一。项目区域及周边无国家、省、市（县）级保护动植物分布，总体分析，项目周围地区生物多样性不明显，生态环境质量一般。</w:t>
            </w:r>
          </w:p>
          <w:p w14:paraId="62882D77">
            <w:pPr>
              <w:keepNext w:val="0"/>
              <w:keepLines w:val="0"/>
              <w:widowControl/>
              <w:numPr>
                <w:ilvl w:val="0"/>
                <w:numId w:val="0"/>
              </w:numPr>
              <w:suppressLineNumbers w:val="0"/>
              <w:spacing w:line="360" w:lineRule="auto"/>
              <w:ind w:left="0" w:leftChars="0" w:firstLine="482"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5、土壤、地下水环境</w:t>
            </w:r>
          </w:p>
          <w:p w14:paraId="152B114D">
            <w:pPr>
              <w:keepNext w:val="0"/>
              <w:keepLines w:val="0"/>
              <w:widowControl/>
              <w:numPr>
                <w:ilvl w:val="0"/>
                <w:numId w:val="0"/>
              </w:numPr>
              <w:suppressLineNumbers w:val="0"/>
              <w:spacing w:line="360" w:lineRule="auto"/>
              <w:ind w:firstLine="480" w:firstLineChars="200"/>
              <w:jc w:val="both"/>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0AE031C2">
            <w:pPr>
              <w:pStyle w:val="13"/>
              <w:spacing w:line="360" w:lineRule="auto"/>
              <w:ind w:firstLine="480" w:firstLineChars="200"/>
              <w:rPr>
                <w:color w:val="auto"/>
                <w:sz w:val="24"/>
                <w:szCs w:val="24"/>
              </w:rPr>
            </w:pPr>
            <w:r>
              <w:rPr>
                <w:rFonts w:hint="default" w:ascii="Times New Roman" w:hAnsi="Times New Roman" w:eastAsia="宋体" w:cs="Times New Roman"/>
                <w:b w:val="0"/>
                <w:bCs w:val="0"/>
                <w:color w:val="auto"/>
                <w:kern w:val="0"/>
                <w:sz w:val="24"/>
                <w:szCs w:val="24"/>
                <w:lang w:val="en-US" w:eastAsia="zh-CN" w:bidi="ar"/>
              </w:rPr>
              <w:t>根据《环境影响评价技术导则地下水环境》（HJ610-2016）中附录A地下水环境影响评价行业分类表，本项目地下水环境影响评价项目类别为</w:t>
            </w:r>
            <w:r>
              <w:rPr>
                <w:rFonts w:hint="default" w:ascii="Times New Roman" w:hAnsi="Times New Roman" w:cs="Times New Roman"/>
                <w:b w:val="0"/>
                <w:bCs w:val="0"/>
                <w:color w:val="auto"/>
                <w:kern w:val="0"/>
                <w:sz w:val="24"/>
                <w:szCs w:val="24"/>
                <w:lang w:val="en-US" w:eastAsia="zh-CN" w:bidi="ar"/>
              </w:rPr>
              <w:t>Ⅳ类</w:t>
            </w:r>
            <w:r>
              <w:rPr>
                <w:rFonts w:hint="default" w:ascii="Times New Roman" w:hAnsi="Times New Roman" w:eastAsia="宋体" w:cs="Times New Roman"/>
                <w:b w:val="0"/>
                <w:bCs w:val="0"/>
                <w:color w:val="auto"/>
                <w:kern w:val="0"/>
                <w:sz w:val="24"/>
                <w:szCs w:val="24"/>
                <w:lang w:val="en-US" w:eastAsia="zh-CN" w:bidi="ar"/>
              </w:rPr>
              <w:t>不需进行地下水环境分析评价。故本项目不开展地下水环境影响。</w:t>
            </w:r>
          </w:p>
          <w:p w14:paraId="23906161">
            <w:pPr>
              <w:adjustRightInd w:val="0"/>
              <w:snapToGrid w:val="0"/>
              <w:jc w:val="left"/>
              <w:rPr>
                <w:rFonts w:ascii="宋体" w:hAnsi="宋体" w:cs="宋体"/>
                <w:color w:val="auto"/>
                <w:kern w:val="0"/>
                <w:szCs w:val="21"/>
              </w:rPr>
            </w:pPr>
          </w:p>
        </w:tc>
      </w:tr>
      <w:tr w14:paraId="4D23A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2" w:hRule="atLeast"/>
          <w:jc w:val="center"/>
        </w:trPr>
        <w:tc>
          <w:tcPr>
            <w:tcW w:w="336" w:type="pct"/>
            <w:noWrap w:val="0"/>
            <w:vAlign w:val="center"/>
          </w:tcPr>
          <w:p w14:paraId="768D4E6B">
            <w:pPr>
              <w:adjustRightInd w:val="0"/>
              <w:snapToGrid w:val="0"/>
              <w:spacing w:line="360" w:lineRule="auto"/>
              <w:jc w:val="center"/>
              <w:rPr>
                <w:rFonts w:hint="default" w:ascii="宋体" w:hAnsi="宋体" w:eastAsia="宋体" w:cs="宋体"/>
                <w:b/>
                <w:bCs/>
                <w:color w:val="auto"/>
                <w:kern w:val="0"/>
                <w:szCs w:val="21"/>
                <w:lang w:val="en-US" w:eastAsia="zh-CN"/>
              </w:rPr>
            </w:pPr>
            <w:r>
              <w:rPr>
                <w:rFonts w:hint="eastAsia" w:ascii="宋体" w:hAnsi="宋体" w:cs="宋体"/>
                <w:b/>
                <w:bCs/>
                <w:color w:val="auto"/>
                <w:kern w:val="0"/>
                <w:szCs w:val="21"/>
                <w:lang w:val="en-US" w:eastAsia="zh-CN"/>
              </w:rPr>
              <w:t>环境保护目标</w:t>
            </w:r>
          </w:p>
        </w:tc>
        <w:tc>
          <w:tcPr>
            <w:tcW w:w="4663" w:type="pct"/>
            <w:noWrap w:val="0"/>
            <w:vAlign w:val="center"/>
          </w:tcPr>
          <w:p w14:paraId="1B7F1889">
            <w:pPr>
              <w:spacing w:line="360" w:lineRule="auto"/>
              <w:ind w:firstLine="480" w:firstLineChars="200"/>
              <w:rPr>
                <w:rFonts w:hint="default"/>
                <w:color w:val="auto"/>
                <w:sz w:val="24"/>
                <w:szCs w:val="24"/>
              </w:rPr>
            </w:pPr>
            <w:bookmarkStart w:id="17" w:name="_Toc3558545"/>
            <w:r>
              <w:rPr>
                <w:rFonts w:hint="eastAsia"/>
                <w:color w:val="auto"/>
                <w:sz w:val="24"/>
                <w:szCs w:val="24"/>
                <w:lang w:val="en-US" w:eastAsia="zh-CN"/>
              </w:rPr>
              <w:t>项目位于寻</w:t>
            </w:r>
            <w:r>
              <w:rPr>
                <w:rFonts w:hint="default" w:ascii="Times New Roman" w:hAnsi="Times New Roman" w:eastAsia="宋体" w:cs="Times New Roman"/>
                <w:color w:val="auto"/>
                <w:sz w:val="24"/>
                <w:szCs w:val="24"/>
                <w:highlight w:val="none"/>
              </w:rPr>
              <w:t>甸回族彝族自治县倘甸镇白章村委会芭蕉树村108号</w:t>
            </w:r>
            <w:r>
              <w:rPr>
                <w:rFonts w:hint="eastAsia"/>
                <w:color w:val="auto"/>
                <w:sz w:val="24"/>
                <w:szCs w:val="24"/>
                <w:lang w:val="en-US" w:eastAsia="zh-CN"/>
              </w:rPr>
              <w:t>，项目周边分布大量居民区。</w:t>
            </w:r>
            <w:r>
              <w:rPr>
                <w:rFonts w:hint="default"/>
                <w:color w:val="auto"/>
                <w:sz w:val="24"/>
                <w:szCs w:val="24"/>
              </w:rPr>
              <w:t>根据《建设项目环境影响报告表编制指南》（污染影响类（试行）），项目大气环境保护目标为厂界外500m范围，声环境为厂界外50m范围</w:t>
            </w:r>
            <w:r>
              <w:rPr>
                <w:rFonts w:hint="eastAsia"/>
                <w:color w:val="auto"/>
                <w:sz w:val="24"/>
                <w:szCs w:val="24"/>
                <w:lang w:eastAsia="zh-CN"/>
              </w:rPr>
              <w:t>；</w:t>
            </w:r>
            <w:r>
              <w:rPr>
                <w:rFonts w:hint="eastAsia"/>
                <w:color w:val="auto"/>
                <w:sz w:val="24"/>
                <w:szCs w:val="24"/>
                <w:lang w:val="en-US" w:eastAsia="zh-CN"/>
              </w:rPr>
              <w:t>根据现场调查，</w:t>
            </w:r>
            <w:r>
              <w:rPr>
                <w:rFonts w:hint="eastAsia"/>
                <w:color w:val="auto"/>
                <w:sz w:val="24"/>
                <w:szCs w:val="24"/>
                <w:lang w:eastAsia="zh-CN"/>
              </w:rPr>
              <w:t>项目厂界外500m范围内无集中式饮用水源和热水、矿泉水、温泉等特殊地下水资源</w:t>
            </w:r>
            <w:r>
              <w:rPr>
                <w:rFonts w:hint="default"/>
                <w:color w:val="auto"/>
                <w:sz w:val="24"/>
                <w:szCs w:val="24"/>
              </w:rPr>
              <w:t>。项目主要的环境保护目标，具体情况见表3-</w:t>
            </w:r>
            <w:r>
              <w:rPr>
                <w:rFonts w:hint="eastAsia"/>
                <w:color w:val="auto"/>
                <w:sz w:val="24"/>
                <w:szCs w:val="24"/>
                <w:lang w:val="en-US" w:eastAsia="zh-CN"/>
              </w:rPr>
              <w:t>3</w:t>
            </w:r>
            <w:r>
              <w:rPr>
                <w:rFonts w:hint="default"/>
                <w:color w:val="auto"/>
                <w:sz w:val="24"/>
                <w:szCs w:val="24"/>
              </w:rPr>
              <w:t>。</w:t>
            </w:r>
            <w:bookmarkEnd w:id="17"/>
          </w:p>
          <w:p w14:paraId="428346FE">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3-</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主要环境保护目标一览表</w:t>
            </w:r>
          </w:p>
          <w:tbl>
            <w:tblPr>
              <w:tblStyle w:val="24"/>
              <w:tblW w:w="83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5"/>
              <w:gridCol w:w="1223"/>
              <w:gridCol w:w="1318"/>
              <w:gridCol w:w="1434"/>
              <w:gridCol w:w="1138"/>
              <w:gridCol w:w="676"/>
              <w:gridCol w:w="626"/>
              <w:gridCol w:w="1563"/>
            </w:tblGrid>
            <w:tr w14:paraId="4880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247" w:type="pct"/>
                  <w:vMerge w:val="restart"/>
                  <w:tcBorders>
                    <w:top w:val="single" w:color="000000" w:sz="4" w:space="0"/>
                    <w:left w:val="single" w:color="000000" w:sz="4" w:space="0"/>
                    <w:bottom w:val="single" w:color="000000" w:sz="4" w:space="0"/>
                    <w:right w:val="single" w:color="000000" w:sz="4" w:space="0"/>
                  </w:tcBorders>
                  <w:noWrap w:val="0"/>
                  <w:vAlign w:val="center"/>
                </w:tcPr>
                <w:p w14:paraId="1C1A9624">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环境要素</w:t>
                  </w:r>
                </w:p>
              </w:tc>
              <w:tc>
                <w:tcPr>
                  <w:tcW w:w="728" w:type="pct"/>
                  <w:vMerge w:val="restart"/>
                  <w:tcBorders>
                    <w:top w:val="single" w:color="000000" w:sz="4" w:space="0"/>
                    <w:left w:val="single" w:color="000000" w:sz="4" w:space="0"/>
                    <w:bottom w:val="single" w:color="000000" w:sz="4" w:space="0"/>
                    <w:right w:val="single" w:color="000000" w:sz="4" w:space="0"/>
                  </w:tcBorders>
                  <w:noWrap w:val="0"/>
                  <w:vAlign w:val="center"/>
                </w:tcPr>
                <w:p w14:paraId="715DE593">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保护目标</w:t>
                  </w:r>
                </w:p>
              </w:tc>
              <w:tc>
                <w:tcPr>
                  <w:tcW w:w="1639" w:type="pct"/>
                  <w:gridSpan w:val="2"/>
                  <w:tcBorders>
                    <w:top w:val="single" w:color="000000" w:sz="4" w:space="0"/>
                    <w:left w:val="single" w:color="000000" w:sz="4" w:space="0"/>
                    <w:bottom w:val="single" w:color="000000" w:sz="4" w:space="0"/>
                    <w:right w:val="single" w:color="000000" w:sz="4" w:space="0"/>
                  </w:tcBorders>
                  <w:noWrap w:val="0"/>
                  <w:vAlign w:val="center"/>
                </w:tcPr>
                <w:p w14:paraId="64E0B325">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坐标</w:t>
                  </w:r>
                </w:p>
              </w:tc>
              <w:tc>
                <w:tcPr>
                  <w:tcW w:w="677" w:type="pct"/>
                  <w:vMerge w:val="restart"/>
                  <w:tcBorders>
                    <w:top w:val="single" w:color="000000" w:sz="4" w:space="0"/>
                    <w:left w:val="single" w:color="000000" w:sz="4" w:space="0"/>
                    <w:bottom w:val="single" w:color="000000" w:sz="4" w:space="0"/>
                    <w:right w:val="single" w:color="000000" w:sz="4" w:space="0"/>
                  </w:tcBorders>
                  <w:noWrap w:val="0"/>
                  <w:vAlign w:val="center"/>
                </w:tcPr>
                <w:p w14:paraId="470C7DB7">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规模</w:t>
                  </w:r>
                </w:p>
              </w:tc>
              <w:tc>
                <w:tcPr>
                  <w:tcW w:w="402" w:type="pct"/>
                  <w:vMerge w:val="restart"/>
                  <w:tcBorders>
                    <w:top w:val="single" w:color="000000" w:sz="4" w:space="0"/>
                    <w:left w:val="single" w:color="000000" w:sz="4" w:space="0"/>
                    <w:bottom w:val="single" w:color="000000" w:sz="4" w:space="0"/>
                    <w:right w:val="single" w:color="000000" w:sz="4" w:space="0"/>
                  </w:tcBorders>
                  <w:noWrap w:val="0"/>
                  <w:vAlign w:val="center"/>
                </w:tcPr>
                <w:p w14:paraId="19E79D46">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方位</w:t>
                  </w:r>
                </w:p>
              </w:tc>
              <w:tc>
                <w:tcPr>
                  <w:tcW w:w="372" w:type="pct"/>
                  <w:vMerge w:val="restart"/>
                  <w:tcBorders>
                    <w:top w:val="single" w:color="000000" w:sz="4" w:space="0"/>
                    <w:left w:val="single" w:color="000000" w:sz="4" w:space="0"/>
                    <w:bottom w:val="single" w:color="000000" w:sz="4" w:space="0"/>
                    <w:right w:val="single" w:color="000000" w:sz="4" w:space="0"/>
                  </w:tcBorders>
                  <w:noWrap w:val="0"/>
                  <w:vAlign w:val="center"/>
                </w:tcPr>
                <w:p w14:paraId="600930EF">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距离（m）</w:t>
                  </w:r>
                </w:p>
              </w:tc>
              <w:tc>
                <w:tcPr>
                  <w:tcW w:w="931" w:type="pct"/>
                  <w:vMerge w:val="restart"/>
                  <w:tcBorders>
                    <w:top w:val="single" w:color="000000" w:sz="4" w:space="0"/>
                    <w:left w:val="single" w:color="000000" w:sz="4" w:space="0"/>
                    <w:bottom w:val="single" w:color="000000" w:sz="4" w:space="0"/>
                    <w:right w:val="single" w:color="000000" w:sz="4" w:space="0"/>
                  </w:tcBorders>
                  <w:noWrap w:val="0"/>
                  <w:vAlign w:val="center"/>
                </w:tcPr>
                <w:p w14:paraId="323201D7">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保护级别</w:t>
                  </w:r>
                </w:p>
              </w:tc>
            </w:tr>
            <w:tr w14:paraId="650B0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4E67C5">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p>
              </w:tc>
              <w:tc>
                <w:tcPr>
                  <w:tcW w:w="7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2C4D89">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21FFD56F">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经度</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1B3CC0C9">
                  <w:pPr>
                    <w:bidi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纬度</w:t>
                  </w:r>
                </w:p>
              </w:tc>
              <w:tc>
                <w:tcPr>
                  <w:tcW w:w="67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D72344">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40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1E8625">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3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EBACB7">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1357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r>
            <w:tr w14:paraId="3C8DD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restart"/>
                  <w:tcBorders>
                    <w:top w:val="single" w:color="000000" w:sz="4" w:space="0"/>
                    <w:left w:val="single" w:color="000000" w:sz="4" w:space="0"/>
                    <w:right w:val="single" w:color="000000" w:sz="4" w:space="0"/>
                  </w:tcBorders>
                  <w:noWrap w:val="0"/>
                  <w:vAlign w:val="center"/>
                </w:tcPr>
                <w:p w14:paraId="0E24C76F">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大气环境</w:t>
                  </w: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74485D3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芭蕉树</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7271E2BE">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E：102°55′26.41561″</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1FA8969D">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N：25°45′51.57515″</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7362D7DE">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约200户669人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6067C70">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四周</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6B4B770D">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紧邻</w:t>
                  </w:r>
                </w:p>
              </w:tc>
              <w:tc>
                <w:tcPr>
                  <w:tcW w:w="931" w:type="pct"/>
                  <w:vMerge w:val="restart"/>
                  <w:tcBorders>
                    <w:top w:val="single" w:color="000000" w:sz="4" w:space="0"/>
                    <w:left w:val="single" w:color="000000" w:sz="4" w:space="0"/>
                    <w:right w:val="single" w:color="000000" w:sz="4" w:space="0"/>
                  </w:tcBorders>
                  <w:noWrap w:val="0"/>
                  <w:vAlign w:val="center"/>
                </w:tcPr>
                <w:p w14:paraId="7BBB329F">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《环境空气质量标准》（GB3095-2026）中二级标准。</w:t>
                  </w:r>
                </w:p>
              </w:tc>
            </w:tr>
            <w:tr w14:paraId="603DF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continue"/>
                  <w:tcBorders>
                    <w:left w:val="single" w:color="000000" w:sz="4" w:space="0"/>
                    <w:right w:val="single" w:color="000000" w:sz="4" w:space="0"/>
                  </w:tcBorders>
                  <w:noWrap w:val="0"/>
                  <w:vAlign w:val="center"/>
                </w:tcPr>
                <w:p w14:paraId="50FEAFAB">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687509A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倘甸镇中心完小</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175B4D7D">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E：102°55′22.71255″</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398C99BF">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N：25°46′10.13872″</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3532707C">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2064人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692E244B">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63A62D2D">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339m</w:t>
                  </w:r>
                </w:p>
              </w:tc>
              <w:tc>
                <w:tcPr>
                  <w:tcW w:w="931" w:type="pct"/>
                  <w:vMerge w:val="continue"/>
                  <w:tcBorders>
                    <w:left w:val="single" w:color="000000" w:sz="4" w:space="0"/>
                    <w:right w:val="single" w:color="000000" w:sz="4" w:space="0"/>
                  </w:tcBorders>
                  <w:noWrap w:val="0"/>
                  <w:vAlign w:val="center"/>
                </w:tcPr>
                <w:p w14:paraId="35F6DB69">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1EDCC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continue"/>
                  <w:tcBorders>
                    <w:left w:val="single" w:color="000000" w:sz="4" w:space="0"/>
                    <w:right w:val="single" w:color="000000" w:sz="4" w:space="0"/>
                  </w:tcBorders>
                  <w:noWrap w:val="0"/>
                  <w:vAlign w:val="center"/>
                </w:tcPr>
                <w:p w14:paraId="4D7F630F">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3F835E2B">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倘甸镇居民</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34F0AE9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E：102°55′26.60164″</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5F9F5839">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N：25°46′7.90356″</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25C74762">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约300户1299人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1D2E24C">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38F7B4F9">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312m</w:t>
                  </w:r>
                </w:p>
              </w:tc>
              <w:tc>
                <w:tcPr>
                  <w:tcW w:w="931" w:type="pct"/>
                  <w:vMerge w:val="continue"/>
                  <w:tcBorders>
                    <w:left w:val="single" w:color="000000" w:sz="4" w:space="0"/>
                    <w:right w:val="single" w:color="000000" w:sz="4" w:space="0"/>
                  </w:tcBorders>
                  <w:noWrap w:val="0"/>
                  <w:vAlign w:val="center"/>
                </w:tcPr>
                <w:p w14:paraId="6718965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13296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continue"/>
                  <w:tcBorders>
                    <w:left w:val="single" w:color="000000" w:sz="4" w:space="0"/>
                    <w:right w:val="single" w:color="000000" w:sz="4" w:space="0"/>
                  </w:tcBorders>
                  <w:noWrap w:val="0"/>
                  <w:vAlign w:val="center"/>
                </w:tcPr>
                <w:p w14:paraId="5C55C37F">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1DBEDC1E">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倘甸镇交警中队</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04EFEA2C">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E：102°55′29.07356″</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74242F2B">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N：25°46′5.83719″</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1F7BF07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054B5C1">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东北面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2AF56E49">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310m</w:t>
                  </w:r>
                </w:p>
              </w:tc>
              <w:tc>
                <w:tcPr>
                  <w:tcW w:w="931" w:type="pct"/>
                  <w:vMerge w:val="continue"/>
                  <w:tcBorders>
                    <w:left w:val="single" w:color="000000" w:sz="4" w:space="0"/>
                    <w:right w:val="single" w:color="000000" w:sz="4" w:space="0"/>
                  </w:tcBorders>
                  <w:noWrap w:val="0"/>
                  <w:vAlign w:val="center"/>
                </w:tcPr>
                <w:p w14:paraId="0F3F4EE6">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71200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continue"/>
                  <w:tcBorders>
                    <w:left w:val="single" w:color="000000" w:sz="4" w:space="0"/>
                    <w:right w:val="single" w:color="000000" w:sz="4" w:space="0"/>
                  </w:tcBorders>
                  <w:noWrap w:val="0"/>
                  <w:vAlign w:val="center"/>
                </w:tcPr>
                <w:p w14:paraId="2C89D93A">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2C9FAA4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倘甸镇派出所</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4DE01E1D">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E：102°55′28.86113″</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5987BC30">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N：25°46′5.40267″</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0AD6FD92">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4104C35B">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东北面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61C201D">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357m</w:t>
                  </w:r>
                </w:p>
              </w:tc>
              <w:tc>
                <w:tcPr>
                  <w:tcW w:w="931" w:type="pct"/>
                  <w:vMerge w:val="continue"/>
                  <w:tcBorders>
                    <w:left w:val="single" w:color="000000" w:sz="4" w:space="0"/>
                    <w:right w:val="single" w:color="000000" w:sz="4" w:space="0"/>
                  </w:tcBorders>
                  <w:noWrap w:val="0"/>
                  <w:vAlign w:val="center"/>
                </w:tcPr>
                <w:p w14:paraId="11397FF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277B8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vMerge w:val="continue"/>
                  <w:tcBorders>
                    <w:left w:val="single" w:color="000000" w:sz="4" w:space="0"/>
                    <w:right w:val="single" w:color="000000" w:sz="4" w:space="0"/>
                  </w:tcBorders>
                  <w:noWrap w:val="0"/>
                  <w:vAlign w:val="center"/>
                </w:tcPr>
                <w:p w14:paraId="0AC3A59A">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69FB81D6">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芭蕉树散户</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47A63BF5">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E：102°55′21.77244″</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7A0B6BFF">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N：25°45′36.63256″</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76603E82">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5户，约15人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3E0EAFE5">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60C817A7">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447m</w:t>
                  </w:r>
                </w:p>
              </w:tc>
              <w:tc>
                <w:tcPr>
                  <w:tcW w:w="931" w:type="pct"/>
                  <w:vMerge w:val="continue"/>
                  <w:tcBorders>
                    <w:left w:val="single" w:color="000000" w:sz="4" w:space="0"/>
                    <w:bottom w:val="single" w:color="000000" w:sz="4" w:space="0"/>
                    <w:right w:val="single" w:color="000000" w:sz="4" w:space="0"/>
                  </w:tcBorders>
                  <w:noWrap w:val="0"/>
                  <w:vAlign w:val="center"/>
                </w:tcPr>
                <w:p w14:paraId="12B907B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14:paraId="0B17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tcBorders>
                    <w:top w:val="single" w:color="000000" w:sz="4" w:space="0"/>
                    <w:left w:val="single" w:color="000000" w:sz="4" w:space="0"/>
                    <w:bottom w:val="nil"/>
                    <w:right w:val="single" w:color="000000" w:sz="4" w:space="0"/>
                  </w:tcBorders>
                  <w:noWrap w:val="0"/>
                  <w:vAlign w:val="center"/>
                </w:tcPr>
                <w:p w14:paraId="52209C29">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声环境</w:t>
                  </w: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0D98656C">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芭蕉树</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429ED7CC">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E：102°55′26.41561″</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3AFF895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N：25°45′51.57515″</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48F33D0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约200户669人</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4BE0B60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四周</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D70290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紧邻</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14:paraId="2F25F4A7">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《声环境质量标准》（GB3096-2008）中2类</w:t>
                  </w:r>
                </w:p>
              </w:tc>
            </w:tr>
            <w:tr w14:paraId="00B39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7" w:type="pct"/>
                  <w:tcBorders>
                    <w:top w:val="single" w:color="000000" w:sz="4" w:space="0"/>
                    <w:left w:val="single" w:color="000000" w:sz="4" w:space="0"/>
                    <w:bottom w:val="single" w:color="000000" w:sz="4" w:space="0"/>
                    <w:right w:val="single" w:color="000000" w:sz="4" w:space="0"/>
                  </w:tcBorders>
                  <w:noWrap w:val="0"/>
                  <w:vAlign w:val="center"/>
                </w:tcPr>
                <w:p w14:paraId="64DB01F2">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地表水环境</w:t>
                  </w:r>
                </w:p>
              </w:tc>
              <w:tc>
                <w:tcPr>
                  <w:tcW w:w="728" w:type="pct"/>
                  <w:tcBorders>
                    <w:top w:val="single" w:color="000000" w:sz="4" w:space="0"/>
                    <w:left w:val="single" w:color="000000" w:sz="4" w:space="0"/>
                    <w:bottom w:val="single" w:color="000000" w:sz="4" w:space="0"/>
                    <w:right w:val="single" w:color="000000" w:sz="4" w:space="0"/>
                  </w:tcBorders>
                  <w:noWrap w:val="0"/>
                  <w:vAlign w:val="center"/>
                </w:tcPr>
                <w:p w14:paraId="5EB17B18">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倘甸河</w:t>
                  </w:r>
                </w:p>
              </w:tc>
              <w:tc>
                <w:tcPr>
                  <w:tcW w:w="785" w:type="pct"/>
                  <w:tcBorders>
                    <w:top w:val="single" w:color="000000" w:sz="4" w:space="0"/>
                    <w:left w:val="single" w:color="000000" w:sz="4" w:space="0"/>
                    <w:bottom w:val="single" w:color="000000" w:sz="4" w:space="0"/>
                    <w:right w:val="single" w:color="000000" w:sz="4" w:space="0"/>
                  </w:tcBorders>
                  <w:noWrap w:val="0"/>
                  <w:vAlign w:val="center"/>
                </w:tcPr>
                <w:p w14:paraId="5681D319">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54" w:type="pct"/>
                  <w:tcBorders>
                    <w:top w:val="single" w:color="000000" w:sz="4" w:space="0"/>
                    <w:left w:val="single" w:color="000000" w:sz="4" w:space="0"/>
                    <w:bottom w:val="single" w:color="000000" w:sz="4" w:space="0"/>
                    <w:right w:val="single" w:color="000000" w:sz="4" w:space="0"/>
                  </w:tcBorders>
                  <w:noWrap w:val="0"/>
                  <w:vAlign w:val="center"/>
                </w:tcPr>
                <w:p w14:paraId="2A604B00">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38BF106A">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6DA7C92B">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西面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D550C45">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383m</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14:paraId="7E10D1F3">
                  <w:pPr>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《地表水环境质量标准》（GB3838-2002）Ⅲ类标准</w:t>
                  </w:r>
                </w:p>
              </w:tc>
            </w:tr>
          </w:tbl>
          <w:p w14:paraId="47280574">
            <w:pPr>
              <w:adjustRightInd w:val="0"/>
              <w:snapToGrid w:val="0"/>
              <w:jc w:val="left"/>
              <w:rPr>
                <w:rFonts w:ascii="宋体" w:hAnsi="宋体" w:cs="宋体"/>
                <w:color w:val="auto"/>
                <w:kern w:val="0"/>
                <w:szCs w:val="21"/>
              </w:rPr>
            </w:pPr>
          </w:p>
        </w:tc>
      </w:tr>
      <w:tr w14:paraId="029FE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336" w:type="pct"/>
            <w:noWrap w:val="0"/>
            <w:vAlign w:val="center"/>
          </w:tcPr>
          <w:p w14:paraId="258AAEB2">
            <w:pPr>
              <w:adjustRightInd w:val="0"/>
              <w:snapToGrid w:val="0"/>
              <w:spacing w:line="360" w:lineRule="auto"/>
              <w:jc w:val="center"/>
              <w:rPr>
                <w:rFonts w:hint="default" w:ascii="宋体" w:hAnsi="宋体" w:cs="宋体"/>
                <w:b/>
                <w:bCs/>
                <w:color w:val="auto"/>
                <w:kern w:val="0"/>
                <w:szCs w:val="21"/>
                <w:lang w:val="en-US" w:eastAsia="zh-CN"/>
              </w:rPr>
            </w:pPr>
            <w:r>
              <w:rPr>
                <w:rFonts w:hint="eastAsia" w:ascii="宋体" w:hAnsi="宋体" w:cs="宋体"/>
                <w:b/>
                <w:bCs/>
                <w:color w:val="auto"/>
                <w:kern w:val="0"/>
                <w:sz w:val="24"/>
                <w:szCs w:val="24"/>
                <w:highlight w:val="none"/>
                <w:lang w:val="en-US" w:eastAsia="zh-CN"/>
              </w:rPr>
              <w:t>污染物排放控制标准</w:t>
            </w:r>
          </w:p>
        </w:tc>
        <w:tc>
          <w:tcPr>
            <w:tcW w:w="4663" w:type="pct"/>
            <w:noWrap w:val="0"/>
            <w:vAlign w:val="center"/>
          </w:tcPr>
          <w:p w14:paraId="2475A3A0">
            <w:pPr>
              <w:pStyle w:val="13"/>
              <w:keepNext w:val="0"/>
              <w:keepLines/>
              <w:pageBreakBefore w:val="0"/>
              <w:widowControl/>
              <w:kinsoku/>
              <w:wordWrap/>
              <w:overflowPunct/>
              <w:topLinePunct w:val="0"/>
              <w:autoSpaceDE/>
              <w:autoSpaceDN/>
              <w:bidi w:val="0"/>
              <w:adjustRightInd/>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1、大气污染物</w:t>
            </w:r>
            <w:r>
              <w:rPr>
                <w:rFonts w:hint="eastAsia" w:ascii="Times New Roman" w:hAnsi="Times New Roman" w:cs="Times New Roman"/>
                <w:b/>
                <w:bCs/>
                <w:color w:val="auto"/>
                <w:sz w:val="24"/>
                <w:szCs w:val="24"/>
                <w:lang w:val="en-US" w:eastAsia="zh-CN"/>
              </w:rPr>
              <w:t>排放标准</w:t>
            </w:r>
          </w:p>
          <w:p w14:paraId="2EC69D49">
            <w:pPr>
              <w:pStyle w:val="13"/>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（1）施工期</w:t>
            </w:r>
          </w:p>
          <w:p w14:paraId="1B7CD026">
            <w:pPr>
              <w:pStyle w:val="13"/>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项目施工废气排放执行《大气污染物综合排放标准》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GB16297-1996</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，由于本项目施工期间大气污染属于无组织排放，因此，按无组织排放浓度限值计，标准值如下：</w:t>
            </w:r>
          </w:p>
          <w:p w14:paraId="21DA0038">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大气污染物综合排放标准</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单位mg/m</w:t>
            </w:r>
            <w:r>
              <w:rPr>
                <w:rFonts w:hint="default" w:ascii="Times New Roman" w:hAnsi="Times New Roman" w:eastAsia="宋体" w:cs="Times New Roman"/>
                <w:b/>
                <w:bCs/>
                <w:color w:val="auto"/>
                <w:sz w:val="21"/>
                <w:szCs w:val="21"/>
                <w:vertAlign w:val="superscript"/>
              </w:rPr>
              <w:t>3</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9"/>
              <w:gridCol w:w="2475"/>
            </w:tblGrid>
            <w:tr w14:paraId="37B6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495" w:type="pct"/>
                  <w:noWrap w:val="0"/>
                  <w:vAlign w:val="center"/>
                </w:tcPr>
                <w:p w14:paraId="527629CB">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标准类别</w:t>
                  </w:r>
                </w:p>
              </w:tc>
              <w:tc>
                <w:tcPr>
                  <w:tcW w:w="1504" w:type="pct"/>
                  <w:noWrap w:val="0"/>
                  <w:vAlign w:val="center"/>
                </w:tcPr>
                <w:p w14:paraId="16C189A4">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颗粒物</w:t>
                  </w:r>
                </w:p>
              </w:tc>
            </w:tr>
            <w:tr w14:paraId="15D7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495" w:type="pct"/>
                  <w:noWrap w:val="0"/>
                  <w:vAlign w:val="center"/>
                </w:tcPr>
                <w:p w14:paraId="02D52106">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GB16297-1996无组织排放监控浓度限值</w:t>
                  </w:r>
                </w:p>
              </w:tc>
              <w:tc>
                <w:tcPr>
                  <w:tcW w:w="1504" w:type="pct"/>
                  <w:noWrap w:val="0"/>
                  <w:vAlign w:val="center"/>
                </w:tcPr>
                <w:p w14:paraId="30D7B145">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14:paraId="74748119">
            <w:pPr>
              <w:adjustRightInd w:val="0"/>
              <w:snapToGrid w:val="0"/>
              <w:jc w:val="left"/>
              <w:rPr>
                <w:rFonts w:ascii="宋体" w:hAnsi="宋体" w:cs="宋体"/>
                <w:color w:val="auto"/>
                <w:kern w:val="0"/>
                <w:szCs w:val="21"/>
              </w:rPr>
            </w:pPr>
          </w:p>
          <w:p w14:paraId="3123BF65">
            <w:pPr>
              <w:pStyle w:val="13"/>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（2）运营期</w:t>
            </w:r>
          </w:p>
          <w:p w14:paraId="46BD6DCE">
            <w:pPr>
              <w:pStyle w:val="13"/>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bookmarkStart w:id="18" w:name="_Hlk509233395"/>
            <w:r>
              <w:rPr>
                <w:rFonts w:hint="default" w:ascii="Times New Roman" w:hAnsi="Times New Roman" w:cs="Times New Roman"/>
                <w:color w:val="auto"/>
                <w:sz w:val="24"/>
                <w:szCs w:val="24"/>
              </w:rPr>
              <w:t>运营期污水处理设施周边大气污染物排放执行（GB18466-2005）《医疗机构水污染物排放标准》中的标准，关于污水处理站周边大气污染物最高允许浓度，标准值如下：</w:t>
            </w:r>
          </w:p>
          <w:p w14:paraId="14801275">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污水处理设施周边大气污染物最高允许浓度</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4463"/>
              <w:gridCol w:w="2328"/>
            </w:tblGrid>
            <w:tr w14:paraId="098B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870" w:type="pct"/>
                  <w:noWrap w:val="0"/>
                  <w:vAlign w:val="top"/>
                </w:tcPr>
                <w:p w14:paraId="0C6908D4">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714" w:type="pct"/>
                  <w:noWrap w:val="0"/>
                  <w:vAlign w:val="top"/>
                </w:tcPr>
                <w:p w14:paraId="300DA5EF">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控制项目</w:t>
                  </w:r>
                </w:p>
              </w:tc>
              <w:tc>
                <w:tcPr>
                  <w:tcW w:w="1415" w:type="pct"/>
                  <w:noWrap w:val="0"/>
                  <w:vAlign w:val="top"/>
                </w:tcPr>
                <w:p w14:paraId="131633C8">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r>
            <w:tr w14:paraId="382E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70" w:type="pct"/>
                  <w:noWrap w:val="0"/>
                  <w:vAlign w:val="top"/>
                </w:tcPr>
                <w:p w14:paraId="35ACDB2B">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2714" w:type="pct"/>
                  <w:noWrap w:val="0"/>
                  <w:vAlign w:val="top"/>
                </w:tcPr>
                <w:p w14:paraId="21FB1F95">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氨（mg/m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15" w:type="pct"/>
                  <w:noWrap w:val="0"/>
                  <w:vAlign w:val="top"/>
                </w:tcPr>
                <w:p w14:paraId="45687BCF">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r>
            <w:tr w14:paraId="77AB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70" w:type="pct"/>
                  <w:noWrap w:val="0"/>
                  <w:vAlign w:val="top"/>
                </w:tcPr>
                <w:p w14:paraId="69C7DA7F">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2714" w:type="pct"/>
                  <w:noWrap w:val="0"/>
                  <w:vAlign w:val="top"/>
                </w:tcPr>
                <w:p w14:paraId="607933DB">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硫化氢（mg/m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15" w:type="pct"/>
                  <w:noWrap w:val="0"/>
                  <w:vAlign w:val="top"/>
                </w:tcPr>
                <w:p w14:paraId="33B818AF">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0.03</w:t>
                  </w:r>
                </w:p>
              </w:tc>
            </w:tr>
            <w:tr w14:paraId="45C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870" w:type="pct"/>
                  <w:noWrap w:val="0"/>
                  <w:vAlign w:val="top"/>
                </w:tcPr>
                <w:p w14:paraId="780563B3">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w:t>
                  </w:r>
                </w:p>
              </w:tc>
              <w:tc>
                <w:tcPr>
                  <w:tcW w:w="2714" w:type="pct"/>
                  <w:noWrap w:val="0"/>
                  <w:vAlign w:val="top"/>
                </w:tcPr>
                <w:p w14:paraId="722BFEB0">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臭气浓度（无量纲）</w:t>
                  </w:r>
                </w:p>
              </w:tc>
              <w:tc>
                <w:tcPr>
                  <w:tcW w:w="1415" w:type="pct"/>
                  <w:noWrap w:val="0"/>
                  <w:vAlign w:val="top"/>
                </w:tcPr>
                <w:p w14:paraId="2BC31429">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r>
            <w:tr w14:paraId="48D7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870" w:type="pct"/>
                  <w:noWrap w:val="0"/>
                  <w:vAlign w:val="top"/>
                </w:tcPr>
                <w:p w14:paraId="058AC6A1">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w:t>
                  </w:r>
                </w:p>
              </w:tc>
              <w:tc>
                <w:tcPr>
                  <w:tcW w:w="2714" w:type="pct"/>
                  <w:noWrap w:val="0"/>
                  <w:vAlign w:val="top"/>
                </w:tcPr>
                <w:p w14:paraId="67BC5D99">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氯气（mg/m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15" w:type="pct"/>
                  <w:noWrap w:val="0"/>
                  <w:vAlign w:val="top"/>
                </w:tcPr>
                <w:p w14:paraId="768C9B40">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0.1</w:t>
                  </w:r>
                </w:p>
              </w:tc>
            </w:tr>
            <w:tr w14:paraId="0A59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70" w:type="pct"/>
                  <w:noWrap w:val="0"/>
                  <w:vAlign w:val="top"/>
                </w:tcPr>
                <w:p w14:paraId="0327DFB2">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p>
              </w:tc>
              <w:tc>
                <w:tcPr>
                  <w:tcW w:w="2714" w:type="pct"/>
                  <w:noWrap w:val="0"/>
                  <w:vAlign w:val="top"/>
                </w:tcPr>
                <w:p w14:paraId="5F0589D5">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甲烷（指处理站内最高体积百分数/%）</w:t>
                  </w:r>
                </w:p>
              </w:tc>
              <w:tc>
                <w:tcPr>
                  <w:tcW w:w="1415" w:type="pct"/>
                  <w:noWrap w:val="0"/>
                  <w:vAlign w:val="top"/>
                </w:tcPr>
                <w:p w14:paraId="79100629">
                  <w:pPr>
                    <w:pStyle w:val="13"/>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r>
            <w:bookmarkEnd w:id="18"/>
          </w:tbl>
          <w:p w14:paraId="5D62223B">
            <w:pPr>
              <w:pStyle w:val="12"/>
              <w:bidi w:val="0"/>
              <w:rPr>
                <w:color w:val="auto"/>
              </w:rPr>
            </w:pPr>
            <w:r>
              <w:rPr>
                <w:color w:val="auto"/>
              </w:rPr>
              <w:t>项目设置1个食堂，</w:t>
            </w:r>
            <w:r>
              <w:rPr>
                <w:rFonts w:hint="default"/>
                <w:color w:val="auto"/>
              </w:rPr>
              <w:t>运营期食堂油烟执行</w:t>
            </w:r>
            <w:r>
              <w:rPr>
                <w:color w:val="auto"/>
              </w:rPr>
              <w:t>《饮食业油烟排放标准（试行）》（GB</w:t>
            </w:r>
            <w:r>
              <w:rPr>
                <w:rFonts w:hint="eastAsia"/>
                <w:color w:val="auto"/>
                <w:lang w:eastAsia="zh-CN"/>
              </w:rPr>
              <w:t>280</w:t>
            </w:r>
            <w:r>
              <w:rPr>
                <w:color w:val="auto"/>
              </w:rPr>
              <w:t>83-2001）小型规模标准，具体标准值见下表。</w:t>
            </w:r>
          </w:p>
          <w:p w14:paraId="25C12878">
            <w:pPr>
              <w:pStyle w:val="10"/>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饮食业单位的油烟最高允许排放浓度和油烟净化设施最低去除效率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90"/>
              <w:gridCol w:w="1128"/>
              <w:gridCol w:w="2305"/>
            </w:tblGrid>
            <w:tr w14:paraId="5504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14:paraId="10BB9647">
                  <w:pPr>
                    <w:autoSpaceDE w:val="0"/>
                    <w:autoSpaceDN w:val="0"/>
                    <w:adjustRightInd w:val="0"/>
                    <w:snapToGrid w:val="0"/>
                    <w:spacing w:line="240" w:lineRule="auto"/>
                    <w:ind w:firstLine="0" w:firstLineChars="0"/>
                    <w:jc w:val="center"/>
                    <w:rPr>
                      <w:color w:val="auto"/>
                      <w:sz w:val="21"/>
                      <w:szCs w:val="21"/>
                    </w:rPr>
                  </w:pPr>
                  <w:r>
                    <w:rPr>
                      <w:color w:val="auto"/>
                      <w:sz w:val="21"/>
                      <w:szCs w:val="21"/>
                    </w:rPr>
                    <w:t>规模</w:t>
                  </w:r>
                </w:p>
              </w:tc>
              <w:tc>
                <w:tcPr>
                  <w:tcW w:w="685" w:type="pct"/>
                  <w:tcBorders>
                    <w:top w:val="single" w:color="auto" w:sz="4" w:space="0"/>
                    <w:left w:val="single" w:color="auto" w:sz="4" w:space="0"/>
                    <w:bottom w:val="single" w:color="auto" w:sz="4" w:space="0"/>
                    <w:right w:val="single" w:color="auto" w:sz="4" w:space="0"/>
                  </w:tcBorders>
                  <w:noWrap w:val="0"/>
                  <w:vAlign w:val="center"/>
                </w:tcPr>
                <w:p w14:paraId="3ADD15C5">
                  <w:pPr>
                    <w:autoSpaceDE w:val="0"/>
                    <w:autoSpaceDN w:val="0"/>
                    <w:adjustRightInd w:val="0"/>
                    <w:snapToGrid w:val="0"/>
                    <w:spacing w:line="240" w:lineRule="auto"/>
                    <w:ind w:firstLine="0" w:firstLineChars="0"/>
                    <w:jc w:val="center"/>
                    <w:rPr>
                      <w:color w:val="auto"/>
                      <w:sz w:val="21"/>
                      <w:szCs w:val="21"/>
                    </w:rPr>
                  </w:pPr>
                  <w:r>
                    <w:rPr>
                      <w:color w:val="auto"/>
                      <w:sz w:val="21"/>
                      <w:szCs w:val="21"/>
                    </w:rPr>
                    <w:t>小型</w:t>
                  </w:r>
                </w:p>
              </w:tc>
              <w:tc>
                <w:tcPr>
                  <w:tcW w:w="1401" w:type="pct"/>
                  <w:tcBorders>
                    <w:top w:val="single" w:color="auto" w:sz="4" w:space="0"/>
                    <w:left w:val="single" w:color="auto" w:sz="4" w:space="0"/>
                    <w:bottom w:val="single" w:color="auto" w:sz="4" w:space="0"/>
                    <w:right w:val="single" w:color="auto" w:sz="4" w:space="0"/>
                  </w:tcBorders>
                  <w:noWrap w:val="0"/>
                  <w:vAlign w:val="center"/>
                </w:tcPr>
                <w:p w14:paraId="5835F070">
                  <w:pPr>
                    <w:autoSpaceDE w:val="0"/>
                    <w:autoSpaceDN w:val="0"/>
                    <w:adjustRightInd w:val="0"/>
                    <w:snapToGrid w:val="0"/>
                    <w:spacing w:line="240" w:lineRule="auto"/>
                    <w:ind w:firstLine="0" w:firstLineChars="0"/>
                    <w:jc w:val="center"/>
                    <w:rPr>
                      <w:color w:val="auto"/>
                      <w:sz w:val="21"/>
                      <w:szCs w:val="21"/>
                    </w:rPr>
                  </w:pPr>
                  <w:r>
                    <w:rPr>
                      <w:color w:val="auto"/>
                      <w:sz w:val="21"/>
                      <w:szCs w:val="21"/>
                    </w:rPr>
                    <w:t>标准来源</w:t>
                  </w:r>
                </w:p>
              </w:tc>
            </w:tr>
            <w:tr w14:paraId="028D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14:paraId="2B497862">
                  <w:pPr>
                    <w:autoSpaceDE w:val="0"/>
                    <w:autoSpaceDN w:val="0"/>
                    <w:adjustRightInd w:val="0"/>
                    <w:snapToGrid w:val="0"/>
                    <w:spacing w:line="240" w:lineRule="auto"/>
                    <w:ind w:firstLine="0" w:firstLineChars="0"/>
                    <w:jc w:val="center"/>
                    <w:rPr>
                      <w:color w:val="auto"/>
                      <w:sz w:val="21"/>
                      <w:szCs w:val="21"/>
                    </w:rPr>
                  </w:pPr>
                  <w:r>
                    <w:rPr>
                      <w:color w:val="auto"/>
                      <w:sz w:val="21"/>
                      <w:szCs w:val="21"/>
                    </w:rPr>
                    <w:t>基准灶头数</w:t>
                  </w:r>
                </w:p>
              </w:tc>
              <w:tc>
                <w:tcPr>
                  <w:tcW w:w="685" w:type="pct"/>
                  <w:tcBorders>
                    <w:top w:val="single" w:color="auto" w:sz="4" w:space="0"/>
                    <w:left w:val="single" w:color="auto" w:sz="4" w:space="0"/>
                    <w:bottom w:val="single" w:color="auto" w:sz="4" w:space="0"/>
                    <w:right w:val="single" w:color="auto" w:sz="4" w:space="0"/>
                  </w:tcBorders>
                  <w:noWrap w:val="0"/>
                  <w:vAlign w:val="center"/>
                </w:tcPr>
                <w:p w14:paraId="3CC5182A">
                  <w:pPr>
                    <w:autoSpaceDE w:val="0"/>
                    <w:autoSpaceDN w:val="0"/>
                    <w:adjustRightInd w:val="0"/>
                    <w:snapToGrid w:val="0"/>
                    <w:spacing w:line="240" w:lineRule="auto"/>
                    <w:ind w:firstLine="0" w:firstLineChars="0"/>
                    <w:jc w:val="center"/>
                    <w:rPr>
                      <w:color w:val="auto"/>
                      <w:sz w:val="21"/>
                      <w:szCs w:val="21"/>
                    </w:rPr>
                  </w:pPr>
                  <w:r>
                    <w:rPr>
                      <w:color w:val="auto"/>
                      <w:sz w:val="21"/>
                      <w:szCs w:val="21"/>
                    </w:rPr>
                    <w:t>≥1，＜3</w:t>
                  </w:r>
                </w:p>
              </w:tc>
              <w:tc>
                <w:tcPr>
                  <w:tcW w:w="1401" w:type="pct"/>
                  <w:vMerge w:val="restart"/>
                  <w:tcBorders>
                    <w:top w:val="single" w:color="auto" w:sz="4" w:space="0"/>
                    <w:left w:val="single" w:color="auto" w:sz="4" w:space="0"/>
                    <w:bottom w:val="single" w:color="auto" w:sz="4" w:space="0"/>
                    <w:right w:val="single" w:color="auto" w:sz="4" w:space="0"/>
                  </w:tcBorders>
                  <w:noWrap w:val="0"/>
                  <w:vAlign w:val="center"/>
                </w:tcPr>
                <w:p w14:paraId="6F730A9F">
                  <w:pPr>
                    <w:autoSpaceDE w:val="0"/>
                    <w:autoSpaceDN w:val="0"/>
                    <w:adjustRightInd w:val="0"/>
                    <w:snapToGrid w:val="0"/>
                    <w:spacing w:line="240" w:lineRule="auto"/>
                    <w:ind w:firstLine="0" w:firstLineChars="0"/>
                    <w:jc w:val="center"/>
                    <w:rPr>
                      <w:color w:val="auto"/>
                      <w:sz w:val="21"/>
                      <w:szCs w:val="21"/>
                    </w:rPr>
                  </w:pPr>
                  <w:r>
                    <w:rPr>
                      <w:color w:val="auto"/>
                      <w:sz w:val="21"/>
                      <w:szCs w:val="21"/>
                    </w:rPr>
                    <w:t>GB</w:t>
                  </w:r>
                  <w:r>
                    <w:rPr>
                      <w:rFonts w:hint="eastAsia"/>
                      <w:color w:val="auto"/>
                      <w:sz w:val="21"/>
                      <w:szCs w:val="21"/>
                      <w:lang w:eastAsia="zh-CN"/>
                    </w:rPr>
                    <w:t>280</w:t>
                  </w:r>
                  <w:r>
                    <w:rPr>
                      <w:color w:val="auto"/>
                      <w:sz w:val="21"/>
                      <w:szCs w:val="21"/>
                    </w:rPr>
                    <w:t>83-2001</w:t>
                  </w:r>
                </w:p>
              </w:tc>
            </w:tr>
            <w:tr w14:paraId="75F4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14:paraId="2059D8EA">
                  <w:pPr>
                    <w:autoSpaceDE w:val="0"/>
                    <w:autoSpaceDN w:val="0"/>
                    <w:adjustRightInd w:val="0"/>
                    <w:snapToGrid w:val="0"/>
                    <w:spacing w:line="240" w:lineRule="auto"/>
                    <w:ind w:firstLine="0" w:firstLineChars="0"/>
                    <w:jc w:val="center"/>
                    <w:rPr>
                      <w:color w:val="auto"/>
                      <w:sz w:val="21"/>
                      <w:szCs w:val="21"/>
                    </w:rPr>
                  </w:pPr>
                  <w:r>
                    <w:rPr>
                      <w:color w:val="auto"/>
                      <w:sz w:val="21"/>
                      <w:szCs w:val="21"/>
                    </w:rPr>
                    <w:t>油烟最高允许排放浓度(mg/m</w:t>
                  </w:r>
                  <w:r>
                    <w:rPr>
                      <w:color w:val="auto"/>
                      <w:sz w:val="21"/>
                      <w:szCs w:val="21"/>
                      <w:vertAlign w:val="superscript"/>
                    </w:rPr>
                    <w:t>3</w:t>
                  </w:r>
                  <w:r>
                    <w:rPr>
                      <w:color w:val="auto"/>
                      <w:sz w:val="21"/>
                      <w:szCs w:val="21"/>
                    </w:rPr>
                    <w:t>)</w:t>
                  </w:r>
                </w:p>
              </w:tc>
              <w:tc>
                <w:tcPr>
                  <w:tcW w:w="685" w:type="pct"/>
                  <w:tcBorders>
                    <w:top w:val="single" w:color="auto" w:sz="4" w:space="0"/>
                    <w:left w:val="single" w:color="auto" w:sz="4" w:space="0"/>
                    <w:bottom w:val="single" w:color="auto" w:sz="4" w:space="0"/>
                    <w:right w:val="single" w:color="auto" w:sz="4" w:space="0"/>
                  </w:tcBorders>
                  <w:noWrap w:val="0"/>
                  <w:vAlign w:val="center"/>
                </w:tcPr>
                <w:p w14:paraId="19746173">
                  <w:pPr>
                    <w:adjustRightInd w:val="0"/>
                    <w:snapToGrid w:val="0"/>
                    <w:spacing w:line="240" w:lineRule="auto"/>
                    <w:ind w:firstLine="0" w:firstLineChars="0"/>
                    <w:jc w:val="center"/>
                    <w:rPr>
                      <w:color w:val="auto"/>
                      <w:sz w:val="21"/>
                      <w:szCs w:val="21"/>
                    </w:rPr>
                  </w:pPr>
                  <w:r>
                    <w:rPr>
                      <w:color w:val="auto"/>
                      <w:sz w:val="21"/>
                      <w:szCs w:val="21"/>
                    </w:rPr>
                    <w:t>2.0</w:t>
                  </w:r>
                </w:p>
              </w:tc>
              <w:tc>
                <w:tcPr>
                  <w:tcW w:w="1401" w:type="pct"/>
                  <w:vMerge w:val="continue"/>
                  <w:tcBorders>
                    <w:top w:val="single" w:color="auto" w:sz="4" w:space="0"/>
                    <w:left w:val="single" w:color="auto" w:sz="4" w:space="0"/>
                    <w:bottom w:val="single" w:color="auto" w:sz="4" w:space="0"/>
                    <w:right w:val="single" w:color="auto" w:sz="4" w:space="0"/>
                  </w:tcBorders>
                  <w:noWrap w:val="0"/>
                  <w:vAlign w:val="center"/>
                </w:tcPr>
                <w:p w14:paraId="3E93BDAD">
                  <w:pPr>
                    <w:adjustRightInd w:val="0"/>
                    <w:snapToGrid w:val="0"/>
                    <w:spacing w:line="240" w:lineRule="auto"/>
                    <w:ind w:firstLine="0" w:firstLineChars="0"/>
                    <w:jc w:val="center"/>
                    <w:rPr>
                      <w:color w:val="auto"/>
                      <w:sz w:val="21"/>
                      <w:szCs w:val="21"/>
                    </w:rPr>
                  </w:pPr>
                </w:p>
              </w:tc>
            </w:tr>
            <w:tr w14:paraId="6376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912" w:type="pct"/>
                  <w:tcBorders>
                    <w:top w:val="single" w:color="auto" w:sz="4" w:space="0"/>
                    <w:left w:val="single" w:color="auto" w:sz="4" w:space="0"/>
                    <w:bottom w:val="single" w:color="auto" w:sz="4" w:space="0"/>
                    <w:right w:val="single" w:color="auto" w:sz="4" w:space="0"/>
                  </w:tcBorders>
                  <w:noWrap w:val="0"/>
                  <w:vAlign w:val="center"/>
                </w:tcPr>
                <w:p w14:paraId="4970D9F1">
                  <w:pPr>
                    <w:autoSpaceDE w:val="0"/>
                    <w:autoSpaceDN w:val="0"/>
                    <w:adjustRightInd w:val="0"/>
                    <w:snapToGrid w:val="0"/>
                    <w:spacing w:line="240" w:lineRule="auto"/>
                    <w:ind w:firstLine="0" w:firstLineChars="0"/>
                    <w:jc w:val="center"/>
                    <w:rPr>
                      <w:color w:val="auto"/>
                      <w:sz w:val="21"/>
                      <w:szCs w:val="21"/>
                    </w:rPr>
                  </w:pPr>
                  <w:r>
                    <w:rPr>
                      <w:color w:val="auto"/>
                      <w:sz w:val="21"/>
                      <w:szCs w:val="21"/>
                    </w:rPr>
                    <w:t>净化设施最低去除效率(％)</w:t>
                  </w:r>
                </w:p>
              </w:tc>
              <w:tc>
                <w:tcPr>
                  <w:tcW w:w="685" w:type="pct"/>
                  <w:tcBorders>
                    <w:top w:val="single" w:color="auto" w:sz="4" w:space="0"/>
                    <w:left w:val="single" w:color="auto" w:sz="4" w:space="0"/>
                    <w:bottom w:val="single" w:color="auto" w:sz="4" w:space="0"/>
                    <w:right w:val="single" w:color="auto" w:sz="4" w:space="0"/>
                  </w:tcBorders>
                  <w:noWrap w:val="0"/>
                  <w:vAlign w:val="center"/>
                </w:tcPr>
                <w:p w14:paraId="633EB1C7">
                  <w:pPr>
                    <w:autoSpaceDE w:val="0"/>
                    <w:autoSpaceDN w:val="0"/>
                    <w:adjustRightInd w:val="0"/>
                    <w:snapToGrid w:val="0"/>
                    <w:spacing w:line="240" w:lineRule="auto"/>
                    <w:ind w:firstLine="0" w:firstLineChars="0"/>
                    <w:jc w:val="center"/>
                    <w:rPr>
                      <w:color w:val="auto"/>
                      <w:sz w:val="21"/>
                      <w:szCs w:val="21"/>
                    </w:rPr>
                  </w:pPr>
                  <w:r>
                    <w:rPr>
                      <w:color w:val="auto"/>
                      <w:sz w:val="21"/>
                      <w:szCs w:val="21"/>
                    </w:rPr>
                    <w:t>60</w:t>
                  </w:r>
                </w:p>
              </w:tc>
              <w:tc>
                <w:tcPr>
                  <w:tcW w:w="1401" w:type="pct"/>
                  <w:vMerge w:val="continue"/>
                  <w:tcBorders>
                    <w:top w:val="single" w:color="auto" w:sz="4" w:space="0"/>
                    <w:left w:val="single" w:color="auto" w:sz="4" w:space="0"/>
                    <w:bottom w:val="single" w:color="auto" w:sz="4" w:space="0"/>
                    <w:right w:val="single" w:color="auto" w:sz="4" w:space="0"/>
                  </w:tcBorders>
                  <w:noWrap w:val="0"/>
                  <w:vAlign w:val="center"/>
                </w:tcPr>
                <w:p w14:paraId="50093020">
                  <w:pPr>
                    <w:adjustRightInd w:val="0"/>
                    <w:snapToGrid w:val="0"/>
                    <w:spacing w:line="240" w:lineRule="auto"/>
                    <w:ind w:firstLine="0" w:firstLineChars="0"/>
                    <w:jc w:val="center"/>
                    <w:rPr>
                      <w:color w:val="auto"/>
                      <w:sz w:val="21"/>
                      <w:szCs w:val="21"/>
                    </w:rPr>
                  </w:pPr>
                </w:p>
              </w:tc>
            </w:tr>
          </w:tbl>
          <w:p w14:paraId="37604D50">
            <w:pPr>
              <w:pStyle w:val="12"/>
              <w:numPr>
                <w:ilvl w:val="0"/>
                <w:numId w:val="0"/>
              </w:numPr>
              <w:ind w:left="0" w:leftChars="0" w:firstLine="482" w:firstLineChars="200"/>
              <w:rPr>
                <w:rFonts w:hint="eastAsia"/>
                <w:color w:val="auto"/>
                <w:lang w:val="en-US" w:eastAsia="zh-CN"/>
              </w:rPr>
            </w:pPr>
            <w:r>
              <w:rPr>
                <w:rFonts w:hint="eastAsia" w:ascii="Times New Roman" w:hAnsi="Times New Roman" w:eastAsia="宋体" w:cs="Times New Roman"/>
                <w:b/>
                <w:bCs/>
                <w:color w:val="auto"/>
                <w:kern w:val="2"/>
                <w:sz w:val="24"/>
                <w:szCs w:val="22"/>
                <w:lang w:val="en-US" w:eastAsia="zh-CN" w:bidi="ar-SA"/>
              </w:rPr>
              <w:t>2、</w:t>
            </w:r>
            <w:r>
              <w:rPr>
                <w:rFonts w:hint="eastAsia"/>
                <w:b/>
                <w:bCs/>
                <w:color w:val="auto"/>
                <w:lang w:val="en-US" w:eastAsia="zh-CN"/>
              </w:rPr>
              <w:t>水污染物排放标准</w:t>
            </w:r>
          </w:p>
          <w:p w14:paraId="24A3AC23">
            <w:pPr>
              <w:pStyle w:val="13"/>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（1）施工期</w:t>
            </w:r>
          </w:p>
          <w:p w14:paraId="544C208C">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Cs/>
                <w:color w:val="auto"/>
                <w:spacing w:val="0"/>
                <w:sz w:val="24"/>
                <w:szCs w:val="24"/>
              </w:rPr>
              <w:t>施</w:t>
            </w:r>
            <w:r>
              <w:rPr>
                <w:rFonts w:hint="eastAsia" w:ascii="Times New Roman" w:hAnsi="Times New Roman" w:eastAsia="宋体" w:cs="Times New Roman"/>
                <w:bCs/>
                <w:color w:val="auto"/>
                <w:spacing w:val="0"/>
                <w:sz w:val="24"/>
                <w:szCs w:val="24"/>
                <w:lang w:val="en-US" w:eastAsia="zh-CN"/>
              </w:rPr>
              <w:t>工期废水经</w:t>
            </w:r>
            <w:r>
              <w:rPr>
                <w:rFonts w:hint="eastAsia" w:cs="Times New Roman"/>
                <w:bCs/>
                <w:color w:val="auto"/>
                <w:spacing w:val="0"/>
                <w:sz w:val="24"/>
                <w:szCs w:val="24"/>
                <w:lang w:val="en-US" w:eastAsia="zh-CN"/>
              </w:rPr>
              <w:t>收集桶</w:t>
            </w:r>
            <w:r>
              <w:rPr>
                <w:rFonts w:hint="default" w:ascii="Times New Roman" w:hAnsi="Times New Roman" w:eastAsia="宋体" w:cs="Times New Roman"/>
                <w:bCs/>
                <w:color w:val="auto"/>
                <w:spacing w:val="0"/>
                <w:sz w:val="24"/>
                <w:szCs w:val="24"/>
              </w:rPr>
              <w:t>收集，经沉淀后回用于项目区道路</w:t>
            </w:r>
            <w:r>
              <w:rPr>
                <w:rFonts w:hint="eastAsia" w:cs="Times New Roman"/>
                <w:bCs/>
                <w:color w:val="auto"/>
                <w:spacing w:val="0"/>
                <w:sz w:val="24"/>
                <w:szCs w:val="24"/>
                <w:lang w:eastAsia="zh-CN"/>
              </w:rPr>
              <w:t>浇洒</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项目施工期不设施工营地，施工人员不在施工现场食宿，施工人员</w:t>
            </w:r>
            <w:r>
              <w:rPr>
                <w:rFonts w:hint="eastAsia" w:cs="Times New Roman"/>
                <w:bCs/>
                <w:color w:val="auto"/>
                <w:spacing w:val="0"/>
                <w:sz w:val="24"/>
                <w:szCs w:val="24"/>
                <w:lang w:eastAsia="zh-CN"/>
              </w:rPr>
              <w:t>生活污水</w:t>
            </w:r>
            <w:r>
              <w:rPr>
                <w:rFonts w:hint="default" w:ascii="Times New Roman" w:hAnsi="Times New Roman" w:eastAsia="宋体" w:cs="Times New Roman"/>
                <w:bCs/>
                <w:color w:val="auto"/>
                <w:spacing w:val="0"/>
                <w:sz w:val="24"/>
                <w:szCs w:val="24"/>
              </w:rPr>
              <w:t>接入</w:t>
            </w:r>
            <w:r>
              <w:rPr>
                <w:rFonts w:hint="eastAsia" w:cs="Times New Roman"/>
                <w:bCs/>
                <w:color w:val="auto"/>
                <w:spacing w:val="0"/>
                <w:sz w:val="24"/>
                <w:szCs w:val="24"/>
                <w:lang w:val="en-US" w:eastAsia="zh-CN"/>
              </w:rPr>
              <w:t>项目内原有</w:t>
            </w:r>
            <w:r>
              <w:rPr>
                <w:rFonts w:hint="default" w:ascii="Times New Roman" w:hAnsi="Times New Roman" w:eastAsia="宋体" w:cs="Times New Roman"/>
                <w:bCs/>
                <w:color w:val="auto"/>
                <w:spacing w:val="0"/>
                <w:sz w:val="24"/>
                <w:szCs w:val="24"/>
              </w:rPr>
              <w:t>化粪池处理。</w:t>
            </w:r>
          </w:p>
          <w:p w14:paraId="00B71780">
            <w:pPr>
              <w:pStyle w:val="13"/>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（2）运营期</w:t>
            </w:r>
          </w:p>
          <w:p w14:paraId="10401A5B">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根据本项目特点，</w:t>
            </w:r>
            <w:r>
              <w:rPr>
                <w:rFonts w:hint="default" w:ascii="Times New Roman" w:hAnsi="Times New Roman" w:eastAsia="宋体" w:cs="Times New Roman"/>
                <w:color w:val="auto"/>
                <w:sz w:val="24"/>
                <w:szCs w:val="24"/>
                <w:lang w:eastAsia="zh-CN"/>
              </w:rPr>
              <w:t>倘甸镇污水处理厂</w:t>
            </w:r>
            <w:r>
              <w:rPr>
                <w:rFonts w:hint="default" w:ascii="Times New Roman" w:hAnsi="Times New Roman" w:eastAsia="宋体" w:cs="Times New Roman"/>
                <w:color w:val="auto"/>
                <w:sz w:val="24"/>
                <w:szCs w:val="24"/>
                <w:lang w:val="en-US" w:eastAsia="zh-CN"/>
              </w:rPr>
              <w:t>尚</w:t>
            </w:r>
            <w:r>
              <w:rPr>
                <w:rFonts w:hint="default" w:ascii="Times New Roman" w:hAnsi="Times New Roman" w:eastAsia="宋体" w:cs="Times New Roman"/>
                <w:color w:val="auto"/>
                <w:sz w:val="24"/>
                <w:szCs w:val="24"/>
                <w:lang w:eastAsia="zh-CN"/>
              </w:rPr>
              <w:t>未运行，且项目区至倘甸镇污水处理厂的污水管网未接通，</w:t>
            </w:r>
            <w:r>
              <w:rPr>
                <w:rFonts w:hint="default" w:ascii="Times New Roman" w:hAnsi="Times New Roman" w:cs="Times New Roman"/>
                <w:color w:val="auto"/>
                <w:sz w:val="24"/>
                <w:szCs w:val="24"/>
                <w:highlight w:val="none"/>
                <w:lang w:val="en-US" w:eastAsia="zh-CN"/>
              </w:rPr>
              <w:t>由于倘甸镇污水处理厂已建成但未运行，且项目区至倘甸镇污水处理厂的污水管网未接通</w:t>
            </w:r>
            <w:r>
              <w:rPr>
                <w:rFonts w:hint="eastAsia" w:cs="Times New Roman"/>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本次评价要求项目在倘甸镇污水处理厂投运之前不得投运。</w:t>
            </w:r>
            <w:r>
              <w:rPr>
                <w:rFonts w:hint="default" w:ascii="Times New Roman" w:hAnsi="Times New Roman" w:cs="Times New Roman"/>
                <w:color w:val="auto"/>
                <w:sz w:val="24"/>
                <w:szCs w:val="24"/>
                <w:highlight w:val="none"/>
                <w:lang w:val="en-US" w:eastAsia="zh-CN"/>
              </w:rPr>
              <w:t>待倘甸镇污水处理厂投入运行且项目至污水处理厂的管网接通后，医院废水经自建污水处理站处理达到《医疗机构水污染物排放标准》（GB18466-2005）表2预处理标准</w:t>
            </w:r>
            <w:r>
              <w:rPr>
                <w:rFonts w:hint="eastAsia"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lang w:val="en-US" w:eastAsia="zh-CN"/>
              </w:rPr>
              <w:t>排入市政污水管网，最终排入倘甸镇污水处理厂。</w:t>
            </w:r>
          </w:p>
          <w:p w14:paraId="71EDDEFA">
            <w:pPr>
              <w:pStyle w:val="13"/>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GB18466-2005）《医疗机构水污染物排放标准》：县级以上或20张床位以上的综合医疗机构和其他所有医疗机构污水排放执行GB18466-2005《医疗机构水污染物排放标准》中表2预处理标准，直接或间接排放到地表水体或海域的污水执行排放标准。标准值如下：</w:t>
            </w:r>
          </w:p>
          <w:p w14:paraId="79016959">
            <w:pPr>
              <w:keepNext w:val="0"/>
              <w:keepLines/>
              <w:pageBreakBefore w:val="0"/>
              <w:widowControl/>
              <w:kinsoku/>
              <w:overflowPunct/>
              <w:autoSpaceDE/>
              <w:autoSpaceDN/>
              <w:bidi w:val="0"/>
              <w:adjustRightInd w:val="0"/>
              <w:snapToGrid w:val="0"/>
              <w:spacing w:line="276"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预处理排放标准 单位</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 xml:space="preserve"> mg/L</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777"/>
              <w:gridCol w:w="1995"/>
              <w:gridCol w:w="2562"/>
            </w:tblGrid>
            <w:tr w14:paraId="6E7D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42C9FDC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688" w:type="pct"/>
                  <w:noWrap w:val="0"/>
                  <w:vAlign w:val="top"/>
                </w:tcPr>
                <w:p w14:paraId="687706C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1213" w:type="pct"/>
                  <w:noWrap w:val="0"/>
                  <w:vAlign w:val="top"/>
                </w:tcPr>
                <w:p w14:paraId="264A1A3A">
                  <w:pPr>
                    <w:keepNext w:val="0"/>
                    <w:keepLines/>
                    <w:pageBreakBefore w:val="0"/>
                    <w:widowControl/>
                    <w:tabs>
                      <w:tab w:val="center" w:pos="1006"/>
                    </w:tabs>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tc>
              <w:tc>
                <w:tcPr>
                  <w:tcW w:w="1555" w:type="pct"/>
                  <w:noWrap w:val="0"/>
                  <w:vAlign w:val="top"/>
                </w:tcPr>
                <w:p w14:paraId="52B87C7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4495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41" w:type="pct"/>
                  <w:noWrap w:val="0"/>
                  <w:vAlign w:val="top"/>
                </w:tcPr>
                <w:p w14:paraId="6EF7496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88" w:type="pct"/>
                  <w:noWrap w:val="0"/>
                  <w:vAlign w:val="top"/>
                </w:tcPr>
                <w:p w14:paraId="3FCDFA6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粪大肠菌群/（MPN/L）</w:t>
                  </w:r>
                </w:p>
              </w:tc>
              <w:tc>
                <w:tcPr>
                  <w:tcW w:w="1213" w:type="pct"/>
                  <w:noWrap w:val="0"/>
                  <w:vAlign w:val="top"/>
                </w:tcPr>
                <w:p w14:paraId="3887079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1555" w:type="pct"/>
                  <w:vMerge w:val="restart"/>
                  <w:noWrap w:val="0"/>
                  <w:vAlign w:val="center"/>
                </w:tcPr>
                <w:p w14:paraId="64395FFC">
                  <w:pPr>
                    <w:keepNext w:val="0"/>
                    <w:keepLines/>
                    <w:pageBreakBefore w:val="0"/>
                    <w:widowControl/>
                    <w:kinsoku/>
                    <w:overflowPunct/>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GB18466-2005《医疗机构水污染物排放标准》表2预处理排放标准</w:t>
                  </w:r>
                </w:p>
              </w:tc>
            </w:tr>
            <w:tr w14:paraId="0234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41" w:type="pct"/>
                  <w:noWrap w:val="0"/>
                  <w:vAlign w:val="top"/>
                </w:tcPr>
                <w:p w14:paraId="1D7FEB0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88" w:type="pct"/>
                  <w:noWrap w:val="0"/>
                  <w:vAlign w:val="top"/>
                </w:tcPr>
                <w:p w14:paraId="3B6CF47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肠道致病菌</w:t>
                  </w:r>
                </w:p>
              </w:tc>
              <w:tc>
                <w:tcPr>
                  <w:tcW w:w="1213" w:type="pct"/>
                  <w:noWrap w:val="0"/>
                  <w:vAlign w:val="top"/>
                </w:tcPr>
                <w:p w14:paraId="0F43DC6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512C0863">
                  <w:pPr>
                    <w:keepNext w:val="0"/>
                    <w:keepLines/>
                    <w:pageBreakBefore w:val="0"/>
                    <w:widowControl/>
                    <w:kinsoku/>
                    <w:overflowPunct/>
                    <w:autoSpaceDE/>
                    <w:autoSpaceDN/>
                    <w:bidi w:val="0"/>
                    <w:snapToGrid w:val="0"/>
                    <w:rPr>
                      <w:rFonts w:hint="default" w:ascii="Times New Roman" w:hAnsi="Times New Roman" w:eastAsia="宋体" w:cs="Times New Roman"/>
                      <w:color w:val="auto"/>
                      <w:sz w:val="21"/>
                      <w:szCs w:val="21"/>
                    </w:rPr>
                  </w:pPr>
                </w:p>
              </w:tc>
            </w:tr>
            <w:tr w14:paraId="040C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41" w:type="pct"/>
                  <w:noWrap w:val="0"/>
                  <w:vAlign w:val="top"/>
                </w:tcPr>
                <w:p w14:paraId="486C9A5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88" w:type="pct"/>
                  <w:noWrap w:val="0"/>
                  <w:vAlign w:val="top"/>
                </w:tcPr>
                <w:p w14:paraId="02927B7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肠道病毒</w:t>
                  </w:r>
                </w:p>
              </w:tc>
              <w:tc>
                <w:tcPr>
                  <w:tcW w:w="1213" w:type="pct"/>
                  <w:noWrap w:val="0"/>
                  <w:vAlign w:val="top"/>
                </w:tcPr>
                <w:p w14:paraId="17A1BAD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2EF0EE5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7BE7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41" w:type="pct"/>
                  <w:noWrap w:val="0"/>
                  <w:vAlign w:val="top"/>
                </w:tcPr>
                <w:p w14:paraId="06CF92F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88" w:type="pct"/>
                  <w:noWrap w:val="0"/>
                  <w:vAlign w:val="top"/>
                </w:tcPr>
                <w:p w14:paraId="6D9537B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213" w:type="pct"/>
                  <w:noWrap w:val="0"/>
                  <w:vAlign w:val="top"/>
                </w:tcPr>
                <w:p w14:paraId="4BA95E1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555" w:type="pct"/>
                  <w:vMerge w:val="continue"/>
                  <w:noWrap w:val="0"/>
                  <w:vAlign w:val="top"/>
                </w:tcPr>
                <w:p w14:paraId="154FF66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03E8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41" w:type="pct"/>
                  <w:noWrap w:val="0"/>
                  <w:vAlign w:val="top"/>
                </w:tcPr>
                <w:p w14:paraId="5FCBDD9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88" w:type="pct"/>
                  <w:noWrap w:val="0"/>
                  <w:vAlign w:val="top"/>
                </w:tcPr>
                <w:p w14:paraId="2D0B76D2">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化学的需氧量（COD）</w:t>
                  </w:r>
                </w:p>
              </w:tc>
              <w:tc>
                <w:tcPr>
                  <w:tcW w:w="1213" w:type="pct"/>
                  <w:noWrap w:val="0"/>
                  <w:vAlign w:val="top"/>
                </w:tcPr>
                <w:p w14:paraId="670EDD3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555" w:type="pct"/>
                  <w:vMerge w:val="continue"/>
                  <w:noWrap w:val="0"/>
                  <w:vAlign w:val="top"/>
                </w:tcPr>
                <w:p w14:paraId="47B0D39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E47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0FF1E75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88" w:type="pct"/>
                  <w:noWrap w:val="0"/>
                  <w:vAlign w:val="top"/>
                </w:tcPr>
                <w:p w14:paraId="539707BA">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生化需氧量BOD</w:t>
                  </w:r>
                  <w:r>
                    <w:rPr>
                      <w:rFonts w:hint="default" w:ascii="Times New Roman" w:hAnsi="Times New Roman" w:eastAsia="宋体" w:cs="Times New Roman"/>
                      <w:color w:val="auto"/>
                      <w:sz w:val="21"/>
                      <w:szCs w:val="21"/>
                      <w:vertAlign w:val="subscript"/>
                    </w:rPr>
                    <w:t>5</w:t>
                  </w:r>
                </w:p>
              </w:tc>
              <w:tc>
                <w:tcPr>
                  <w:tcW w:w="1213" w:type="pct"/>
                  <w:noWrap w:val="0"/>
                  <w:vAlign w:val="top"/>
                </w:tcPr>
                <w:p w14:paraId="4A7ED41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555" w:type="pct"/>
                  <w:vMerge w:val="continue"/>
                  <w:noWrap w:val="0"/>
                  <w:vAlign w:val="top"/>
                </w:tcPr>
                <w:p w14:paraId="687BFB8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892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3AE5616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88" w:type="pct"/>
                  <w:noWrap w:val="0"/>
                  <w:vAlign w:val="top"/>
                </w:tcPr>
                <w:p w14:paraId="60AF97E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悬浮物（SS）</w:t>
                  </w:r>
                </w:p>
              </w:tc>
              <w:tc>
                <w:tcPr>
                  <w:tcW w:w="1213" w:type="pct"/>
                  <w:noWrap w:val="0"/>
                  <w:vAlign w:val="top"/>
                </w:tcPr>
                <w:p w14:paraId="0B8B511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555" w:type="pct"/>
                  <w:vMerge w:val="continue"/>
                  <w:noWrap w:val="0"/>
                  <w:vAlign w:val="top"/>
                </w:tcPr>
                <w:p w14:paraId="54F2F20B">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8C9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41" w:type="pct"/>
                  <w:noWrap w:val="0"/>
                  <w:vAlign w:val="top"/>
                </w:tcPr>
                <w:p w14:paraId="445020E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88" w:type="pct"/>
                  <w:noWrap w:val="0"/>
                  <w:vAlign w:val="top"/>
                </w:tcPr>
                <w:p w14:paraId="193652D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213" w:type="pct"/>
                  <w:noWrap w:val="0"/>
                  <w:vAlign w:val="top"/>
                </w:tcPr>
                <w:p w14:paraId="0CC15F3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6B936AB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D6E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41" w:type="pct"/>
                  <w:noWrap w:val="0"/>
                  <w:vAlign w:val="top"/>
                </w:tcPr>
                <w:p w14:paraId="40F2A84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88" w:type="pct"/>
                  <w:noWrap w:val="0"/>
                  <w:vAlign w:val="top"/>
                </w:tcPr>
                <w:p w14:paraId="251722A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213" w:type="pct"/>
                  <w:noWrap w:val="0"/>
                  <w:vAlign w:val="top"/>
                </w:tcPr>
                <w:p w14:paraId="64AD7D2B">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555" w:type="pct"/>
                  <w:vMerge w:val="continue"/>
                  <w:noWrap w:val="0"/>
                  <w:vAlign w:val="top"/>
                </w:tcPr>
                <w:p w14:paraId="4260A7A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6A83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41" w:type="pct"/>
                  <w:noWrap w:val="0"/>
                  <w:vAlign w:val="top"/>
                </w:tcPr>
                <w:p w14:paraId="5DCBE7C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88" w:type="pct"/>
                  <w:noWrap w:val="0"/>
                  <w:vAlign w:val="top"/>
                </w:tcPr>
                <w:p w14:paraId="3CF49E2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213" w:type="pct"/>
                  <w:noWrap w:val="0"/>
                  <w:vAlign w:val="top"/>
                </w:tcPr>
                <w:p w14:paraId="45737F52">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555" w:type="pct"/>
                  <w:vMerge w:val="continue"/>
                  <w:noWrap w:val="0"/>
                  <w:vAlign w:val="top"/>
                </w:tcPr>
                <w:p w14:paraId="57E4C85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4BC5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554B6CF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88" w:type="pct"/>
                  <w:noWrap w:val="0"/>
                  <w:vAlign w:val="top"/>
                </w:tcPr>
                <w:p w14:paraId="53C395F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1213" w:type="pct"/>
                  <w:noWrap w:val="0"/>
                  <w:vAlign w:val="top"/>
                </w:tcPr>
                <w:p w14:paraId="4434789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5302CEF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80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594BA09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88" w:type="pct"/>
                  <w:noWrap w:val="0"/>
                  <w:vAlign w:val="top"/>
                </w:tcPr>
                <w:p w14:paraId="15F7325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稀释倍数</w:t>
                  </w:r>
                  <w:r>
                    <w:rPr>
                      <w:rFonts w:hint="eastAsia" w:cs="Times New Roman"/>
                      <w:color w:val="auto"/>
                      <w:sz w:val="21"/>
                      <w:szCs w:val="21"/>
                      <w:lang w:eastAsia="zh-CN"/>
                    </w:rPr>
                    <w:t>）</w:t>
                  </w:r>
                </w:p>
              </w:tc>
              <w:tc>
                <w:tcPr>
                  <w:tcW w:w="1213" w:type="pct"/>
                  <w:noWrap w:val="0"/>
                  <w:vAlign w:val="top"/>
                </w:tcPr>
                <w:p w14:paraId="140C109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236264C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2E87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7C6A242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688" w:type="pct"/>
                  <w:noWrap w:val="0"/>
                  <w:vAlign w:val="top"/>
                </w:tcPr>
                <w:p w14:paraId="1A52DE4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1213" w:type="pct"/>
                  <w:noWrap w:val="0"/>
                  <w:vAlign w:val="top"/>
                </w:tcPr>
                <w:p w14:paraId="0D16FF78">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15BB7F3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CDD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0E75B4B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688" w:type="pct"/>
                  <w:noWrap w:val="0"/>
                  <w:vAlign w:val="top"/>
                </w:tcPr>
                <w:p w14:paraId="5C2D88E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总氰化物</w:t>
                  </w:r>
                </w:p>
              </w:tc>
              <w:tc>
                <w:tcPr>
                  <w:tcW w:w="1213" w:type="pct"/>
                  <w:noWrap w:val="0"/>
                  <w:vAlign w:val="top"/>
                </w:tcPr>
                <w:p w14:paraId="655940F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2DC1BFD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423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239A83C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88" w:type="pct"/>
                  <w:noWrap w:val="0"/>
                  <w:vAlign w:val="top"/>
                </w:tcPr>
                <w:p w14:paraId="0D331FE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总汞</w:t>
                  </w:r>
                </w:p>
              </w:tc>
              <w:tc>
                <w:tcPr>
                  <w:tcW w:w="1213" w:type="pct"/>
                  <w:noWrap w:val="0"/>
                  <w:vAlign w:val="top"/>
                </w:tcPr>
                <w:p w14:paraId="436BEE3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555" w:type="pct"/>
                  <w:vMerge w:val="continue"/>
                  <w:noWrap w:val="0"/>
                  <w:vAlign w:val="top"/>
                </w:tcPr>
                <w:p w14:paraId="27DF63B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4DE8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0B3D615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688" w:type="pct"/>
                  <w:noWrap w:val="0"/>
                  <w:vAlign w:val="top"/>
                </w:tcPr>
                <w:p w14:paraId="083A504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总镉</w:t>
                  </w:r>
                </w:p>
              </w:tc>
              <w:tc>
                <w:tcPr>
                  <w:tcW w:w="1213" w:type="pct"/>
                  <w:noWrap w:val="0"/>
                  <w:vAlign w:val="top"/>
                </w:tcPr>
                <w:p w14:paraId="353E335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1555" w:type="pct"/>
                  <w:vMerge w:val="continue"/>
                  <w:noWrap w:val="0"/>
                  <w:vAlign w:val="top"/>
                </w:tcPr>
                <w:p w14:paraId="2D1EA52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266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671E028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688" w:type="pct"/>
                  <w:noWrap w:val="0"/>
                  <w:vAlign w:val="top"/>
                </w:tcPr>
                <w:p w14:paraId="5994A69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总铬</w:t>
                  </w:r>
                </w:p>
              </w:tc>
              <w:tc>
                <w:tcPr>
                  <w:tcW w:w="1213" w:type="pct"/>
                  <w:noWrap w:val="0"/>
                  <w:vAlign w:val="top"/>
                </w:tcPr>
                <w:p w14:paraId="415A170B">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55" w:type="pct"/>
                  <w:vMerge w:val="continue"/>
                  <w:noWrap w:val="0"/>
                  <w:vAlign w:val="top"/>
                </w:tcPr>
                <w:p w14:paraId="48FE829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7FFB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37244F4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688" w:type="pct"/>
                  <w:noWrap w:val="0"/>
                  <w:vAlign w:val="top"/>
                </w:tcPr>
                <w:p w14:paraId="70591B0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1213" w:type="pct"/>
                  <w:noWrap w:val="0"/>
                  <w:vAlign w:val="top"/>
                </w:tcPr>
                <w:p w14:paraId="172B5A7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1591AEC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6103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253CEC4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688" w:type="pct"/>
                  <w:noWrap w:val="0"/>
                  <w:vAlign w:val="top"/>
                </w:tcPr>
                <w:p w14:paraId="1240D90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总砷</w:t>
                  </w:r>
                </w:p>
              </w:tc>
              <w:tc>
                <w:tcPr>
                  <w:tcW w:w="1213" w:type="pct"/>
                  <w:noWrap w:val="0"/>
                  <w:vAlign w:val="top"/>
                </w:tcPr>
                <w:p w14:paraId="533933A8">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0E17B4F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F97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4A3C46B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88" w:type="pct"/>
                  <w:noWrap w:val="0"/>
                  <w:vAlign w:val="top"/>
                </w:tcPr>
                <w:p w14:paraId="167123D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总铅</w:t>
                  </w:r>
                </w:p>
              </w:tc>
              <w:tc>
                <w:tcPr>
                  <w:tcW w:w="1213" w:type="pct"/>
                  <w:noWrap w:val="0"/>
                  <w:vAlign w:val="top"/>
                </w:tcPr>
                <w:p w14:paraId="357B1E0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2D0B451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6709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3BF5FC8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688" w:type="pct"/>
                  <w:noWrap w:val="0"/>
                  <w:vAlign w:val="top"/>
                </w:tcPr>
                <w:p w14:paraId="6FAA2B6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总银</w:t>
                  </w:r>
                </w:p>
              </w:tc>
              <w:tc>
                <w:tcPr>
                  <w:tcW w:w="1213" w:type="pct"/>
                  <w:noWrap w:val="0"/>
                  <w:vAlign w:val="top"/>
                </w:tcPr>
                <w:p w14:paraId="1EE8A27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35038C5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743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42EAC19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688" w:type="pct"/>
                  <w:noWrap w:val="0"/>
                  <w:vAlign w:val="top"/>
                </w:tcPr>
                <w:p w14:paraId="0F7E9C7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总α/(Bq/L)</w:t>
                  </w:r>
                </w:p>
              </w:tc>
              <w:tc>
                <w:tcPr>
                  <w:tcW w:w="1213" w:type="pct"/>
                  <w:noWrap w:val="0"/>
                  <w:vAlign w:val="top"/>
                </w:tcPr>
                <w:p w14:paraId="3D7536C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55" w:type="pct"/>
                  <w:vMerge w:val="continue"/>
                  <w:noWrap w:val="0"/>
                  <w:vAlign w:val="top"/>
                </w:tcPr>
                <w:p w14:paraId="0F8FDCD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0BF3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6BDFC09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688" w:type="pct"/>
                  <w:noWrap w:val="0"/>
                  <w:vAlign w:val="top"/>
                </w:tcPr>
                <w:p w14:paraId="69F9212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总β/(Bq/L)</w:t>
                  </w:r>
                </w:p>
              </w:tc>
              <w:tc>
                <w:tcPr>
                  <w:tcW w:w="1213" w:type="pct"/>
                  <w:noWrap w:val="0"/>
                  <w:vAlign w:val="top"/>
                </w:tcPr>
                <w:p w14:paraId="7BB2EC0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681AA7D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0A02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5EF6CEB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688" w:type="pct"/>
                  <w:noWrap w:val="0"/>
                  <w:vAlign w:val="top"/>
                </w:tcPr>
                <w:p w14:paraId="1FA75A2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总余氯·</w:t>
                  </w:r>
                </w:p>
              </w:tc>
              <w:tc>
                <w:tcPr>
                  <w:tcW w:w="1213" w:type="pct"/>
                  <w:noWrap w:val="0"/>
                  <w:vAlign w:val="top"/>
                </w:tcPr>
                <w:p w14:paraId="48742BE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4A6588D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42A7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000" w:type="pct"/>
                  <w:gridSpan w:val="4"/>
                  <w:noWrap w:val="0"/>
                  <w:vAlign w:val="top"/>
                </w:tcPr>
                <w:p w14:paraId="04B2B440">
                  <w:pPr>
                    <w:keepNext w:val="0"/>
                    <w:keepLines/>
                    <w:pageBreakBefore w:val="0"/>
                    <w:widowControl/>
                    <w:kinsoku/>
                    <w:wordWrap w:val="0"/>
                    <w:overflowPunct/>
                    <w:topLinePunct/>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注：（1）采用含氯消毒剂消毒的工艺控制要求为：排放标准：消毒接触池接触时间≥1h，接触池出口总余氯3~10mg/l。预处理标准：消毒接触池接触时间≥1h，接触池出口总余氯2~8mg/l。</w:t>
                  </w:r>
                </w:p>
                <w:p w14:paraId="3A9197D0">
                  <w:pPr>
                    <w:keepNext w:val="0"/>
                    <w:keepLines/>
                    <w:pageBreakBefore w:val="0"/>
                    <w:widowControl/>
                    <w:kinsoku/>
                    <w:wordWrap w:val="0"/>
                    <w:overflowPunct/>
                    <w:topLinePunct/>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（2）采用其他消毒剂对总余氯不</w:t>
                  </w:r>
                  <w:r>
                    <w:rPr>
                      <w:rFonts w:hint="eastAsia" w:cs="Times New Roman"/>
                      <w:color w:val="auto"/>
                      <w:sz w:val="21"/>
                      <w:szCs w:val="21"/>
                      <w:lang w:eastAsia="zh-CN"/>
                    </w:rPr>
                    <w:t>作</w:t>
                  </w:r>
                  <w:r>
                    <w:rPr>
                      <w:rFonts w:hint="default" w:ascii="Times New Roman" w:hAnsi="Times New Roman" w:eastAsia="宋体" w:cs="Times New Roman"/>
                      <w:color w:val="auto"/>
                      <w:sz w:val="21"/>
                      <w:szCs w:val="21"/>
                    </w:rPr>
                    <w:t>要求。</w:t>
                  </w:r>
                </w:p>
              </w:tc>
            </w:tr>
          </w:tbl>
          <w:p w14:paraId="4067C9AA">
            <w:pPr>
              <w:keepNext w:val="0"/>
              <w:keepLines/>
              <w:pageBreakBefore w:val="0"/>
              <w:widowControl/>
              <w:kinsoku/>
              <w:overflowPunct/>
              <w:autoSpaceDE/>
              <w:autoSpaceDN/>
              <w:bidi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3、噪声</w:t>
            </w:r>
            <w:r>
              <w:rPr>
                <w:rFonts w:hint="eastAsia" w:ascii="Times New Roman" w:hAnsi="Times New Roman" w:eastAsia="宋体" w:cs="Times New Roman"/>
                <w:b/>
                <w:bCs/>
                <w:color w:val="auto"/>
                <w:sz w:val="24"/>
                <w:szCs w:val="24"/>
                <w:lang w:val="en-US" w:eastAsia="zh-CN"/>
              </w:rPr>
              <w:t>排放标准</w:t>
            </w:r>
          </w:p>
          <w:p w14:paraId="4C3BD3E2">
            <w:pPr>
              <w:keepNext w:val="0"/>
              <w:keepLines/>
              <w:pageBreakBefore w:val="0"/>
              <w:widowControl/>
              <w:kinsoku/>
              <w:overflowPunct/>
              <w:autoSpaceDE/>
              <w:autoSpaceDN/>
              <w:bidi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14:paraId="4C27F5D2">
            <w:pPr>
              <w:keepNext w:val="0"/>
              <w:keepLines/>
              <w:pageBreakBefore w:val="0"/>
              <w:widowControl/>
              <w:kinsoku/>
              <w:overflowPunct/>
              <w:autoSpaceDE/>
              <w:autoSpaceDN/>
              <w:bidi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噪声执行《建筑施工噪声排放标准》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GB12523-20</w:t>
            </w:r>
            <w:r>
              <w:rPr>
                <w:rFonts w:hint="eastAsia" w:cs="Times New Roman"/>
                <w:color w:val="auto"/>
                <w:sz w:val="24"/>
                <w:szCs w:val="24"/>
                <w:lang w:val="en-US" w:eastAsia="zh-CN"/>
              </w:rPr>
              <w:t>25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标准值见下表</w:t>
            </w:r>
            <w:r>
              <w:rPr>
                <w:rFonts w:hint="eastAsia" w:cs="Times New Roman"/>
                <w:color w:val="auto"/>
                <w:sz w:val="24"/>
                <w:szCs w:val="24"/>
                <w:lang w:eastAsia="zh-CN"/>
              </w:rPr>
              <w:t>：</w:t>
            </w:r>
          </w:p>
          <w:p w14:paraId="29563C4F">
            <w:pPr>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建筑施工场界环境噪声排放标准</w:t>
            </w:r>
            <w:r>
              <w:rPr>
                <w:rFonts w:hint="default" w:ascii="Times New Roman" w:hAnsi="Times New Roman" w:cs="Times New Roman"/>
                <w:b/>
                <w:bCs/>
                <w:color w:val="auto"/>
                <w:sz w:val="21"/>
                <w:szCs w:val="21"/>
                <w:lang w:val="en-US" w:eastAsia="zh-CN"/>
              </w:rPr>
              <w:t>限值  单位dB（A）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3"/>
            </w:tblGrid>
            <w:tr w14:paraId="1FAA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038BE8E2">
                  <w:pPr>
                    <w:ind w:left="0" w:leftChars="0" w:right="0" w:rightChars="0" w:firstLine="0" w:firstLineChars="0"/>
                    <w:jc w:val="center"/>
                    <w:rPr>
                      <w:rFonts w:hint="default" w:eastAsia="宋体"/>
                      <w:b/>
                      <w:bCs/>
                      <w:color w:val="auto"/>
                      <w:vertAlign w:val="baseline"/>
                      <w:lang w:val="en-US" w:eastAsia="zh-CN"/>
                    </w:rPr>
                  </w:pPr>
                  <w:r>
                    <w:rPr>
                      <w:rFonts w:hint="eastAsia"/>
                      <w:b/>
                      <w:bCs/>
                      <w:color w:val="auto"/>
                      <w:vertAlign w:val="baseline"/>
                      <w:lang w:val="en-US" w:eastAsia="zh-CN"/>
                    </w:rPr>
                    <w:t>昼间</w:t>
                  </w:r>
                </w:p>
              </w:tc>
              <w:tc>
                <w:tcPr>
                  <w:tcW w:w="2500" w:type="pct"/>
                  <w:noWrap w:val="0"/>
                  <w:vAlign w:val="top"/>
                </w:tcPr>
                <w:p w14:paraId="3E0D7186">
                  <w:pPr>
                    <w:ind w:left="0" w:leftChars="0" w:right="0" w:rightChars="0" w:firstLine="0" w:firstLineChars="0"/>
                    <w:jc w:val="center"/>
                    <w:rPr>
                      <w:rFonts w:hint="eastAsia" w:eastAsia="宋体"/>
                      <w:b/>
                      <w:bCs/>
                      <w:color w:val="auto"/>
                      <w:vertAlign w:val="baseline"/>
                      <w:lang w:val="en-US" w:eastAsia="zh-CN"/>
                    </w:rPr>
                  </w:pPr>
                  <w:r>
                    <w:rPr>
                      <w:rFonts w:hint="eastAsia"/>
                      <w:b/>
                      <w:bCs/>
                      <w:color w:val="auto"/>
                      <w:vertAlign w:val="baseline"/>
                      <w:lang w:val="en-US" w:eastAsia="zh-CN"/>
                    </w:rPr>
                    <w:t>夜间</w:t>
                  </w:r>
                </w:p>
              </w:tc>
            </w:tr>
            <w:tr w14:paraId="6B98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16D807BA">
                  <w:pPr>
                    <w:ind w:left="0" w:leftChars="0" w:right="0" w:rightChars="0" w:firstLine="0" w:firstLineChars="0"/>
                    <w:jc w:val="center"/>
                    <w:rPr>
                      <w:rFonts w:hint="default" w:eastAsia="宋体"/>
                      <w:color w:val="auto"/>
                      <w:vertAlign w:val="baseline"/>
                      <w:lang w:val="en-US" w:eastAsia="zh-CN"/>
                    </w:rPr>
                  </w:pPr>
                  <w:r>
                    <w:rPr>
                      <w:rFonts w:hint="eastAsia"/>
                      <w:color w:val="auto"/>
                      <w:vertAlign w:val="baseline"/>
                      <w:lang w:val="en-US" w:eastAsia="zh-CN"/>
                    </w:rPr>
                    <w:t>70</w:t>
                  </w:r>
                </w:p>
              </w:tc>
              <w:tc>
                <w:tcPr>
                  <w:tcW w:w="2500" w:type="pct"/>
                  <w:noWrap w:val="0"/>
                  <w:vAlign w:val="top"/>
                </w:tcPr>
                <w:p w14:paraId="5647982D">
                  <w:pPr>
                    <w:ind w:left="0" w:leftChars="0" w:right="0" w:rightChars="0" w:firstLine="0" w:firstLineChars="0"/>
                    <w:jc w:val="center"/>
                    <w:rPr>
                      <w:rFonts w:hint="default" w:eastAsia="宋体"/>
                      <w:color w:val="auto"/>
                      <w:vertAlign w:val="baseline"/>
                      <w:lang w:val="en-US" w:eastAsia="zh-CN"/>
                    </w:rPr>
                  </w:pPr>
                  <w:r>
                    <w:rPr>
                      <w:rFonts w:hint="eastAsia"/>
                      <w:color w:val="auto"/>
                      <w:vertAlign w:val="baseline"/>
                      <w:lang w:val="en-US" w:eastAsia="zh-CN"/>
                    </w:rPr>
                    <w:t>55</w:t>
                  </w:r>
                </w:p>
              </w:tc>
            </w:tr>
          </w:tbl>
          <w:p w14:paraId="20490551">
            <w:pPr>
              <w:keepNext w:val="0"/>
              <w:keepLines/>
              <w:pageBreakBefore w:val="0"/>
              <w:widowControl/>
              <w:numPr>
                <w:ilvl w:val="0"/>
                <w:numId w:val="0"/>
              </w:numPr>
              <w:kinsoku/>
              <w:overflowPunct/>
              <w:autoSpaceDE/>
              <w:autoSpaceDN/>
              <w:bidi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szCs w:val="24"/>
                <w:highlight w:val="none"/>
              </w:rPr>
              <w:t>运营期</w:t>
            </w:r>
          </w:p>
          <w:p w14:paraId="2A4C15A9">
            <w:pPr>
              <w:keepNext w:val="0"/>
              <w:keepLines/>
              <w:pageBreakBefore w:val="0"/>
              <w:widowControl/>
              <w:numPr>
                <w:ilvl w:val="0"/>
                <w:numId w:val="0"/>
              </w:numPr>
              <w:kinsoku/>
              <w:overflowPunct/>
              <w:autoSpaceDE/>
              <w:autoSpaceDN/>
              <w:bidi w:val="0"/>
              <w:snapToGrid w:val="0"/>
              <w:spacing w:line="360" w:lineRule="auto"/>
              <w:ind w:firstLine="480" w:firstLineChars="200"/>
              <w:rPr>
                <w:rFonts w:hint="eastAsia"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rPr>
              <w:t>噪声排放标准执行《工业企业厂界环境噪声排放标准》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类，标准见</w:t>
            </w:r>
            <w:r>
              <w:rPr>
                <w:rFonts w:hint="eastAsia"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r>
              <w:rPr>
                <w:rFonts w:hint="eastAsia" w:cs="Times New Roman"/>
                <w:color w:val="auto"/>
                <w:sz w:val="24"/>
                <w:szCs w:val="24"/>
                <w:highlight w:val="none"/>
                <w:lang w:eastAsia="zh-CN"/>
              </w:rPr>
              <w:t>：</w:t>
            </w:r>
          </w:p>
          <w:p w14:paraId="39B854A9">
            <w:pPr>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9  </w:t>
            </w:r>
            <w:r>
              <w:rPr>
                <w:rFonts w:hint="default" w:ascii="Times New Roman" w:hAnsi="Times New Roman" w:cs="Times New Roman"/>
                <w:b/>
                <w:bCs/>
                <w:color w:val="auto"/>
                <w:sz w:val="21"/>
                <w:szCs w:val="21"/>
                <w:lang w:val="en-US" w:eastAsia="zh-CN"/>
              </w:rPr>
              <w:t>工业企业厂界环境噪声</w:t>
            </w:r>
            <w:r>
              <w:rPr>
                <w:rFonts w:hint="default" w:ascii="Times New Roman" w:hAnsi="Times New Roman" w:eastAsia="宋体" w:cs="Times New Roman"/>
                <w:b/>
                <w:bCs/>
                <w:color w:val="auto"/>
                <w:sz w:val="21"/>
                <w:szCs w:val="21"/>
              </w:rPr>
              <w:t>排放标准</w:t>
            </w:r>
            <w:r>
              <w:rPr>
                <w:rFonts w:hint="default" w:ascii="Times New Roman" w:hAnsi="Times New Roman" w:cs="Times New Roman"/>
                <w:b/>
                <w:bCs/>
                <w:color w:val="auto"/>
                <w:sz w:val="21"/>
                <w:szCs w:val="21"/>
                <w:lang w:val="en-US" w:eastAsia="zh-CN"/>
              </w:rPr>
              <w:t>限值  单位dB（A）</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6"/>
              <w:gridCol w:w="1505"/>
              <w:gridCol w:w="2054"/>
              <w:gridCol w:w="2058"/>
            </w:tblGrid>
            <w:tr w14:paraId="0FE8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84" w:type="pct"/>
                  <w:vMerge w:val="restart"/>
                  <w:noWrap w:val="0"/>
                  <w:vAlign w:val="center"/>
                </w:tcPr>
                <w:p w14:paraId="2191262F">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监测位置</w:t>
                  </w:r>
                </w:p>
              </w:tc>
              <w:tc>
                <w:tcPr>
                  <w:tcW w:w="915" w:type="pct"/>
                  <w:vMerge w:val="restart"/>
                  <w:noWrap w:val="0"/>
                  <w:vAlign w:val="center"/>
                </w:tcPr>
                <w:p w14:paraId="39FFC427">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执行类别</w:t>
                  </w:r>
                </w:p>
              </w:tc>
              <w:tc>
                <w:tcPr>
                  <w:tcW w:w="2500" w:type="pct"/>
                  <w:gridSpan w:val="2"/>
                  <w:noWrap w:val="0"/>
                  <w:vAlign w:val="center"/>
                </w:tcPr>
                <w:p w14:paraId="4780DBB7">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标准值</w:t>
                  </w:r>
                </w:p>
              </w:tc>
            </w:tr>
            <w:tr w14:paraId="573F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84" w:type="pct"/>
                  <w:vMerge w:val="continue"/>
                  <w:noWrap w:val="0"/>
                  <w:vAlign w:val="center"/>
                </w:tcPr>
                <w:p w14:paraId="3ED6DDFF">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b/>
                      <w:bCs/>
                      <w:color w:val="auto"/>
                      <w:sz w:val="21"/>
                      <w:szCs w:val="21"/>
                    </w:rPr>
                  </w:pPr>
                </w:p>
              </w:tc>
              <w:tc>
                <w:tcPr>
                  <w:tcW w:w="915" w:type="pct"/>
                  <w:vMerge w:val="continue"/>
                  <w:noWrap w:val="0"/>
                  <w:vAlign w:val="center"/>
                </w:tcPr>
                <w:p w14:paraId="421A5B5B">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b/>
                      <w:bCs/>
                      <w:color w:val="auto"/>
                      <w:sz w:val="21"/>
                      <w:szCs w:val="21"/>
                    </w:rPr>
                  </w:pPr>
                </w:p>
              </w:tc>
              <w:tc>
                <w:tcPr>
                  <w:tcW w:w="1249" w:type="pct"/>
                  <w:noWrap w:val="0"/>
                  <w:vAlign w:val="center"/>
                </w:tcPr>
                <w:p w14:paraId="7494DC0E">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昼间</w:t>
                  </w:r>
                </w:p>
              </w:tc>
              <w:tc>
                <w:tcPr>
                  <w:tcW w:w="1250" w:type="pct"/>
                  <w:noWrap w:val="0"/>
                  <w:vAlign w:val="center"/>
                </w:tcPr>
                <w:p w14:paraId="693DDD87">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夜间</w:t>
                  </w:r>
                </w:p>
              </w:tc>
            </w:tr>
            <w:tr w14:paraId="3FF8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pct"/>
                  <w:noWrap w:val="0"/>
                  <w:vAlign w:val="center"/>
                </w:tcPr>
                <w:p w14:paraId="4A87ED6E">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东、南、西</w:t>
                  </w:r>
                  <w:r>
                    <w:rPr>
                      <w:rFonts w:hint="eastAsia" w:cs="Times New Roman"/>
                      <w:color w:val="auto"/>
                      <w:sz w:val="21"/>
                      <w:szCs w:val="21"/>
                      <w:vertAlign w:val="baseline"/>
                      <w:lang w:val="en-US" w:eastAsia="zh-CN"/>
                    </w:rPr>
                    <w:t>、北</w:t>
                  </w:r>
                  <w:r>
                    <w:rPr>
                      <w:rFonts w:hint="eastAsia" w:ascii="Times New Roman" w:hAnsi="Times New Roman" w:eastAsia="宋体" w:cs="Times New Roman"/>
                      <w:color w:val="auto"/>
                      <w:sz w:val="21"/>
                      <w:szCs w:val="21"/>
                      <w:vertAlign w:val="baseline"/>
                      <w:lang w:val="en-US" w:eastAsia="zh-CN"/>
                    </w:rPr>
                    <w:t>侧厂界</w:t>
                  </w:r>
                </w:p>
              </w:tc>
              <w:tc>
                <w:tcPr>
                  <w:tcW w:w="915" w:type="pct"/>
                  <w:noWrap w:val="0"/>
                  <w:vAlign w:val="center"/>
                </w:tcPr>
                <w:p w14:paraId="5C97ABB0">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249" w:type="pct"/>
                  <w:noWrap w:val="0"/>
                  <w:vAlign w:val="center"/>
                </w:tcPr>
                <w:p w14:paraId="7827507A">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60</w:t>
                  </w:r>
                </w:p>
              </w:tc>
              <w:tc>
                <w:tcPr>
                  <w:tcW w:w="1250" w:type="pct"/>
                  <w:noWrap w:val="0"/>
                  <w:vAlign w:val="center"/>
                </w:tcPr>
                <w:p w14:paraId="4E50D950">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bl>
          <w:p w14:paraId="395C2B1D">
            <w:pPr>
              <w:pStyle w:val="12"/>
              <w:bidi w:val="0"/>
              <w:rPr>
                <w:rFonts w:hint="default"/>
                <w:b/>
                <w:bCs/>
                <w:color w:val="auto"/>
                <w:lang w:val="en-US" w:eastAsia="zh-CN"/>
              </w:rPr>
            </w:pPr>
            <w:r>
              <w:rPr>
                <w:rFonts w:hint="default"/>
                <w:b/>
                <w:bCs/>
                <w:color w:val="auto"/>
                <w:lang w:val="en-US" w:eastAsia="zh-CN"/>
              </w:rPr>
              <w:t>4、固体废弃物</w:t>
            </w:r>
          </w:p>
          <w:p w14:paraId="2C69CC1F">
            <w:pPr>
              <w:pStyle w:val="12"/>
              <w:bidi w:val="0"/>
              <w:rPr>
                <w:rFonts w:hint="default"/>
                <w:color w:val="auto"/>
                <w:lang w:val="en-US" w:eastAsia="zh-CN"/>
              </w:rPr>
            </w:pPr>
            <w:r>
              <w:rPr>
                <w:rFonts w:hint="default"/>
                <w:color w:val="auto"/>
                <w:lang w:val="en-US" w:eastAsia="zh-CN"/>
              </w:rPr>
              <w:t>（1）一般固体废弃物执行《一般工业固体废物贮存和填埋污染控制标准》GB18599-2020）。</w:t>
            </w:r>
          </w:p>
          <w:p w14:paraId="0C0731BA">
            <w:pPr>
              <w:pStyle w:val="12"/>
              <w:bidi w:val="0"/>
              <w:rPr>
                <w:rFonts w:hint="default"/>
                <w:color w:val="auto"/>
                <w:lang w:val="en-US" w:eastAsia="zh-CN"/>
              </w:rPr>
            </w:pPr>
            <w:r>
              <w:rPr>
                <w:rFonts w:hint="default"/>
                <w:color w:val="auto"/>
                <w:lang w:val="en-US" w:eastAsia="zh-CN"/>
              </w:rPr>
              <w:t>（2）项目运营期医疗废物执行《医疗废物管理条例》（2011修订）、《医疗废物集中处置技术规范（试行）》环发[2003]206号、《医疗废物专用包装袋、容器和警示标志标准》（HJ421-2008）、《危险废物贮存污染控制标准》（GB18597-2023）中的相关要求；化粪池及污水处理站污泥执行《医疗机构水污染</w:t>
            </w:r>
            <w:r>
              <w:rPr>
                <w:rFonts w:hint="eastAsia"/>
                <w:color w:val="auto"/>
                <w:lang w:val="en-US" w:eastAsia="zh-CN"/>
              </w:rPr>
              <w:t>物</w:t>
            </w:r>
            <w:r>
              <w:rPr>
                <w:rFonts w:hint="default"/>
                <w:color w:val="auto"/>
                <w:lang w:val="en-US" w:eastAsia="zh-CN"/>
              </w:rPr>
              <w:t>排放标准》（GB18466-2005）</w:t>
            </w:r>
            <w:r>
              <w:rPr>
                <w:rFonts w:hint="eastAsia"/>
                <w:color w:val="auto"/>
                <w:lang w:val="en-US" w:eastAsia="zh-CN"/>
              </w:rPr>
              <w:t>表4</w:t>
            </w:r>
            <w:r>
              <w:rPr>
                <w:rFonts w:hint="default"/>
                <w:color w:val="auto"/>
                <w:lang w:val="en-US" w:eastAsia="zh-CN"/>
              </w:rPr>
              <w:t>医疗机构污泥控制标准。</w:t>
            </w:r>
          </w:p>
        </w:tc>
      </w:tr>
      <w:tr w14:paraId="61411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3" w:hRule="atLeast"/>
          <w:jc w:val="center"/>
        </w:trPr>
        <w:tc>
          <w:tcPr>
            <w:tcW w:w="336" w:type="pct"/>
            <w:noWrap w:val="0"/>
            <w:vAlign w:val="center"/>
          </w:tcPr>
          <w:p w14:paraId="6824FB69">
            <w:pPr>
              <w:adjustRightInd w:val="0"/>
              <w:snapToGrid w:val="0"/>
              <w:spacing w:line="360" w:lineRule="auto"/>
              <w:jc w:val="center"/>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rPr>
              <w:t>总量控制指标</w:t>
            </w:r>
          </w:p>
        </w:tc>
        <w:tc>
          <w:tcPr>
            <w:tcW w:w="4663" w:type="pct"/>
            <w:noWrap w:val="0"/>
            <w:vAlign w:val="center"/>
          </w:tcPr>
          <w:p w14:paraId="54A51835">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根据本项目的排污特征，结合国家污染物排放总量控制原则，列出本项目建议执行的总量控制指标：</w:t>
            </w:r>
          </w:p>
          <w:p w14:paraId="155DE5BA">
            <w:pPr>
              <w:pStyle w:val="33"/>
              <w:bidi w:val="0"/>
              <w:rPr>
                <w:rFonts w:hint="eastAsia" w:eastAsia="宋体"/>
                <w:b/>
                <w:bCs/>
                <w:color w:val="auto"/>
                <w:sz w:val="24"/>
                <w:szCs w:val="24"/>
                <w:lang w:eastAsia="zh-CN"/>
              </w:rPr>
            </w:pPr>
            <w:r>
              <w:rPr>
                <w:rFonts w:hint="eastAsia" w:eastAsia="宋体"/>
                <w:b/>
                <w:bCs/>
                <w:color w:val="auto"/>
                <w:sz w:val="24"/>
                <w:szCs w:val="24"/>
                <w:lang w:val="en-US" w:eastAsia="zh-CN"/>
              </w:rPr>
              <w:t>1、</w:t>
            </w:r>
            <w:r>
              <w:rPr>
                <w:rFonts w:hint="eastAsia" w:eastAsia="宋体"/>
                <w:b/>
                <w:bCs/>
                <w:color w:val="auto"/>
                <w:sz w:val="24"/>
                <w:szCs w:val="24"/>
                <w:lang w:eastAsia="zh-CN"/>
              </w:rPr>
              <w:t>废气</w:t>
            </w:r>
          </w:p>
          <w:p w14:paraId="66D4EB19">
            <w:pPr>
              <w:pStyle w:val="33"/>
              <w:bidi w:val="0"/>
              <w:rPr>
                <w:rFonts w:hint="eastAsia" w:eastAsia="宋体"/>
                <w:b w:val="0"/>
                <w:bCs w:val="0"/>
                <w:color w:val="auto"/>
                <w:sz w:val="24"/>
                <w:szCs w:val="24"/>
                <w:highlight w:val="none"/>
                <w:lang w:eastAsia="zh-CN"/>
              </w:rPr>
            </w:pPr>
            <w:r>
              <w:rPr>
                <w:rFonts w:hint="eastAsia" w:eastAsia="宋体"/>
                <w:b w:val="0"/>
                <w:bCs w:val="0"/>
                <w:color w:val="auto"/>
                <w:sz w:val="24"/>
                <w:szCs w:val="24"/>
                <w:lang w:eastAsia="zh-CN"/>
              </w:rPr>
              <w:t>项目运营期废气主要是污水处理站和化粪池产生的异味。</w:t>
            </w:r>
            <w:r>
              <w:rPr>
                <w:rFonts w:hint="eastAsia" w:cs="Times New Roman"/>
                <w:b w:val="0"/>
                <w:bCs w:val="0"/>
                <w:color w:val="auto"/>
                <w:sz w:val="24"/>
                <w:szCs w:val="24"/>
                <w:highlight w:val="none"/>
                <w:vertAlign w:val="baseline"/>
                <w:lang w:val="en-US" w:eastAsia="zh-CN"/>
              </w:rPr>
              <w:t>本项目不涉及国家要求设置的废气总量指标的污染物</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lang w:val="en-US" w:eastAsia="zh-CN"/>
              </w:rPr>
              <w:t>无须设置废气</w:t>
            </w:r>
            <w:r>
              <w:rPr>
                <w:rFonts w:hint="eastAsia" w:eastAsia="宋体"/>
                <w:b w:val="0"/>
                <w:bCs w:val="0"/>
                <w:color w:val="auto"/>
                <w:sz w:val="24"/>
                <w:szCs w:val="24"/>
                <w:highlight w:val="none"/>
                <w:lang w:eastAsia="zh-CN"/>
              </w:rPr>
              <w:t>总量控制指标。</w:t>
            </w:r>
          </w:p>
          <w:p w14:paraId="0C1D27BE">
            <w:pPr>
              <w:pStyle w:val="33"/>
              <w:bidi w:val="0"/>
              <w:rPr>
                <w:rFonts w:hint="eastAsia" w:eastAsia="宋体"/>
                <w:b w:val="0"/>
                <w:bCs w:val="0"/>
                <w:color w:val="auto"/>
                <w:sz w:val="24"/>
                <w:szCs w:val="24"/>
                <w:highlight w:val="none"/>
                <w:lang w:eastAsia="zh-CN"/>
              </w:rPr>
            </w:pPr>
            <w:r>
              <w:rPr>
                <w:rFonts w:hint="eastAsia" w:eastAsia="宋体"/>
                <w:b/>
                <w:bCs/>
                <w:color w:val="auto"/>
                <w:sz w:val="24"/>
                <w:szCs w:val="24"/>
                <w:highlight w:val="none"/>
                <w:lang w:val="en-US" w:eastAsia="zh-CN"/>
              </w:rPr>
              <w:t>2、</w:t>
            </w:r>
            <w:r>
              <w:rPr>
                <w:rFonts w:hint="eastAsia" w:eastAsia="宋体"/>
                <w:b/>
                <w:bCs/>
                <w:color w:val="auto"/>
                <w:sz w:val="24"/>
                <w:szCs w:val="24"/>
                <w:highlight w:val="none"/>
                <w:lang w:eastAsia="zh-CN"/>
              </w:rPr>
              <w:t>废水</w:t>
            </w:r>
          </w:p>
          <w:p w14:paraId="7175FBEB">
            <w:pPr>
              <w:pStyle w:val="33"/>
              <w:keepNext w:val="0"/>
              <w:keepLines w:val="0"/>
              <w:pageBreakBefore w:val="0"/>
              <w:widowControl w:val="0"/>
              <w:kinsoku/>
              <w:wordWrap/>
              <w:overflowPunct/>
              <w:topLinePunct/>
              <w:autoSpaceDE/>
              <w:autoSpaceDN/>
              <w:bidi w:val="0"/>
              <w:adjustRightInd w:val="0"/>
              <w:snapToGrid/>
              <w:ind w:left="0" w:leftChars="0" w:firstLine="480" w:firstLineChars="200"/>
              <w:textAlignment w:val="baseline"/>
              <w:rPr>
                <w:rFonts w:hint="eastAsia" w:eastAsia="宋体" w:cs="Times New Roman"/>
                <w:color w:val="auto"/>
                <w:sz w:val="24"/>
                <w:szCs w:val="24"/>
                <w:highlight w:val="none"/>
                <w:lang w:eastAsia="zh-CN"/>
              </w:rPr>
            </w:pPr>
            <w:r>
              <w:rPr>
                <w:rFonts w:hint="default"/>
                <w:color w:val="auto"/>
                <w:sz w:val="24"/>
                <w:szCs w:val="24"/>
                <w:highlight w:val="none"/>
              </w:rPr>
              <w:t>本项目</w:t>
            </w:r>
            <w:r>
              <w:rPr>
                <w:rFonts w:hint="eastAsia" w:eastAsia="宋体"/>
                <w:color w:val="auto"/>
                <w:sz w:val="24"/>
                <w:szCs w:val="24"/>
                <w:highlight w:val="none"/>
                <w:lang w:val="en-US" w:eastAsia="zh-CN"/>
              </w:rPr>
              <w:t>外排</w:t>
            </w:r>
            <w:r>
              <w:rPr>
                <w:rFonts w:hint="default"/>
                <w:color w:val="auto"/>
                <w:sz w:val="24"/>
                <w:szCs w:val="24"/>
                <w:highlight w:val="none"/>
              </w:rPr>
              <w:t>废水量：</w:t>
            </w:r>
            <w:r>
              <w:rPr>
                <w:rFonts w:hint="eastAsia" w:eastAsia="宋体" w:cs="Times New Roman"/>
                <w:color w:val="auto"/>
                <w:sz w:val="24"/>
                <w:szCs w:val="24"/>
                <w:highlight w:val="none"/>
                <w:lang w:val="en-US" w:eastAsia="zh-CN"/>
              </w:rPr>
              <w:t>11143.2445</w:t>
            </w:r>
            <w:r>
              <w:rPr>
                <w:rFonts w:hint="default"/>
                <w:color w:val="auto"/>
                <w:sz w:val="24"/>
                <w:szCs w:val="24"/>
                <w:highlight w:val="none"/>
              </w:rPr>
              <w:t>t/</w:t>
            </w:r>
            <w:r>
              <w:rPr>
                <w:rFonts w:hint="eastAsia" w:eastAsia="宋体"/>
                <w:color w:val="auto"/>
                <w:sz w:val="24"/>
                <w:szCs w:val="24"/>
                <w:highlight w:val="none"/>
                <w:lang w:val="en-US" w:eastAsia="zh-CN"/>
              </w:rPr>
              <w:t>a，污染物排放总量</w:t>
            </w:r>
            <w:r>
              <w:rPr>
                <w:rFonts w:hint="default" w:ascii="Times New Roman" w:hAnsi="Times New Roman" w:eastAsia="宋体" w:cs="Times New Roman"/>
                <w:color w:val="auto"/>
                <w:sz w:val="24"/>
                <w:szCs w:val="24"/>
                <w:highlight w:val="none"/>
              </w:rPr>
              <w:t>COD：</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t/a，</w:t>
            </w:r>
            <w:r>
              <w:rPr>
                <w:rFonts w:hint="eastAsia" w:ascii="Times New Roman" w:hAnsi="Times New Roman"/>
                <w:color w:val="auto"/>
                <w:sz w:val="24"/>
                <w:szCs w:val="24"/>
                <w:highlight w:val="none"/>
              </w:rPr>
              <w:t>BOD</w:t>
            </w:r>
            <w:r>
              <w:rPr>
                <w:rFonts w:hint="eastAsia" w:ascii="Times New Roman" w:hAnsi="Times New Roman"/>
                <w:color w:val="auto"/>
                <w:sz w:val="24"/>
                <w:szCs w:val="24"/>
                <w:highlight w:val="none"/>
                <w:vertAlign w:val="subscript"/>
              </w:rPr>
              <w:t>5</w:t>
            </w:r>
            <w:r>
              <w:rPr>
                <w:rFonts w:hint="eastAsia" w:ascii="Times New Roman" w:hAnsi="Times New Roman"/>
                <w:color w:val="auto"/>
                <w:sz w:val="24"/>
                <w:szCs w:val="24"/>
                <w:highlight w:val="none"/>
                <w:vertAlign w:val="baseline"/>
                <w:lang w:eastAsia="zh-CN"/>
              </w:rPr>
              <w:t>：</w:t>
            </w:r>
            <w:r>
              <w:rPr>
                <w:rFonts w:hint="eastAsia"/>
                <w:color w:val="auto"/>
                <w:sz w:val="24"/>
                <w:szCs w:val="24"/>
                <w:highlight w:val="none"/>
                <w:vertAlign w:val="baseline"/>
                <w:lang w:val="en-US" w:eastAsia="zh-CN"/>
              </w:rPr>
              <w:t>0.044</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eastAsia" w:eastAsia="宋体" w:cs="Times New Roman"/>
                <w:color w:val="auto"/>
                <w:sz w:val="24"/>
                <w:szCs w:val="24"/>
                <w:highlight w:val="none"/>
                <w:lang w:val="en-US" w:eastAsia="zh-CN"/>
              </w:rPr>
              <w:t>0.08</w:t>
            </w:r>
            <w:r>
              <w:rPr>
                <w:rFonts w:hint="default" w:ascii="Times New Roman" w:hAnsi="Times New Roman" w:eastAsia="宋体" w:cs="Times New Roman"/>
                <w:color w:val="auto"/>
                <w:sz w:val="24"/>
                <w:szCs w:val="24"/>
                <w:highlight w:val="none"/>
              </w:rPr>
              <w:t>t/a</w:t>
            </w:r>
            <w:r>
              <w:rPr>
                <w:rFonts w:hint="eastAsia" w:eastAsia="宋体" w:cs="Times New Roman"/>
                <w:color w:val="auto"/>
                <w:sz w:val="24"/>
                <w:szCs w:val="24"/>
                <w:highlight w:val="none"/>
                <w:lang w:eastAsia="zh-CN"/>
              </w:rPr>
              <w:t>。</w:t>
            </w:r>
          </w:p>
          <w:p w14:paraId="26B956A6">
            <w:pPr>
              <w:spacing w:line="360" w:lineRule="auto"/>
              <w:ind w:firstLine="480" w:firstLineChars="200"/>
              <w:rPr>
                <w:rFonts w:hint="default"/>
                <w:color w:val="auto"/>
                <w:sz w:val="24"/>
                <w:szCs w:val="24"/>
              </w:rPr>
            </w:pP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食堂废水经隔油处理后同生活废水、医疗废水、检验废水一起进入化粪池、污水处理站处理，由于倘甸镇污水处理厂已建成但未运行，且项目区至倘甸镇污水处理厂的污水管网未接通，</w:t>
            </w:r>
            <w:r>
              <w:rPr>
                <w:rFonts w:hint="eastAsia" w:ascii="Times New Roman" w:hAnsi="Times New Roman" w:cs="Times New Roman"/>
                <w:b/>
                <w:bCs/>
                <w:color w:val="auto"/>
                <w:sz w:val="24"/>
                <w:szCs w:val="24"/>
                <w:highlight w:val="none"/>
                <w:lang w:val="en-US" w:eastAsia="zh-CN"/>
              </w:rPr>
              <w:t>本次评价要求项目在倘甸镇污水处理厂投运之前不得投运。</w:t>
            </w:r>
            <w:r>
              <w:rPr>
                <w:rFonts w:hint="default" w:ascii="Times New Roman" w:hAnsi="Times New Roman" w:cs="Times New Roman"/>
                <w:color w:val="auto"/>
                <w:sz w:val="24"/>
                <w:szCs w:val="24"/>
                <w:highlight w:val="none"/>
                <w:lang w:val="en-US" w:eastAsia="zh-CN"/>
              </w:rPr>
              <w:t>待倘甸镇污水处理厂投入运行且项目至污水处理厂的管网接通后，医院废水经自建污水处理站处理达到《医疗机构水污染物排放标准》（GB18466-2005）表2预处理标准</w:t>
            </w:r>
            <w:r>
              <w:rPr>
                <w:rFonts w:hint="eastAsia"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lang w:val="en-US" w:eastAsia="zh-CN"/>
              </w:rPr>
              <w:t>排入市政污水管网，最终排入倘甸镇污水处理厂。</w:t>
            </w:r>
            <w:r>
              <w:rPr>
                <w:rFonts w:hint="eastAsia" w:ascii="Times New Roman" w:hAnsi="Times New Roman" w:cs="Times New Roman"/>
                <w:color w:val="auto"/>
                <w:sz w:val="24"/>
                <w:szCs w:val="24"/>
                <w:highlight w:val="none"/>
                <w:lang w:eastAsia="zh-CN"/>
              </w:rPr>
              <w:t>项目</w:t>
            </w:r>
            <w:r>
              <w:rPr>
                <w:rFonts w:hint="eastAsia" w:cs="Times New Roman"/>
                <w:color w:val="auto"/>
                <w:sz w:val="24"/>
                <w:szCs w:val="24"/>
                <w:highlight w:val="none"/>
                <w:lang w:val="en-US" w:eastAsia="zh-CN"/>
              </w:rPr>
              <w:t>不单独设置</w:t>
            </w:r>
            <w:r>
              <w:rPr>
                <w:rFonts w:hint="default" w:ascii="Times New Roman" w:hAnsi="Times New Roman" w:cs="Times New Roman"/>
                <w:color w:val="auto"/>
                <w:sz w:val="24"/>
                <w:szCs w:val="24"/>
              </w:rPr>
              <w:t>总量控制指标</w:t>
            </w:r>
            <w:r>
              <w:rPr>
                <w:rFonts w:hint="eastAsia" w:cs="Times New Roman"/>
                <w:color w:val="auto"/>
                <w:sz w:val="24"/>
                <w:szCs w:val="24"/>
                <w:lang w:eastAsia="zh-CN"/>
              </w:rPr>
              <w:t>，</w:t>
            </w:r>
            <w:r>
              <w:rPr>
                <w:rFonts w:hint="eastAsia" w:cs="Times New Roman"/>
                <w:color w:val="auto"/>
                <w:sz w:val="24"/>
                <w:szCs w:val="24"/>
                <w:lang w:val="en-US" w:eastAsia="zh-CN"/>
              </w:rPr>
              <w:t>废水</w:t>
            </w:r>
            <w:r>
              <w:rPr>
                <w:rFonts w:hint="eastAsia" w:eastAsia="宋体"/>
                <w:color w:val="auto"/>
                <w:sz w:val="24"/>
                <w:szCs w:val="24"/>
                <w:highlight w:val="none"/>
                <w:lang w:val="en-US" w:eastAsia="zh-CN"/>
              </w:rPr>
              <w:t>污染物排放</w:t>
            </w:r>
            <w:r>
              <w:rPr>
                <w:rFonts w:hint="default" w:ascii="Times New Roman" w:hAnsi="Times New Roman" w:cs="Times New Roman"/>
                <w:color w:val="auto"/>
                <w:sz w:val="24"/>
                <w:szCs w:val="24"/>
              </w:rPr>
              <w:t>总量控制指标</w:t>
            </w:r>
            <w:r>
              <w:rPr>
                <w:rFonts w:hint="eastAsia" w:ascii="Times New Roman" w:hAnsi="Times New Roman" w:cs="Times New Roman"/>
                <w:color w:val="auto"/>
                <w:sz w:val="24"/>
                <w:szCs w:val="24"/>
                <w:highlight w:val="none"/>
                <w:lang w:eastAsia="zh-CN"/>
              </w:rPr>
              <w:t>纳入</w:t>
            </w:r>
            <w:r>
              <w:rPr>
                <w:rFonts w:hint="eastAsia" w:ascii="Times New Roman" w:hAnsi="Times New Roman" w:cs="Times New Roman"/>
                <w:color w:val="auto"/>
                <w:sz w:val="24"/>
                <w:szCs w:val="24"/>
                <w:highlight w:val="none"/>
                <w:lang w:val="en-US" w:eastAsia="zh-CN"/>
              </w:rPr>
              <w:t>倘甸</w:t>
            </w:r>
            <w:r>
              <w:rPr>
                <w:rFonts w:hint="eastAsia" w:cs="Times New Roman"/>
                <w:color w:val="auto"/>
                <w:sz w:val="24"/>
                <w:szCs w:val="24"/>
                <w:highlight w:val="none"/>
                <w:lang w:val="en-US" w:eastAsia="zh-CN"/>
              </w:rPr>
              <w:t>镇</w:t>
            </w:r>
            <w:r>
              <w:rPr>
                <w:rFonts w:hint="eastAsia" w:ascii="Times New Roman" w:hAnsi="Times New Roman" w:cs="Times New Roman"/>
                <w:color w:val="auto"/>
                <w:sz w:val="24"/>
                <w:szCs w:val="24"/>
                <w:highlight w:val="none"/>
                <w:lang w:eastAsia="zh-CN"/>
              </w:rPr>
              <w:t>污水处理厂</w:t>
            </w:r>
            <w:r>
              <w:rPr>
                <w:rFonts w:hint="default" w:ascii="Times New Roman" w:hAnsi="Times New Roman" w:cs="Times New Roman"/>
                <w:color w:val="auto"/>
                <w:sz w:val="24"/>
                <w:szCs w:val="24"/>
                <w:highlight w:val="none"/>
              </w:rPr>
              <w:t>总量</w:t>
            </w:r>
            <w:r>
              <w:rPr>
                <w:rFonts w:hint="default"/>
                <w:color w:val="auto"/>
                <w:sz w:val="24"/>
                <w:szCs w:val="24"/>
              </w:rPr>
              <w:t>。</w:t>
            </w:r>
          </w:p>
          <w:p w14:paraId="49680F74">
            <w:pPr>
              <w:pStyle w:val="33"/>
              <w:bidi w:val="0"/>
              <w:rPr>
                <w:color w:val="auto"/>
              </w:rPr>
            </w:pPr>
            <w:r>
              <w:rPr>
                <w:rFonts w:hint="eastAsia" w:eastAsia="宋体"/>
                <w:b/>
                <w:bCs/>
                <w:color w:val="auto"/>
                <w:sz w:val="24"/>
                <w:szCs w:val="24"/>
                <w:lang w:eastAsia="zh-CN"/>
              </w:rPr>
              <w:t>（</w:t>
            </w:r>
            <w:r>
              <w:rPr>
                <w:rFonts w:hint="eastAsia" w:eastAsia="宋体"/>
                <w:b/>
                <w:bCs/>
                <w:color w:val="auto"/>
                <w:sz w:val="24"/>
                <w:szCs w:val="24"/>
                <w:lang w:val="en-US" w:eastAsia="zh-CN"/>
              </w:rPr>
              <w:t>3</w:t>
            </w:r>
            <w:r>
              <w:rPr>
                <w:rFonts w:hint="eastAsia" w:eastAsia="宋体"/>
                <w:b/>
                <w:bCs/>
                <w:color w:val="auto"/>
                <w:sz w:val="24"/>
                <w:szCs w:val="24"/>
                <w:lang w:eastAsia="zh-CN"/>
              </w:rPr>
              <w:t>）固废：</w:t>
            </w:r>
            <w:r>
              <w:rPr>
                <w:rFonts w:hint="eastAsia" w:eastAsia="宋体"/>
                <w:b w:val="0"/>
                <w:bCs w:val="0"/>
                <w:color w:val="auto"/>
                <w:sz w:val="24"/>
                <w:szCs w:val="24"/>
                <w:lang w:val="en-US" w:eastAsia="zh-CN"/>
              </w:rPr>
              <w:t>项目</w:t>
            </w:r>
            <w:r>
              <w:rPr>
                <w:rFonts w:hint="default" w:ascii="Times New Roman" w:hAnsi="Times New Roman" w:cs="Times New Roman"/>
                <w:color w:val="auto"/>
                <w:sz w:val="24"/>
                <w:szCs w:val="24"/>
              </w:rPr>
              <w:t>固体废物处理率100%。</w:t>
            </w:r>
            <w:r>
              <w:rPr>
                <w:rFonts w:hint="default"/>
                <w:color w:val="auto"/>
                <w:sz w:val="24"/>
                <w:szCs w:val="24"/>
              </w:rPr>
              <w:br w:type="textWrapping"/>
            </w:r>
          </w:p>
        </w:tc>
      </w:tr>
    </w:tbl>
    <w:p w14:paraId="0FFFA200">
      <w:pPr>
        <w:pStyle w:val="13"/>
        <w:rPr>
          <w:color w:val="auto"/>
        </w:rPr>
      </w:pPr>
    </w:p>
    <w:p w14:paraId="632A181B">
      <w:pPr>
        <w:rPr>
          <w:color w:val="auto"/>
        </w:rPr>
      </w:pPr>
    </w:p>
    <w:p w14:paraId="722DED2F">
      <w:pPr>
        <w:pStyle w:val="12"/>
        <w:rPr>
          <w:color w:val="auto"/>
        </w:rPr>
      </w:pPr>
    </w:p>
    <w:p w14:paraId="6D50F4E9">
      <w:pPr>
        <w:pStyle w:val="22"/>
        <w:keepNext/>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rPr>
      </w:pPr>
      <w:bookmarkStart w:id="19" w:name="_Toc31146"/>
      <w:r>
        <w:rPr>
          <w:rFonts w:hint="eastAsia" w:ascii="黑体" w:hAnsi="黑体" w:eastAsia="黑体" w:cs="Times New Roman"/>
          <w:snapToGrid w:val="0"/>
          <w:color w:val="auto"/>
          <w:sz w:val="30"/>
          <w:szCs w:val="30"/>
        </w:rPr>
        <w:t>四、主要环境影响和保护措施</w:t>
      </w:r>
      <w:bookmarkEnd w:id="13"/>
      <w:bookmarkEnd w:id="19"/>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561"/>
      </w:tblGrid>
      <w:tr w14:paraId="0FD5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dxa"/>
            <w:vAlign w:val="center"/>
          </w:tcPr>
          <w:p w14:paraId="514C9334">
            <w:pPr>
              <w:pStyle w:val="22"/>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施工</w:t>
            </w:r>
          </w:p>
          <w:p w14:paraId="3EFF8D53">
            <w:pPr>
              <w:pStyle w:val="22"/>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期环</w:t>
            </w:r>
          </w:p>
          <w:p w14:paraId="73770B57">
            <w:pPr>
              <w:pStyle w:val="22"/>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境保</w:t>
            </w:r>
          </w:p>
          <w:p w14:paraId="076F8E92">
            <w:pPr>
              <w:pStyle w:val="22"/>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护措</w:t>
            </w:r>
          </w:p>
          <w:p w14:paraId="2EEABDBE">
            <w:pPr>
              <w:ind w:left="0" w:leftChars="0" w:right="0" w:rightChars="0" w:firstLine="0" w:firstLineChars="0"/>
              <w:jc w:val="center"/>
              <w:rPr>
                <w:color w:val="auto"/>
                <w:vertAlign w:val="baseline"/>
              </w:rPr>
            </w:pPr>
            <w:r>
              <w:rPr>
                <w:rFonts w:hint="eastAsia" w:cs="宋体"/>
                <w:b/>
                <w:bCs/>
                <w:color w:val="auto"/>
                <w:spacing w:val="0"/>
                <w:kern w:val="2"/>
                <w:sz w:val="24"/>
                <w:szCs w:val="24"/>
              </w:rPr>
              <w:t>施</w:t>
            </w:r>
          </w:p>
        </w:tc>
        <w:tc>
          <w:tcPr>
            <w:tcW w:w="8561" w:type="dxa"/>
          </w:tcPr>
          <w:p w14:paraId="198F424D">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eastAsia"/>
                <w:color w:val="auto"/>
                <w:sz w:val="24"/>
                <w:szCs w:val="24"/>
                <w:lang w:val="en-US" w:eastAsia="zh-CN"/>
              </w:rPr>
              <w:t>本项目将现有场地上的构筑物根据使用需要进行简单装修及改造，改造后安装配套相应的设施设备</w:t>
            </w:r>
            <w:r>
              <w:rPr>
                <w:rFonts w:hint="default" w:ascii="Times New Roman" w:hAnsi="Times New Roman" w:eastAsia="宋体" w:cs="Times New Roman"/>
                <w:bCs/>
                <w:color w:val="auto"/>
                <w:spacing w:val="0"/>
                <w:sz w:val="24"/>
                <w:szCs w:val="24"/>
              </w:rPr>
              <w:t>。该项目施工期对环境的影响随工程结束而消失。</w:t>
            </w:r>
          </w:p>
          <w:p w14:paraId="2F9F8264">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1、施工期废气污染防治措施</w:t>
            </w:r>
          </w:p>
          <w:p w14:paraId="0CA5E3F3">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lang w:val="en-US" w:eastAsia="zh-CN"/>
              </w:rPr>
            </w:pPr>
            <w:r>
              <w:rPr>
                <w:rFonts w:hint="eastAsia" w:ascii="Times New Roman" w:hAnsi="Times New Roman" w:eastAsia="宋体" w:cs="Times New Roman"/>
                <w:bCs/>
                <w:color w:val="auto"/>
                <w:spacing w:val="0"/>
                <w:sz w:val="24"/>
                <w:szCs w:val="24"/>
                <w:lang w:val="en-US" w:eastAsia="zh-CN"/>
              </w:rPr>
              <w:t>施工期废气主要有施工机械尾气、装修废气、建筑拆除扬尘、施工扬尘。</w:t>
            </w:r>
          </w:p>
          <w:p w14:paraId="62233EC7">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bCs/>
                <w:color w:val="auto"/>
                <w:spacing w:val="0"/>
                <w:sz w:val="24"/>
                <w:szCs w:val="24"/>
                <w:lang w:val="en-US" w:eastAsia="zh-CN"/>
              </w:rPr>
              <w:t>1</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加强施工现场扬尘控制，根据需要采取洒水降尘措施</w:t>
            </w:r>
            <w:r>
              <w:rPr>
                <w:rFonts w:hint="eastAsia" w:ascii="Times New Roman" w:hAnsi="Times New Roman" w:eastAsia="宋体" w:cs="Times New Roman"/>
                <w:bCs/>
                <w:color w:val="auto"/>
                <w:spacing w:val="0"/>
                <w:sz w:val="24"/>
                <w:szCs w:val="24"/>
                <w:lang w:eastAsia="zh-CN"/>
              </w:rPr>
              <w:t>；</w:t>
            </w:r>
          </w:p>
          <w:p w14:paraId="46A9343B">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val="en-US" w:eastAsia="zh-CN"/>
              </w:rPr>
            </w:pP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bCs/>
                <w:color w:val="auto"/>
                <w:spacing w:val="0"/>
                <w:sz w:val="24"/>
                <w:szCs w:val="24"/>
                <w:lang w:val="en-US" w:eastAsia="zh-CN"/>
              </w:rPr>
              <w:t>2</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对建筑垃圾应及时处理、清运、以减少占地，防止污染，改善施工场地的环境</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bCs/>
                <w:color w:val="auto"/>
                <w:spacing w:val="0"/>
                <w:sz w:val="24"/>
                <w:szCs w:val="24"/>
                <w:lang w:val="en-US" w:eastAsia="zh-CN"/>
              </w:rPr>
              <w:t>粉状物料采取遮盖堆放。</w:t>
            </w:r>
          </w:p>
          <w:p w14:paraId="79A14B98">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val="en-US" w:eastAsia="zh-CN"/>
              </w:rPr>
            </w:pPr>
            <w:r>
              <w:rPr>
                <w:rFonts w:hint="default" w:ascii="Times New Roman" w:hAnsi="Times New Roman" w:cs="Times New Roman"/>
                <w:color w:val="auto"/>
                <w:sz w:val="24"/>
                <w:szCs w:val="24"/>
              </w:rPr>
              <w:t>项目施工废气</w:t>
            </w:r>
            <w:r>
              <w:rPr>
                <w:rFonts w:hint="eastAsia" w:ascii="Times New Roman" w:hAnsi="Times New Roman" w:cs="Times New Roman"/>
                <w:color w:val="auto"/>
                <w:sz w:val="24"/>
                <w:szCs w:val="24"/>
                <w:lang w:val="en-US" w:eastAsia="zh-CN"/>
              </w:rPr>
              <w:t>均为</w:t>
            </w:r>
            <w:r>
              <w:rPr>
                <w:rFonts w:hint="default" w:ascii="Times New Roman" w:hAnsi="Times New Roman" w:cs="Times New Roman"/>
                <w:color w:val="auto"/>
                <w:sz w:val="24"/>
                <w:szCs w:val="24"/>
              </w:rPr>
              <w:t>排放执行《大气污染物综合排放标准》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GB16297-1996</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无组织排放浓度限值</w:t>
            </w:r>
            <w:r>
              <w:rPr>
                <w:rFonts w:hint="eastAsia" w:ascii="Times New Roman" w:hAnsi="Times New Roman" w:cs="Times New Roman"/>
                <w:color w:val="auto"/>
                <w:sz w:val="24"/>
                <w:szCs w:val="24"/>
                <w:lang w:eastAsia="zh-CN"/>
              </w:rPr>
              <w:t>。</w:t>
            </w:r>
          </w:p>
          <w:p w14:paraId="5C6E277C">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2、施工期水污染防治措施</w:t>
            </w:r>
          </w:p>
          <w:p w14:paraId="165CBE52">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施</w:t>
            </w:r>
            <w:r>
              <w:rPr>
                <w:rFonts w:hint="eastAsia" w:ascii="Times New Roman" w:hAnsi="Times New Roman" w:eastAsia="宋体" w:cs="Times New Roman"/>
                <w:bCs/>
                <w:color w:val="auto"/>
                <w:spacing w:val="0"/>
                <w:sz w:val="24"/>
                <w:szCs w:val="24"/>
                <w:lang w:val="en-US" w:eastAsia="zh-CN"/>
              </w:rPr>
              <w:t>工期废水经</w:t>
            </w:r>
            <w:r>
              <w:rPr>
                <w:rFonts w:hint="eastAsia" w:cs="Times New Roman"/>
                <w:bCs/>
                <w:color w:val="auto"/>
                <w:spacing w:val="0"/>
                <w:sz w:val="24"/>
                <w:szCs w:val="24"/>
                <w:lang w:val="en-US" w:eastAsia="zh-CN"/>
              </w:rPr>
              <w:t>收集桶</w:t>
            </w:r>
            <w:r>
              <w:rPr>
                <w:rFonts w:hint="default" w:ascii="Times New Roman" w:hAnsi="Times New Roman" w:eastAsia="宋体" w:cs="Times New Roman"/>
                <w:bCs/>
                <w:color w:val="auto"/>
                <w:spacing w:val="0"/>
                <w:sz w:val="24"/>
                <w:szCs w:val="24"/>
              </w:rPr>
              <w:t>收集，经沉淀后回用于项目区道路</w:t>
            </w:r>
            <w:r>
              <w:rPr>
                <w:rFonts w:hint="eastAsia" w:cs="Times New Roman"/>
                <w:bCs/>
                <w:color w:val="auto"/>
                <w:spacing w:val="0"/>
                <w:sz w:val="24"/>
                <w:szCs w:val="24"/>
                <w:lang w:eastAsia="zh-CN"/>
              </w:rPr>
              <w:t>浇洒</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项目施工期不设施工营地，施工人员不在施工现场食宿，施工人员</w:t>
            </w:r>
            <w:r>
              <w:rPr>
                <w:rFonts w:hint="eastAsia" w:cs="Times New Roman"/>
                <w:bCs/>
                <w:color w:val="auto"/>
                <w:spacing w:val="0"/>
                <w:sz w:val="24"/>
                <w:szCs w:val="24"/>
                <w:lang w:eastAsia="zh-CN"/>
              </w:rPr>
              <w:t>生活污水</w:t>
            </w:r>
            <w:r>
              <w:rPr>
                <w:rFonts w:hint="default" w:ascii="Times New Roman" w:hAnsi="Times New Roman" w:eastAsia="宋体" w:cs="Times New Roman"/>
                <w:bCs/>
                <w:color w:val="auto"/>
                <w:spacing w:val="0"/>
                <w:sz w:val="24"/>
                <w:szCs w:val="24"/>
              </w:rPr>
              <w:t>接入院区内已建化粪池处理。</w:t>
            </w:r>
          </w:p>
          <w:p w14:paraId="24C7EE8D">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3、施工期噪声污染防治措施</w:t>
            </w:r>
          </w:p>
          <w:p w14:paraId="6A430567">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项目施工期噪声一般为间歇性噪声。施工期主要是对空置综合楼内部简单装修及床位设备安装，使用的机械设备主要为低噪声设备，其噪声源强在80~90dB(A</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左右。</w:t>
            </w:r>
          </w:p>
          <w:p w14:paraId="3E0B145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default" w:ascii="Times New Roman" w:hAnsi="Times New Roman" w:eastAsia="宋体" w:cs="Times New Roman"/>
                <w:bCs/>
                <w:color w:val="auto"/>
                <w:spacing w:val="0"/>
                <w:sz w:val="24"/>
                <w:szCs w:val="24"/>
              </w:rPr>
              <w:t>为减小施工期噪声对周边环境的影响，确保</w:t>
            </w:r>
            <w:r>
              <w:rPr>
                <w:rFonts w:hint="eastAsia" w:cs="Times New Roman"/>
                <w:bCs/>
                <w:color w:val="auto"/>
                <w:spacing w:val="0"/>
                <w:sz w:val="24"/>
                <w:szCs w:val="24"/>
                <w:lang w:eastAsia="zh-CN"/>
              </w:rPr>
              <w:t>厂</w:t>
            </w:r>
            <w:r>
              <w:rPr>
                <w:rFonts w:hint="default" w:ascii="Times New Roman" w:hAnsi="Times New Roman" w:eastAsia="宋体" w:cs="Times New Roman"/>
                <w:bCs/>
                <w:color w:val="auto"/>
                <w:spacing w:val="0"/>
                <w:sz w:val="24"/>
                <w:szCs w:val="24"/>
              </w:rPr>
              <w:t>界噪声达标排放，本环评提出如下措施</w:t>
            </w:r>
            <w:r>
              <w:rPr>
                <w:rFonts w:hint="eastAsia" w:cs="Times New Roman"/>
                <w:bCs/>
                <w:color w:val="auto"/>
                <w:spacing w:val="0"/>
                <w:sz w:val="24"/>
                <w:szCs w:val="24"/>
                <w:lang w:eastAsia="zh-CN"/>
              </w:rPr>
              <w:t>：</w:t>
            </w:r>
          </w:p>
          <w:p w14:paraId="2A05D1F5">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1</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选用噪音低、振动小的设备</w:t>
            </w:r>
            <w:r>
              <w:rPr>
                <w:rFonts w:hint="eastAsia" w:cs="Times New Roman"/>
                <w:bCs/>
                <w:color w:val="auto"/>
                <w:spacing w:val="0"/>
                <w:sz w:val="24"/>
                <w:szCs w:val="24"/>
                <w:lang w:eastAsia="zh-CN"/>
              </w:rPr>
              <w:t>；</w:t>
            </w:r>
          </w:p>
          <w:p w14:paraId="010CC3B3">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2</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施工方应对物件装卸、搬运时轻拿轻放，严禁抛掷</w:t>
            </w:r>
            <w:r>
              <w:rPr>
                <w:rFonts w:hint="eastAsia" w:cs="Times New Roman"/>
                <w:bCs/>
                <w:color w:val="auto"/>
                <w:spacing w:val="0"/>
                <w:sz w:val="24"/>
                <w:szCs w:val="24"/>
                <w:lang w:eastAsia="zh-CN"/>
              </w:rPr>
              <w:t>；</w:t>
            </w:r>
          </w:p>
          <w:p w14:paraId="5B360835">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3</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施工单位应合理安排好施工时间，严禁在12:00~14:00、22:00~6:00期间施工</w:t>
            </w:r>
            <w:r>
              <w:rPr>
                <w:rFonts w:hint="eastAsia" w:cs="Times New Roman"/>
                <w:bCs/>
                <w:color w:val="auto"/>
                <w:spacing w:val="0"/>
                <w:sz w:val="24"/>
                <w:szCs w:val="24"/>
                <w:lang w:eastAsia="zh-CN"/>
              </w:rPr>
              <w:t>；</w:t>
            </w:r>
          </w:p>
          <w:p w14:paraId="7C34147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4</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加强对施工人员的管理，做到文明施工，避免人为噪声的产生;做到文明施工，避免因施工噪声产生纠纷</w:t>
            </w:r>
            <w:r>
              <w:rPr>
                <w:rFonts w:hint="eastAsia" w:cs="Times New Roman"/>
                <w:bCs/>
                <w:color w:val="auto"/>
                <w:spacing w:val="0"/>
                <w:sz w:val="24"/>
                <w:szCs w:val="24"/>
                <w:lang w:eastAsia="zh-CN"/>
              </w:rPr>
              <w:t>；</w:t>
            </w:r>
          </w:p>
          <w:p w14:paraId="45EDCDE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5</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对于运输车辆噪声，应限制车速，减少夜间运输量，在靠近居民区附近时应限速，对运输车辆定期维修保养，减少或杜绝鸣笛，合理安排运输路线。通过以上措施，可以最大限度地减小施工机械噪声对环境的影响。施工期噪声影响为短时影响，随施工结束而消失。</w:t>
            </w:r>
          </w:p>
          <w:p w14:paraId="19D3BBF8">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eastAsia"/>
                <w:color w:val="auto"/>
                <w:sz w:val="24"/>
                <w:szCs w:val="24"/>
                <w:lang w:val="en-US" w:eastAsia="zh-CN"/>
              </w:rPr>
              <w:t>项目施工期</w:t>
            </w:r>
            <w:r>
              <w:rPr>
                <w:rFonts w:hint="default" w:ascii="Times New Roman" w:hAnsi="Times New Roman" w:eastAsia="宋体" w:cs="Times New Roman"/>
                <w:color w:val="auto"/>
                <w:sz w:val="24"/>
                <w:szCs w:val="24"/>
              </w:rPr>
              <w:t>噪声执行《建筑施工噪声排放标准》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GB12523-20</w:t>
            </w:r>
            <w:r>
              <w:rPr>
                <w:rFonts w:hint="eastAsia" w:cs="Times New Roman"/>
                <w:color w:val="auto"/>
                <w:sz w:val="24"/>
                <w:szCs w:val="24"/>
                <w:lang w:val="en-US" w:eastAsia="zh-CN"/>
              </w:rPr>
              <w:t>25</w:t>
            </w:r>
            <w:r>
              <w:rPr>
                <w:rFonts w:hint="eastAsia" w:cs="Times New Roman"/>
                <w:color w:val="auto"/>
                <w:sz w:val="24"/>
                <w:szCs w:val="24"/>
                <w:lang w:eastAsia="zh-CN"/>
              </w:rPr>
              <w:t>）。</w:t>
            </w:r>
          </w:p>
          <w:p w14:paraId="51354405">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4、固体废物防治措施</w:t>
            </w:r>
          </w:p>
          <w:p w14:paraId="1D2AFAD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项目施工期固体废弃物主要建筑垃圾和生活垃圾。</w:t>
            </w:r>
          </w:p>
          <w:p w14:paraId="06A56C8A">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建筑垃圾</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收集分类，能够回收利用的进行回收利用，不能回收利用的运至指定地点妥善处置。</w:t>
            </w:r>
          </w:p>
          <w:p w14:paraId="0EC3CCD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生活垃圾</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统一收集，委托环卫部门定期清运。</w:t>
            </w:r>
          </w:p>
          <w:p w14:paraId="756EAE10">
            <w:pPr>
              <w:spacing w:line="360" w:lineRule="auto"/>
              <w:ind w:firstLine="480" w:firstLineChars="200"/>
              <w:rPr>
                <w:color w:val="auto"/>
                <w:vertAlign w:val="baseline"/>
              </w:rPr>
            </w:pPr>
            <w:r>
              <w:rPr>
                <w:rFonts w:hint="default" w:ascii="Times New Roman" w:hAnsi="Times New Roman" w:eastAsia="宋体" w:cs="Times New Roman"/>
                <w:bCs/>
                <w:color w:val="auto"/>
                <w:spacing w:val="0"/>
                <w:sz w:val="24"/>
                <w:szCs w:val="24"/>
              </w:rPr>
              <w:t>为减少施工期固体废物对周围环境的影响，施工期应及时清运施工过程中的建筑垃圾，并对其加以回收利用。</w:t>
            </w:r>
          </w:p>
        </w:tc>
      </w:tr>
      <w:tr w14:paraId="48C1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0" w:hRule="atLeast"/>
        </w:trPr>
        <w:tc>
          <w:tcPr>
            <w:tcW w:w="499" w:type="dxa"/>
            <w:vAlign w:val="center"/>
          </w:tcPr>
          <w:p w14:paraId="641BAF83">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运营</w:t>
            </w:r>
          </w:p>
          <w:p w14:paraId="15FCECA6">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期环</w:t>
            </w:r>
          </w:p>
          <w:p w14:paraId="4CB14F41">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境影</w:t>
            </w:r>
          </w:p>
          <w:p w14:paraId="01B7A136">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响和</w:t>
            </w:r>
          </w:p>
          <w:p w14:paraId="0879A426">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保护</w:t>
            </w:r>
          </w:p>
          <w:p w14:paraId="45EAA2DC">
            <w:pPr>
              <w:ind w:left="0" w:leftChars="0" w:right="0" w:rightChars="0" w:firstLine="0" w:firstLineChars="0"/>
              <w:jc w:val="center"/>
              <w:rPr>
                <w:color w:val="auto"/>
                <w:vertAlign w:val="baseline"/>
              </w:rPr>
            </w:pPr>
            <w:r>
              <w:rPr>
                <w:rFonts w:hint="eastAsia" w:ascii="宋体" w:hAnsi="宋体" w:cs="宋体"/>
                <w:b/>
                <w:bCs/>
                <w:color w:val="auto"/>
                <w:spacing w:val="0"/>
                <w:sz w:val="24"/>
                <w:szCs w:val="24"/>
              </w:rPr>
              <w:t>措施</w:t>
            </w:r>
          </w:p>
        </w:tc>
        <w:tc>
          <w:tcPr>
            <w:tcW w:w="8561" w:type="dxa"/>
          </w:tcPr>
          <w:p w14:paraId="1B14C140">
            <w:pPr>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本</w:t>
            </w:r>
            <w:r>
              <w:rPr>
                <w:rFonts w:hint="default" w:ascii="Times New Roman" w:hAnsi="Times New Roman" w:cs="Times New Roman"/>
                <w:color w:val="auto"/>
                <w:sz w:val="24"/>
                <w:szCs w:val="24"/>
              </w:rPr>
              <w:t>项目营运期的环境影响因素</w:t>
            </w:r>
            <w:r>
              <w:rPr>
                <w:rFonts w:hint="default" w:ascii="Times New Roman" w:hAnsi="Times New Roman" w:cs="Times New Roman"/>
                <w:color w:val="auto"/>
                <w:sz w:val="24"/>
                <w:szCs w:val="24"/>
                <w:lang w:eastAsia="zh-CN"/>
              </w:rPr>
              <w:t>及保护措施</w:t>
            </w:r>
            <w:r>
              <w:rPr>
                <w:rFonts w:hint="default" w:ascii="Times New Roman" w:hAnsi="Times New Roman" w:cs="Times New Roman"/>
                <w:color w:val="auto"/>
                <w:sz w:val="24"/>
                <w:szCs w:val="24"/>
              </w:rPr>
              <w:t>从废气、废水、噪声、固体废弃物等方面展开分析。</w:t>
            </w:r>
            <w:r>
              <w:rPr>
                <w:rFonts w:hint="default" w:ascii="Times New Roman" w:hAnsi="Times New Roman" w:cs="Times New Roman"/>
                <w:color w:val="auto"/>
                <w:sz w:val="24"/>
                <w:szCs w:val="24"/>
                <w:lang w:val="en-US" w:eastAsia="zh-CN"/>
              </w:rPr>
              <w:t>本项目污染物产排根据项目实际结合《排污许可证申请与核发技术规范 医疗机构》（HJ1105-2020）、《污染源源强核算技术指南 准则》（HJ884-2018）采用类比法和估算法进行核算</w:t>
            </w:r>
            <w:r>
              <w:rPr>
                <w:rFonts w:hint="default" w:ascii="Times New Roman" w:hAnsi="Times New Roman" w:cs="Times New Roman"/>
                <w:color w:val="auto"/>
                <w:sz w:val="24"/>
                <w:szCs w:val="24"/>
                <w:lang w:eastAsia="zh-CN"/>
              </w:rPr>
              <w:t>。</w:t>
            </w:r>
          </w:p>
          <w:p w14:paraId="04643957">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一、废气</w:t>
            </w:r>
          </w:p>
          <w:p w14:paraId="18D1BB1C">
            <w:pPr>
              <w:numPr>
                <w:ilvl w:val="0"/>
                <w:numId w:val="0"/>
              </w:numPr>
              <w:spacing w:line="360" w:lineRule="auto"/>
              <w:ind w:firstLine="482" w:firstLineChars="200"/>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2"/>
                <w:sz w:val="24"/>
                <w:szCs w:val="24"/>
                <w:vertAlign w:val="baseline"/>
                <w:lang w:val="en-US" w:eastAsia="zh-CN" w:bidi="ar-SA"/>
              </w:rPr>
              <w:t>1、</w:t>
            </w:r>
            <w:r>
              <w:rPr>
                <w:rFonts w:hint="eastAsia" w:cs="Times New Roman"/>
                <w:b/>
                <w:bCs/>
                <w:color w:val="auto"/>
                <w:kern w:val="2"/>
                <w:sz w:val="24"/>
                <w:szCs w:val="24"/>
                <w:vertAlign w:val="baseline"/>
                <w:lang w:val="en-US" w:eastAsia="zh-CN" w:bidi="ar-SA"/>
              </w:rPr>
              <w:t>污染物源强核算</w:t>
            </w:r>
          </w:p>
          <w:p w14:paraId="03462D8A">
            <w:pPr>
              <w:adjustRightInd w:val="0"/>
              <w:snapToGrid w:val="0"/>
              <w:spacing w:line="360" w:lineRule="auto"/>
              <w:ind w:firstLine="480" w:firstLineChars="200"/>
              <w:rPr>
                <w:rFonts w:hint="default" w:ascii="Times New Roman" w:hAnsi="Times New Roman" w:cs="Times New Roman"/>
                <w:bCs/>
                <w:color w:val="auto"/>
                <w:sz w:val="24"/>
                <w:szCs w:val="24"/>
                <w:lang w:val="en-US" w:eastAsia="zh-CN"/>
              </w:rPr>
            </w:pPr>
            <w:r>
              <w:rPr>
                <w:rFonts w:hint="eastAsia" w:ascii="宋体" w:hAnsi="宋体" w:eastAsia="宋体" w:cs="宋体"/>
                <w:color w:val="auto"/>
                <w:sz w:val="24"/>
                <w:szCs w:val="24"/>
                <w:lang w:val="en-US" w:eastAsia="zh-CN"/>
              </w:rPr>
              <w:t>项目主要废气为污水处理设施异味、</w:t>
            </w:r>
            <w:r>
              <w:rPr>
                <w:rFonts w:hint="eastAsia" w:ascii="宋体" w:hAnsi="宋体" w:cs="宋体"/>
                <w:color w:val="auto"/>
                <w:sz w:val="24"/>
                <w:szCs w:val="24"/>
                <w:lang w:val="en-US" w:eastAsia="zh-CN"/>
              </w:rPr>
              <w:t>化粪池异味、医废间异味、生活垃圾异味、</w:t>
            </w:r>
            <w:r>
              <w:rPr>
                <w:rFonts w:hint="eastAsia" w:ascii="宋体" w:hAnsi="宋体" w:eastAsia="宋体" w:cs="宋体"/>
                <w:color w:val="auto"/>
                <w:sz w:val="24"/>
                <w:szCs w:val="24"/>
                <w:lang w:val="en-US" w:eastAsia="zh-CN"/>
              </w:rPr>
              <w:t>消毒异味、汽车尾气、食堂油烟等废气</w:t>
            </w:r>
            <w:r>
              <w:rPr>
                <w:rFonts w:hint="default" w:ascii="Times New Roman" w:hAnsi="Times New Roman" w:cs="Times New Roman"/>
                <w:color w:val="auto"/>
                <w:sz w:val="24"/>
                <w:szCs w:val="24"/>
                <w:lang w:eastAsia="zh-CN"/>
              </w:rPr>
              <w:t>均为</w:t>
            </w:r>
            <w:r>
              <w:rPr>
                <w:rFonts w:hint="default" w:ascii="Times New Roman" w:hAnsi="Times New Roman" w:cs="Times New Roman"/>
                <w:color w:val="auto"/>
                <w:sz w:val="24"/>
                <w:szCs w:val="24"/>
              </w:rPr>
              <w:t>无组织废气</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lang w:val="en-US" w:eastAsia="zh-CN"/>
              </w:rPr>
              <w:t>各污染物产排核算过程如下所示：</w:t>
            </w:r>
          </w:p>
          <w:p w14:paraId="16C88B8C">
            <w:pPr>
              <w:numPr>
                <w:ilvl w:val="0"/>
                <w:numId w:val="0"/>
              </w:numPr>
              <w:spacing w:line="360" w:lineRule="auto"/>
              <w:ind w:firstLine="482" w:firstLineChars="200"/>
              <w:rPr>
                <w:rFonts w:hint="eastAsia"/>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（1）</w:t>
            </w:r>
            <w:r>
              <w:rPr>
                <w:rFonts w:hint="eastAsia"/>
                <w:b/>
                <w:bCs/>
                <w:color w:val="auto"/>
                <w:sz w:val="24"/>
                <w:szCs w:val="24"/>
                <w:lang w:val="en-US" w:eastAsia="zh-CN"/>
              </w:rPr>
              <w:t>污水处理设施异味</w:t>
            </w:r>
          </w:p>
          <w:p w14:paraId="1ECD1F8C">
            <w:pPr>
              <w:spacing w:line="360" w:lineRule="auto"/>
              <w:ind w:firstLine="480" w:firstLineChars="200"/>
              <w:contextualSpacing/>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项目食堂废水经</w:t>
            </w:r>
            <w:r>
              <w:rPr>
                <w:rFonts w:hint="eastAsia" w:cs="Times New Roman"/>
                <w:color w:val="auto"/>
                <w:sz w:val="24"/>
                <w:szCs w:val="24"/>
                <w:lang w:val="en-US" w:eastAsia="zh-CN"/>
              </w:rPr>
              <w:t>油水分离器</w:t>
            </w:r>
            <w:r>
              <w:rPr>
                <w:rFonts w:hint="default" w:ascii="Times New Roman" w:hAnsi="Times New Roman" w:cs="Times New Roman"/>
                <w:color w:val="auto"/>
                <w:sz w:val="24"/>
                <w:szCs w:val="24"/>
                <w:lang w:val="en-US" w:eastAsia="zh-CN"/>
              </w:rPr>
              <w:t>处理后同其他废水一起进入化粪池预处理</w:t>
            </w:r>
            <w:r>
              <w:rPr>
                <w:rFonts w:hint="default" w:ascii="Times New Roman" w:hAnsi="Times New Roman" w:cs="Times New Roman"/>
                <w:color w:val="auto"/>
                <w:sz w:val="24"/>
                <w:szCs w:val="24"/>
              </w:rPr>
              <w:t>，预处理后进入项目建设的污水处理站处理，污水处理设施产生的异味主要来自污水中有机物的分解、发酵过程产生异味，异味主要成分一般有：硫化物、氨等。</w:t>
            </w:r>
          </w:p>
          <w:p w14:paraId="7D53B53C">
            <w:pPr>
              <w:keepNext w:val="0"/>
              <w:keepLines w:val="0"/>
              <w:pageBreakBefore w:val="0"/>
              <w:widowControl w:val="0"/>
              <w:tabs>
                <w:tab w:val="left" w:pos="402"/>
              </w:tabs>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①污水处理站异味</w:t>
            </w:r>
          </w:p>
          <w:p w14:paraId="59F1900B">
            <w:pPr>
              <w:keepNext w:val="0"/>
              <w:keepLines w:val="0"/>
              <w:pageBreakBefore w:val="0"/>
              <w:widowControl w:val="0"/>
              <w:tabs>
                <w:tab w:val="left" w:pos="402"/>
              </w:tabs>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根据美国EPA的研究调查，每处理1g的BOD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可产生0.0031gNH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和0.00012gH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根据本章节表4-5可知，</w:t>
            </w:r>
            <w:r>
              <w:rPr>
                <w:rFonts w:hint="default"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val="en-US" w:eastAsia="zh-CN"/>
              </w:rPr>
              <w:t>医疗废水产生浓度为：350mg/L</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排放浓度为：4mg/L，年废水总量为：11143.2445m³/a，</w:t>
            </w:r>
            <w:r>
              <w:rPr>
                <w:rFonts w:hint="default" w:ascii="Times New Roman" w:hAnsi="Times New Roman" w:cs="Times New Roman"/>
                <w:color w:val="auto"/>
                <w:sz w:val="24"/>
                <w:szCs w:val="24"/>
                <w:highlight w:val="none"/>
                <w:lang w:val="en-US" w:eastAsia="zh-CN"/>
              </w:rPr>
              <w:t>经计算BOD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削减了</w:t>
            </w:r>
            <w:r>
              <w:rPr>
                <w:rFonts w:hint="eastAsia" w:cs="Times New Roman"/>
                <w:color w:val="auto"/>
                <w:sz w:val="24"/>
                <w:szCs w:val="24"/>
                <w:highlight w:val="none"/>
                <w:lang w:val="en-US" w:eastAsia="zh-CN"/>
              </w:rPr>
              <w:t>3.855</w:t>
            </w:r>
            <w:r>
              <w:rPr>
                <w:rFonts w:hint="default" w:ascii="Times New Roman" w:hAnsi="Times New Roman" w:cs="Times New Roman"/>
                <w:color w:val="auto"/>
                <w:sz w:val="24"/>
                <w:szCs w:val="24"/>
                <w:highlight w:val="none"/>
                <w:lang w:val="en-US" w:eastAsia="zh-CN"/>
              </w:rPr>
              <w:t>t/a，计算可得污水处理设施恶臭污染物NH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S产生量分别为</w:t>
            </w:r>
            <w:r>
              <w:rPr>
                <w:rFonts w:hint="eastAsia" w:cs="Times New Roman"/>
                <w:color w:val="auto"/>
                <w:sz w:val="24"/>
                <w:szCs w:val="24"/>
                <w:highlight w:val="none"/>
                <w:lang w:val="en-US" w:eastAsia="zh-CN"/>
              </w:rPr>
              <w:t>11.95</w:t>
            </w:r>
            <w:r>
              <w:rPr>
                <w:rFonts w:hint="default" w:ascii="Times New Roman" w:hAnsi="Times New Roman" w:cs="Times New Roman"/>
                <w:color w:val="auto"/>
                <w:sz w:val="24"/>
                <w:szCs w:val="24"/>
                <w:highlight w:val="none"/>
                <w:lang w:val="en-US" w:eastAsia="zh-CN"/>
              </w:rPr>
              <w:t>kg/a，</w:t>
            </w:r>
            <w:r>
              <w:rPr>
                <w:rFonts w:hint="eastAsia" w:cs="Times New Roman"/>
                <w:color w:val="auto"/>
                <w:sz w:val="24"/>
                <w:szCs w:val="24"/>
                <w:highlight w:val="none"/>
                <w:lang w:val="en-US" w:eastAsia="zh-CN"/>
              </w:rPr>
              <w:t>0.46</w:t>
            </w:r>
            <w:r>
              <w:rPr>
                <w:rFonts w:hint="default" w:ascii="Times New Roman" w:hAnsi="Times New Roman" w:cs="Times New Roman"/>
                <w:color w:val="auto"/>
                <w:sz w:val="24"/>
                <w:szCs w:val="24"/>
                <w:highlight w:val="none"/>
                <w:lang w:val="en-US" w:eastAsia="zh-CN"/>
              </w:rPr>
              <w:t>kg/a。此外，污水处理过程中还会产生少量的甲烷气体。污水处理站废气呈无组织排放。</w:t>
            </w:r>
          </w:p>
          <w:p w14:paraId="51501184">
            <w:pPr>
              <w:pStyle w:val="41"/>
              <w:adjustRightInd/>
              <w:snapToGrid/>
              <w:spacing w:line="360" w:lineRule="auto"/>
              <w:ind w:firstLine="480" w:firstLineChars="200"/>
              <w:rPr>
                <w:rFonts w:hint="eastAsia" w:ascii="Times New Roman" w:hAnsi="Times New Roman" w:eastAsia="宋体" w:cs="Times New Roman"/>
                <w:color w:val="auto"/>
                <w:spacing w:val="-6"/>
                <w:sz w:val="24"/>
                <w:szCs w:val="24"/>
                <w:lang w:val="en-US" w:eastAsia="zh-CN"/>
              </w:rPr>
            </w:pPr>
            <w:r>
              <w:rPr>
                <w:rFonts w:hint="default"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污水处理站通过对污水处理站废气排放口处进行投加除臭剂进行除臭、除味处理，处理后废气呈无组织排放</w:t>
            </w:r>
            <w:r>
              <w:rPr>
                <w:rFonts w:hint="default" w:ascii="Times New Roman" w:hAnsi="Times New Roman" w:cs="Times New Roman"/>
                <w:color w:val="auto"/>
                <w:sz w:val="24"/>
                <w:szCs w:val="24"/>
                <w:lang w:val="en-US" w:eastAsia="zh-CN"/>
              </w:rPr>
              <w:t>。</w:t>
            </w:r>
            <w:r>
              <w:rPr>
                <w:rFonts w:hint="eastAsia"/>
                <w:color w:val="auto"/>
                <w:lang w:val="en-US" w:eastAsia="zh-CN"/>
              </w:rPr>
              <w:t>采取上述措施及空气稀释后对下风向的芭蕉树居民影响较小。能满足</w:t>
            </w:r>
            <w:r>
              <w:rPr>
                <w:rFonts w:hint="default" w:ascii="Times New Roman" w:hAnsi="Times New Roman" w:cs="Times New Roman"/>
                <w:color w:val="auto"/>
                <w:sz w:val="24"/>
                <w:szCs w:val="24"/>
              </w:rPr>
              <w:t>《医疗机构水污染物排放标准》中的污水处理设施周边大气污染物排放标准</w:t>
            </w:r>
            <w:r>
              <w:rPr>
                <w:rFonts w:hint="eastAsia" w:ascii="Times New Roman" w:hAnsi="Times New Roman" w:cs="Times New Roman"/>
                <w:color w:val="auto"/>
                <w:sz w:val="24"/>
                <w:szCs w:val="24"/>
                <w:lang w:eastAsia="zh-CN"/>
              </w:rPr>
              <w:t>。</w:t>
            </w:r>
          </w:p>
          <w:p w14:paraId="7D1BA9A7">
            <w:pPr>
              <w:numPr>
                <w:ilvl w:val="0"/>
                <w:numId w:val="0"/>
              </w:numPr>
              <w:spacing w:line="360" w:lineRule="auto"/>
              <w:ind w:firstLine="480" w:firstLineChars="200"/>
              <w:rPr>
                <w:rFonts w:hint="eastAsia"/>
                <w:color w:val="auto"/>
                <w:sz w:val="24"/>
                <w:szCs w:val="24"/>
                <w:lang w:val="en-US" w:eastAsia="zh-CN"/>
              </w:rPr>
            </w:pPr>
            <w:r>
              <w:rPr>
                <w:rFonts w:hint="eastAsia" w:cs="Times New Roman"/>
                <w:color w:val="auto"/>
                <w:kern w:val="2"/>
                <w:sz w:val="24"/>
                <w:szCs w:val="24"/>
                <w:lang w:val="en-US" w:eastAsia="zh-CN" w:bidi="ar-SA"/>
              </w:rPr>
              <w:t>②</w:t>
            </w:r>
            <w:r>
              <w:rPr>
                <w:rFonts w:hint="eastAsia"/>
                <w:color w:val="auto"/>
                <w:sz w:val="24"/>
                <w:szCs w:val="24"/>
                <w:lang w:val="en-US" w:eastAsia="zh-CN"/>
              </w:rPr>
              <w:t>化粪池异味</w:t>
            </w:r>
          </w:p>
          <w:p w14:paraId="7DE83B76">
            <w:pPr>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本项目依托场地内现有25m</w:t>
            </w:r>
            <w:r>
              <w:rPr>
                <w:rFonts w:hint="eastAsia"/>
                <w:color w:val="auto"/>
                <w:sz w:val="24"/>
                <w:szCs w:val="24"/>
                <w:vertAlign w:val="superscript"/>
                <w:lang w:val="en-US" w:eastAsia="zh-CN"/>
              </w:rPr>
              <w:t>3</w:t>
            </w:r>
            <w:r>
              <w:rPr>
                <w:rFonts w:hint="eastAsia"/>
                <w:color w:val="auto"/>
                <w:sz w:val="24"/>
                <w:szCs w:val="24"/>
                <w:lang w:val="en-US" w:eastAsia="zh-CN"/>
              </w:rPr>
              <w:t>化粪池位于污水处理站旁，在活动场地北侧新建25m</w:t>
            </w:r>
            <w:r>
              <w:rPr>
                <w:rFonts w:hint="eastAsia"/>
                <w:color w:val="auto"/>
                <w:sz w:val="24"/>
                <w:szCs w:val="24"/>
                <w:vertAlign w:val="superscript"/>
                <w:lang w:val="en-US" w:eastAsia="zh-CN"/>
              </w:rPr>
              <w:t>3</w:t>
            </w:r>
            <w:r>
              <w:rPr>
                <w:rFonts w:hint="eastAsia"/>
                <w:color w:val="auto"/>
                <w:sz w:val="24"/>
                <w:szCs w:val="24"/>
                <w:lang w:val="en-US" w:eastAsia="zh-CN"/>
              </w:rPr>
              <w:t>化粪池。化粪池均为地埋式，密闭性较好，挥发到空气中的恶臭较少，产生的异味对周围环境的影响较小。</w:t>
            </w:r>
          </w:p>
          <w:p w14:paraId="1A33DA29">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（2）生活垃圾及医疗废物暂存间异味</w:t>
            </w:r>
          </w:p>
          <w:p w14:paraId="124247BD">
            <w:pPr>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垃圾的收集、转运过程中，部分易腐败的有机垃圾由于其分解时会发出恶臭气体，主要成分为氨(NH</w:t>
            </w:r>
            <w:r>
              <w:rPr>
                <w:rFonts w:hint="eastAsia"/>
                <w:color w:val="auto"/>
                <w:sz w:val="24"/>
                <w:szCs w:val="24"/>
                <w:vertAlign w:val="subscript"/>
                <w:lang w:val="en-US" w:eastAsia="zh-CN"/>
              </w:rPr>
              <w:t>3</w:t>
            </w:r>
            <w:r>
              <w:rPr>
                <w:rFonts w:hint="eastAsia"/>
                <w:color w:val="auto"/>
                <w:sz w:val="24"/>
                <w:szCs w:val="24"/>
                <w:lang w:val="en-US" w:eastAsia="zh-CN"/>
              </w:rPr>
              <w:t>)、硫化氢(H</w:t>
            </w:r>
            <w:r>
              <w:rPr>
                <w:rFonts w:hint="eastAsia"/>
                <w:color w:val="auto"/>
                <w:sz w:val="24"/>
                <w:szCs w:val="24"/>
                <w:vertAlign w:val="subscript"/>
                <w:lang w:val="en-US" w:eastAsia="zh-CN"/>
              </w:rPr>
              <w:t>2</w:t>
            </w:r>
            <w:r>
              <w:rPr>
                <w:rFonts w:hint="eastAsia"/>
                <w:color w:val="auto"/>
                <w:sz w:val="24"/>
                <w:szCs w:val="24"/>
                <w:lang w:val="en-US" w:eastAsia="zh-CN"/>
              </w:rPr>
              <w:t>S)等物质，项目垃圾暂存点仅作为垃圾的临时暂存，不进行分拣及压缩，且垃圾用密封袋及袋盖垃圾箱分装，生活垃圾日产日清。同时，对垃圾暂存点定期杀菌消毒并加强管理和清洁，防止蚊蝇滋生，不会对周边环境造成明显不良影响。</w:t>
            </w:r>
          </w:p>
          <w:p w14:paraId="2030E471">
            <w:pPr>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本项目医疗废物量不大，医疗废物暂存间通过加强管理，做好医疗废物密封、清运和消毒工作，每48h清运一次，可有效避免或减少医疗废物暂存间产生的异味对周围环境的影响。</w:t>
            </w:r>
          </w:p>
          <w:p w14:paraId="025B469F">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消毒异味</w:t>
            </w:r>
          </w:p>
          <w:p w14:paraId="77DA756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为降</w:t>
            </w:r>
            <w:r>
              <w:rPr>
                <w:rFonts w:hint="default" w:ascii="Times New Roman" w:hAnsi="Times New Roman" w:cs="Times New Roman"/>
                <w:color w:val="auto"/>
                <w:sz w:val="24"/>
                <w:szCs w:val="24"/>
                <w:lang w:eastAsia="zh-CN"/>
              </w:rPr>
              <w:t>低</w:t>
            </w:r>
            <w:r>
              <w:rPr>
                <w:rFonts w:hint="default" w:ascii="Times New Roman" w:hAnsi="Times New Roman" w:cs="Times New Roman"/>
                <w:color w:val="auto"/>
                <w:sz w:val="24"/>
                <w:szCs w:val="24"/>
                <w:lang w:val="en-US" w:eastAsia="zh-CN"/>
              </w:rPr>
              <w:t>项目楼层内</w:t>
            </w:r>
            <w:r>
              <w:rPr>
                <w:rFonts w:hint="default" w:ascii="Times New Roman" w:hAnsi="Times New Roman" w:cs="Times New Roman"/>
                <w:color w:val="auto"/>
                <w:sz w:val="24"/>
                <w:szCs w:val="24"/>
              </w:rPr>
              <w:t>空气中的含菌量，楼内经常使用</w:t>
            </w:r>
            <w:r>
              <w:rPr>
                <w:rFonts w:hint="default" w:ascii="Times New Roman" w:hAnsi="Times New Roman" w:cs="Times New Roman"/>
                <w:color w:val="auto"/>
                <w:sz w:val="24"/>
                <w:szCs w:val="24"/>
                <w:lang w:val="en-US" w:eastAsia="zh-CN"/>
              </w:rPr>
              <w:t>乙醇、</w:t>
            </w:r>
            <w:r>
              <w:rPr>
                <w:rFonts w:hint="default" w:ascii="Times New Roman" w:hAnsi="Times New Roman" w:cs="Times New Roman"/>
                <w:color w:val="auto"/>
                <w:sz w:val="24"/>
                <w:szCs w:val="24"/>
              </w:rPr>
              <w:t>次氯酸钠、</w:t>
            </w:r>
            <w:r>
              <w:rPr>
                <w:rFonts w:hint="default" w:ascii="Times New Roman" w:hAnsi="Times New Roman" w:cs="Times New Roman"/>
                <w:color w:val="auto"/>
                <w:sz w:val="24"/>
                <w:szCs w:val="24"/>
                <w:lang w:val="en-US" w:eastAsia="zh-CN"/>
              </w:rPr>
              <w:t>84消毒液</w:t>
            </w:r>
            <w:r>
              <w:rPr>
                <w:rFonts w:hint="default" w:ascii="Times New Roman" w:hAnsi="Times New Roman" w:cs="Times New Roman"/>
                <w:color w:val="auto"/>
                <w:sz w:val="24"/>
                <w:szCs w:val="24"/>
              </w:rPr>
              <w:t>等消毒剂对楼道、卫生间等进行消毒处理，此过程中会有少量异味产生；此外，项目对衣物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被服</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进行洗涤消毒过程采用的优氯净、复合碘等消毒剂也会产生少量异味。医院消毒异味主要为消毒剂挥发产生，其产生量不大，且主要在室内产生，呈无组织排放。因此，对周围环境影响不大。</w:t>
            </w:r>
          </w:p>
          <w:p w14:paraId="64E0EAF5">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汽车尾气</w:t>
            </w:r>
          </w:p>
          <w:p w14:paraId="08A73A4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本项目产生的汽车尾气主要来自车辆进出项目时排放的废气。车辆在项目内行驶，在刹车、怠速及启动时会产生一定的汽车尾气，对区域环境空气有一定的影响。汽车废气中主要污染因子为CO、HC、NO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等。汽车废气的排放量与车型、车况和车辆数等有关。</w:t>
            </w:r>
            <w:r>
              <w:rPr>
                <w:rFonts w:hint="default" w:ascii="Times New Roman" w:hAnsi="Times New Roman" w:cs="Times New Roman"/>
                <w:color w:val="auto"/>
                <w:sz w:val="24"/>
                <w:szCs w:val="24"/>
                <w:lang w:val="en-US" w:eastAsia="zh-CN"/>
              </w:rPr>
              <w:t>项目为专科医院，门诊人数很少，进出的车辆较少，且项目内停车位很少，故产生的汽车尾气较少，通过大气的扩散作用，对周围大气环境影响较小</w:t>
            </w:r>
            <w:r>
              <w:rPr>
                <w:rFonts w:hint="default" w:ascii="Times New Roman" w:hAnsi="Times New Roman" w:cs="Times New Roman"/>
                <w:color w:val="auto"/>
                <w:szCs w:val="24"/>
              </w:rPr>
              <w:t>。</w:t>
            </w:r>
          </w:p>
          <w:p w14:paraId="0854CED0">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5</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厨房</w:t>
            </w:r>
            <w:r>
              <w:rPr>
                <w:rFonts w:hint="default" w:ascii="Times New Roman" w:hAnsi="Times New Roman" w:cs="Times New Roman"/>
                <w:b/>
                <w:bCs/>
                <w:color w:val="auto"/>
                <w:sz w:val="24"/>
                <w:szCs w:val="24"/>
              </w:rPr>
              <w:t>油烟</w:t>
            </w:r>
          </w:p>
          <w:p w14:paraId="22212968">
            <w:pPr>
              <w:spacing w:line="360" w:lineRule="auto"/>
              <w:ind w:firstLine="480" w:firstLineChars="200"/>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职工</w:t>
            </w:r>
            <w:r>
              <w:rPr>
                <w:rFonts w:hint="default" w:ascii="Times New Roman" w:hAnsi="Times New Roman" w:cs="Times New Roman"/>
                <w:color w:val="auto"/>
                <w:sz w:val="24"/>
                <w:szCs w:val="24"/>
                <w:lang w:val="en-US" w:eastAsia="zh-CN"/>
              </w:rPr>
              <w:t>人数</w:t>
            </w:r>
            <w:r>
              <w:rPr>
                <w:rFonts w:hint="eastAsia" w:cs="Times New Roman"/>
                <w:color w:val="auto"/>
                <w:sz w:val="24"/>
                <w:szCs w:val="24"/>
                <w:lang w:val="en-US" w:eastAsia="zh-CN"/>
              </w:rPr>
              <w:t>48</w:t>
            </w:r>
            <w:r>
              <w:rPr>
                <w:rFonts w:hint="default" w:ascii="Times New Roman" w:hAnsi="Times New Roman" w:cs="Times New Roman"/>
                <w:color w:val="auto"/>
                <w:sz w:val="24"/>
                <w:szCs w:val="24"/>
                <w:lang w:val="en-US" w:eastAsia="zh-CN"/>
              </w:rPr>
              <w:t>人，在项目内食宿职工人数约</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人，</w:t>
            </w:r>
            <w:r>
              <w:rPr>
                <w:rFonts w:hint="eastAsia" w:cs="Times New Roman"/>
                <w:color w:val="auto"/>
                <w:sz w:val="24"/>
                <w:szCs w:val="24"/>
                <w:lang w:val="en-US" w:eastAsia="zh-CN"/>
              </w:rPr>
              <w:t>其余人数均在项目内中午就餐，</w:t>
            </w:r>
            <w:r>
              <w:rPr>
                <w:rFonts w:hint="default" w:ascii="Times New Roman" w:hAnsi="Times New Roman" w:cs="Times New Roman"/>
                <w:color w:val="auto"/>
                <w:sz w:val="24"/>
                <w:szCs w:val="24"/>
                <w:lang w:val="en-US" w:eastAsia="zh-CN"/>
              </w:rPr>
              <w:t>项目床位数为</w:t>
            </w:r>
            <w:r>
              <w:rPr>
                <w:rFonts w:hint="eastAsia" w:cs="Times New Roman"/>
                <w:color w:val="auto"/>
                <w:sz w:val="24"/>
                <w:szCs w:val="24"/>
                <w:lang w:val="en-US" w:eastAsia="zh-CN"/>
              </w:rPr>
              <w:t>108</w:t>
            </w:r>
            <w:r>
              <w:rPr>
                <w:rFonts w:hint="default" w:ascii="Times New Roman" w:hAnsi="Times New Roman" w:cs="Times New Roman"/>
                <w:color w:val="auto"/>
                <w:sz w:val="24"/>
                <w:szCs w:val="24"/>
                <w:lang w:val="en-US" w:eastAsia="zh-CN"/>
              </w:rPr>
              <w:t>张</w:t>
            </w:r>
            <w:r>
              <w:rPr>
                <w:rFonts w:hint="default" w:ascii="Times New Roman" w:hAnsi="Times New Roman" w:cs="Times New Roman"/>
                <w:color w:val="auto"/>
                <w:sz w:val="24"/>
                <w:szCs w:val="24"/>
              </w:rPr>
              <w:t>，按负荷量为100%计</w:t>
            </w:r>
            <w:r>
              <w:rPr>
                <w:rFonts w:hint="default" w:ascii="Times New Roman" w:hAnsi="Times New Roman" w:cs="Times New Roman"/>
                <w:color w:val="auto"/>
                <w:sz w:val="24"/>
                <w:szCs w:val="24"/>
                <w:lang w:eastAsia="zh-CN"/>
              </w:rPr>
              <w:t>，则</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中餐</w:t>
            </w:r>
            <w:r>
              <w:rPr>
                <w:rFonts w:hint="default" w:ascii="Times New Roman" w:hAnsi="Times New Roman" w:cs="Times New Roman"/>
                <w:color w:val="auto"/>
                <w:sz w:val="24"/>
                <w:szCs w:val="24"/>
                <w:lang w:val="en-US" w:eastAsia="zh-CN"/>
              </w:rPr>
              <w:t>用餐总</w:t>
            </w:r>
            <w:r>
              <w:rPr>
                <w:rFonts w:hint="default" w:ascii="Times New Roman" w:hAnsi="Times New Roman" w:cs="Times New Roman"/>
                <w:color w:val="auto"/>
                <w:sz w:val="24"/>
                <w:szCs w:val="24"/>
              </w:rPr>
              <w:t>人数约</w:t>
            </w:r>
            <w:r>
              <w:rPr>
                <w:rFonts w:hint="eastAsia" w:cs="Times New Roman"/>
                <w:color w:val="auto"/>
                <w:sz w:val="24"/>
                <w:szCs w:val="24"/>
                <w:lang w:val="en-US" w:eastAsia="zh-CN"/>
              </w:rPr>
              <w:t>156</w:t>
            </w:r>
            <w:r>
              <w:rPr>
                <w:rFonts w:hint="default" w:ascii="Times New Roman" w:hAnsi="Times New Roman" w:cs="Times New Roman"/>
                <w:color w:val="auto"/>
                <w:sz w:val="24"/>
                <w:szCs w:val="24"/>
              </w:rPr>
              <w:t>人</w:t>
            </w:r>
            <w:r>
              <w:rPr>
                <w:rFonts w:hint="eastAsia" w:cs="Times New Roman"/>
                <w:color w:val="auto"/>
                <w:sz w:val="24"/>
                <w:szCs w:val="24"/>
                <w:lang w:eastAsia="zh-CN"/>
              </w:rPr>
              <w:t>，</w:t>
            </w:r>
            <w:r>
              <w:rPr>
                <w:rFonts w:hint="eastAsia" w:cs="Times New Roman"/>
                <w:color w:val="auto"/>
                <w:sz w:val="24"/>
                <w:szCs w:val="24"/>
                <w:lang w:val="en-US" w:eastAsia="zh-CN"/>
              </w:rPr>
              <w:t>早晚餐用餐人数118人。</w:t>
            </w:r>
          </w:p>
          <w:p w14:paraId="74FB55E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医院</w:t>
            </w:r>
            <w:r>
              <w:rPr>
                <w:rFonts w:hint="default" w:ascii="Times New Roman" w:hAnsi="Times New Roman" w:cs="Times New Roman"/>
                <w:color w:val="auto"/>
                <w:sz w:val="24"/>
                <w:szCs w:val="24"/>
                <w:lang w:val="en-US" w:eastAsia="zh-CN"/>
              </w:rPr>
              <w:t>厨房</w:t>
            </w:r>
            <w:r>
              <w:rPr>
                <w:rFonts w:hint="default" w:ascii="Times New Roman" w:hAnsi="Times New Roman" w:cs="Times New Roman"/>
                <w:color w:val="auto"/>
                <w:sz w:val="24"/>
                <w:szCs w:val="24"/>
              </w:rPr>
              <w:t>每天供应早、中、晚餐，</w:t>
            </w:r>
            <w:r>
              <w:rPr>
                <w:rFonts w:hint="eastAsia" w:cs="Times New Roman"/>
                <w:color w:val="auto"/>
                <w:sz w:val="24"/>
                <w:szCs w:val="24"/>
                <w:lang w:val="en-US" w:eastAsia="zh-CN"/>
              </w:rPr>
              <w:t>午餐用油量以12g/人计，早餐和晚餐用油量分别以6g/人、12g/人，</w:t>
            </w:r>
            <w:r>
              <w:rPr>
                <w:rFonts w:hint="default" w:ascii="Times New Roman" w:hAnsi="Times New Roman" w:cs="Times New Roman"/>
                <w:color w:val="auto"/>
                <w:sz w:val="24"/>
                <w:szCs w:val="24"/>
              </w:rPr>
              <w:t>则</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日耗油量为</w:t>
            </w:r>
            <w:r>
              <w:rPr>
                <w:rFonts w:hint="eastAsia" w:cs="Times New Roman"/>
                <w:color w:val="auto"/>
                <w:sz w:val="24"/>
                <w:szCs w:val="24"/>
                <w:lang w:val="en-US" w:eastAsia="zh-CN"/>
              </w:rPr>
              <w:t>3.996</w:t>
            </w:r>
            <w:r>
              <w:rPr>
                <w:rFonts w:hint="default" w:ascii="Times New Roman" w:hAnsi="Times New Roman" w:cs="Times New Roman"/>
                <w:color w:val="auto"/>
                <w:sz w:val="24"/>
                <w:szCs w:val="24"/>
              </w:rPr>
              <w:t>kg，年耗油量为</w:t>
            </w:r>
            <w:r>
              <w:rPr>
                <w:rFonts w:hint="eastAsia" w:cs="Times New Roman"/>
                <w:color w:val="auto"/>
                <w:sz w:val="24"/>
                <w:szCs w:val="24"/>
                <w:lang w:val="en-US" w:eastAsia="zh-CN"/>
              </w:rPr>
              <w:t>1.459</w:t>
            </w:r>
            <w:r>
              <w:rPr>
                <w:rFonts w:hint="default" w:ascii="Times New Roman" w:hAnsi="Times New Roman" w:cs="Times New Roman"/>
                <w:color w:val="auto"/>
                <w:sz w:val="24"/>
                <w:szCs w:val="24"/>
              </w:rPr>
              <w:t>t</w:t>
            </w: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w:t>
            </w:r>
          </w:p>
          <w:p w14:paraId="45653657">
            <w:pPr>
              <w:spacing w:line="360" w:lineRule="auto"/>
              <w:ind w:firstLine="482" w:firstLineChars="200"/>
              <w:rPr>
                <w:rFonts w:hint="default" w:ascii="Times New Roman" w:hAnsi="Times New Roman" w:cs="Times New Roman"/>
                <w:color w:val="auto"/>
                <w:sz w:val="24"/>
                <w:szCs w:val="24"/>
              </w:rPr>
            </w:pPr>
            <w:r>
              <w:rPr>
                <w:rFonts w:hint="eastAsia" w:cs="Times New Roman"/>
                <w:b/>
                <w:bCs/>
                <w:color w:val="auto"/>
                <w:sz w:val="24"/>
                <w:szCs w:val="24"/>
                <w:lang w:val="en-US" w:eastAsia="zh-CN"/>
              </w:rPr>
              <w:t>①油烟</w:t>
            </w:r>
          </w:p>
          <w:p w14:paraId="43CEB20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据调查，不同的烹饪工况，油烟气中烟气浓度及挥发量均有所不同，油的平均挥发量为总耗油量的2%~3%，本次环评取</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则项目</w:t>
            </w:r>
            <w:r>
              <w:rPr>
                <w:rFonts w:hint="default" w:ascii="Times New Roman" w:hAnsi="Times New Roman" w:cs="Times New Roman"/>
                <w:color w:val="auto"/>
                <w:sz w:val="24"/>
                <w:szCs w:val="24"/>
              </w:rPr>
              <w:t>油烟产生量为</w:t>
            </w:r>
            <w:r>
              <w:rPr>
                <w:rFonts w:hint="eastAsia" w:cs="Times New Roman"/>
                <w:color w:val="auto"/>
                <w:sz w:val="24"/>
                <w:szCs w:val="24"/>
                <w:lang w:val="en-US" w:eastAsia="zh-CN"/>
              </w:rPr>
              <w:t>0.1</w:t>
            </w:r>
            <w:r>
              <w:rPr>
                <w:rFonts w:hint="default" w:ascii="Times New Roman" w:hAnsi="Times New Roman" w:cs="Times New Roman"/>
                <w:color w:val="auto"/>
                <w:sz w:val="24"/>
                <w:szCs w:val="24"/>
              </w:rPr>
              <w:t>kg/d，年产量约</w:t>
            </w:r>
            <w:r>
              <w:rPr>
                <w:rFonts w:hint="eastAsia" w:ascii="Times New Roman" w:hAnsi="Times New Roman" w:cs="Times New Roman"/>
                <w:color w:val="auto"/>
                <w:sz w:val="24"/>
                <w:szCs w:val="24"/>
                <w:lang w:val="en-US" w:eastAsia="zh-CN"/>
              </w:rPr>
              <w:t>0.0365</w:t>
            </w:r>
            <w:r>
              <w:rPr>
                <w:rFonts w:hint="default" w:ascii="Times New Roman" w:hAnsi="Times New Roman" w:cs="Times New Roman"/>
                <w:color w:val="auto"/>
                <w:sz w:val="24"/>
                <w:szCs w:val="24"/>
              </w:rPr>
              <w:t>t/a。由于食堂提供早、中、晚餐，因此日高峰期取</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h，则油烟</w:t>
            </w:r>
            <w:r>
              <w:rPr>
                <w:rFonts w:hint="default" w:ascii="Times New Roman" w:hAnsi="Times New Roman" w:cs="Times New Roman"/>
                <w:color w:val="auto"/>
                <w:sz w:val="24"/>
                <w:szCs w:val="24"/>
                <w:lang w:val="en-US" w:eastAsia="zh-CN"/>
              </w:rPr>
              <w:t>产生速率为</w:t>
            </w:r>
            <w:r>
              <w:rPr>
                <w:rFonts w:hint="eastAsia" w:cs="Times New Roman"/>
                <w:color w:val="auto"/>
                <w:sz w:val="24"/>
                <w:szCs w:val="24"/>
                <w:lang w:val="en-US" w:eastAsia="zh-CN"/>
              </w:rPr>
              <w:t>25</w:t>
            </w:r>
            <w:r>
              <w:rPr>
                <w:rFonts w:hint="default" w:ascii="Times New Roman" w:hAnsi="Times New Roman" w:cs="Times New Roman"/>
                <w:color w:val="auto"/>
                <w:sz w:val="24"/>
                <w:szCs w:val="24"/>
              </w:rPr>
              <w:t>g/h。</w:t>
            </w:r>
          </w:p>
          <w:p w14:paraId="33938C6F">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食堂配套1套油烟净化器，</w:t>
            </w:r>
            <w:r>
              <w:rPr>
                <w:rFonts w:hint="default" w:ascii="Times New Roman" w:hAnsi="Times New Roman" w:cs="Times New Roman"/>
                <w:color w:val="auto"/>
                <w:sz w:val="24"/>
                <w:szCs w:val="24"/>
                <w:lang w:val="en-US" w:eastAsia="zh-CN"/>
              </w:rPr>
              <w:t>排风量</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/h，净化效率</w:t>
            </w:r>
            <w:r>
              <w:rPr>
                <w:rFonts w:hint="eastAsia" w:cs="Times New Roman"/>
                <w:color w:val="auto"/>
                <w:sz w:val="24"/>
                <w:szCs w:val="24"/>
                <w:lang w:val="en-US" w:eastAsia="zh-CN"/>
              </w:rPr>
              <w:t>以6</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计</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项目</w:t>
            </w:r>
            <w:r>
              <w:rPr>
                <w:rFonts w:hint="default" w:ascii="Times New Roman" w:hAnsi="Times New Roman" w:cs="Times New Roman"/>
                <w:color w:val="auto"/>
                <w:sz w:val="24"/>
                <w:szCs w:val="24"/>
                <w:lang w:val="en-US" w:eastAsia="zh-CN"/>
              </w:rPr>
              <w:t>食堂烟油产生情况及排放情况合计如下：</w:t>
            </w:r>
          </w:p>
          <w:p w14:paraId="08571FFF">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 xml:space="preserve"> 食堂油烟产生及排放情况汇总表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220"/>
              <w:gridCol w:w="943"/>
              <w:gridCol w:w="1067"/>
              <w:gridCol w:w="659"/>
              <w:gridCol w:w="1083"/>
              <w:gridCol w:w="858"/>
              <w:gridCol w:w="1433"/>
            </w:tblGrid>
            <w:tr w14:paraId="4083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noWrap w:val="0"/>
                  <w:vAlign w:val="center"/>
                </w:tcPr>
                <w:p w14:paraId="38FA021A">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项目</w:t>
                  </w:r>
                </w:p>
              </w:tc>
              <w:tc>
                <w:tcPr>
                  <w:tcW w:w="1220" w:type="dxa"/>
                  <w:noWrap w:val="0"/>
                  <w:vAlign w:val="center"/>
                </w:tcPr>
                <w:p w14:paraId="0DD244F5">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产生量t/a</w:t>
                  </w:r>
                </w:p>
              </w:tc>
              <w:tc>
                <w:tcPr>
                  <w:tcW w:w="943" w:type="dxa"/>
                  <w:noWrap w:val="0"/>
                  <w:vAlign w:val="center"/>
                </w:tcPr>
                <w:p w14:paraId="4C6FF369">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产生速率g/h</w:t>
                  </w:r>
                </w:p>
              </w:tc>
              <w:tc>
                <w:tcPr>
                  <w:tcW w:w="1067" w:type="dxa"/>
                  <w:noWrap w:val="0"/>
                  <w:vAlign w:val="center"/>
                </w:tcPr>
                <w:p w14:paraId="5607F9F9">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产生浓度mg/m³</w:t>
                  </w:r>
                </w:p>
              </w:tc>
              <w:tc>
                <w:tcPr>
                  <w:tcW w:w="659" w:type="dxa"/>
                  <w:noWrap w:val="0"/>
                  <w:vAlign w:val="center"/>
                </w:tcPr>
                <w:p w14:paraId="76C8BE95">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处理效率</w:t>
                  </w:r>
                </w:p>
              </w:tc>
              <w:tc>
                <w:tcPr>
                  <w:tcW w:w="1083" w:type="dxa"/>
                  <w:noWrap w:val="0"/>
                  <w:vAlign w:val="center"/>
                </w:tcPr>
                <w:p w14:paraId="2FAA8110">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排放浓度mg/m³</w:t>
                  </w:r>
                </w:p>
              </w:tc>
              <w:tc>
                <w:tcPr>
                  <w:tcW w:w="858" w:type="dxa"/>
                  <w:noWrap w:val="0"/>
                  <w:vAlign w:val="center"/>
                </w:tcPr>
                <w:p w14:paraId="17E474B1">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排放速率g/h</w:t>
                  </w:r>
                </w:p>
              </w:tc>
              <w:tc>
                <w:tcPr>
                  <w:tcW w:w="1433" w:type="dxa"/>
                  <w:noWrap w:val="0"/>
                  <w:vAlign w:val="center"/>
                </w:tcPr>
                <w:p w14:paraId="7F03F7C5">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排放量t/a</w:t>
                  </w:r>
                </w:p>
              </w:tc>
            </w:tr>
            <w:tr w14:paraId="3EF1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noWrap w:val="0"/>
                  <w:vAlign w:val="center"/>
                </w:tcPr>
                <w:p w14:paraId="4BD0DD8A">
                  <w:pPr>
                    <w:jc w:val="center"/>
                    <w:rPr>
                      <w:rFonts w:hint="default" w:ascii="Times New Roman" w:hAnsi="Times New Roman" w:cs="Times New Roman"/>
                      <w:color w:val="auto"/>
                      <w:lang w:val="en-US" w:eastAsia="zh-CN"/>
                    </w:rPr>
                  </w:pPr>
                  <w:r>
                    <w:rPr>
                      <w:rFonts w:hint="eastAsia" w:cs="Times New Roman"/>
                      <w:color w:val="auto"/>
                      <w:lang w:val="en-US" w:eastAsia="zh-CN"/>
                    </w:rPr>
                    <w:t>本项目</w:t>
                  </w:r>
                </w:p>
              </w:tc>
              <w:tc>
                <w:tcPr>
                  <w:tcW w:w="1220" w:type="dxa"/>
                  <w:noWrap w:val="0"/>
                  <w:vAlign w:val="center"/>
                </w:tcPr>
                <w:p w14:paraId="7D751197">
                  <w:pPr>
                    <w:jc w:val="center"/>
                    <w:rPr>
                      <w:rFonts w:hint="default" w:ascii="Times New Roman" w:hAnsi="Times New Roman" w:cs="Times New Roman"/>
                      <w:color w:val="auto"/>
                      <w:lang w:val="en-US" w:eastAsia="zh-CN"/>
                    </w:rPr>
                  </w:pPr>
                  <w:r>
                    <w:rPr>
                      <w:rFonts w:hint="eastAsia" w:cs="Times New Roman"/>
                      <w:color w:val="auto"/>
                      <w:lang w:val="en-US" w:eastAsia="zh-CN"/>
                    </w:rPr>
                    <w:t>0.0365</w:t>
                  </w:r>
                </w:p>
              </w:tc>
              <w:tc>
                <w:tcPr>
                  <w:tcW w:w="943" w:type="dxa"/>
                  <w:noWrap w:val="0"/>
                  <w:vAlign w:val="center"/>
                </w:tcPr>
                <w:p w14:paraId="4B7E6D30">
                  <w:pPr>
                    <w:jc w:val="center"/>
                    <w:rPr>
                      <w:rFonts w:hint="default" w:ascii="Times New Roman" w:hAnsi="Times New Roman" w:cs="Times New Roman"/>
                      <w:color w:val="auto"/>
                      <w:lang w:val="en-US" w:eastAsia="zh-CN"/>
                    </w:rPr>
                  </w:pPr>
                  <w:r>
                    <w:rPr>
                      <w:rFonts w:hint="eastAsia" w:cs="Times New Roman"/>
                      <w:color w:val="auto"/>
                      <w:lang w:val="en-US" w:eastAsia="zh-CN"/>
                    </w:rPr>
                    <w:t>25</w:t>
                  </w:r>
                </w:p>
              </w:tc>
              <w:tc>
                <w:tcPr>
                  <w:tcW w:w="1067" w:type="dxa"/>
                  <w:noWrap w:val="0"/>
                  <w:vAlign w:val="center"/>
                </w:tcPr>
                <w:p w14:paraId="54D0825F">
                  <w:pPr>
                    <w:jc w:val="center"/>
                    <w:rPr>
                      <w:rFonts w:hint="default" w:ascii="Times New Roman" w:hAnsi="Times New Roman" w:cs="Times New Roman"/>
                      <w:color w:val="auto"/>
                      <w:lang w:val="en-US" w:eastAsia="zh-CN"/>
                    </w:rPr>
                  </w:pPr>
                  <w:r>
                    <w:rPr>
                      <w:rFonts w:hint="eastAsia" w:cs="Times New Roman"/>
                      <w:color w:val="auto"/>
                      <w:lang w:val="en-US" w:eastAsia="zh-CN"/>
                    </w:rPr>
                    <w:t>2.5</w:t>
                  </w:r>
                </w:p>
              </w:tc>
              <w:tc>
                <w:tcPr>
                  <w:tcW w:w="659" w:type="dxa"/>
                  <w:noWrap w:val="0"/>
                  <w:vAlign w:val="center"/>
                </w:tcPr>
                <w:p w14:paraId="6755996D">
                  <w:pPr>
                    <w:jc w:val="center"/>
                    <w:rPr>
                      <w:rFonts w:hint="default" w:ascii="Times New Roman" w:hAnsi="Times New Roman" w:cs="Times New Roman"/>
                      <w:color w:val="auto"/>
                      <w:lang w:val="en-US" w:eastAsia="zh-CN"/>
                    </w:rPr>
                  </w:pPr>
                  <w:r>
                    <w:rPr>
                      <w:rFonts w:hint="eastAsia" w:cs="Times New Roman"/>
                      <w:color w:val="auto"/>
                      <w:lang w:val="en-US" w:eastAsia="zh-CN"/>
                    </w:rPr>
                    <w:t>6</w:t>
                  </w:r>
                  <w:r>
                    <w:rPr>
                      <w:rFonts w:hint="default" w:ascii="Times New Roman" w:hAnsi="Times New Roman" w:cs="Times New Roman"/>
                      <w:color w:val="auto"/>
                      <w:lang w:val="en-US" w:eastAsia="zh-CN"/>
                    </w:rPr>
                    <w:t>0%</w:t>
                  </w:r>
                </w:p>
              </w:tc>
              <w:tc>
                <w:tcPr>
                  <w:tcW w:w="1083" w:type="dxa"/>
                  <w:noWrap w:val="0"/>
                  <w:vAlign w:val="center"/>
                </w:tcPr>
                <w:p w14:paraId="5DC87F5D">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858" w:type="dxa"/>
                  <w:noWrap w:val="0"/>
                  <w:vAlign w:val="center"/>
                </w:tcPr>
                <w:p w14:paraId="02216C81">
                  <w:pPr>
                    <w:jc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1433" w:type="dxa"/>
                  <w:noWrap w:val="0"/>
                  <w:vAlign w:val="center"/>
                </w:tcPr>
                <w:p w14:paraId="6D8D8CBC">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0.0146</w:t>
                  </w:r>
                </w:p>
              </w:tc>
            </w:tr>
          </w:tbl>
          <w:p w14:paraId="2818FFC5">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根据上表，项目食堂油烟排放</w:t>
            </w:r>
            <w:r>
              <w:rPr>
                <w:rFonts w:hint="default" w:ascii="Times New Roman" w:hAnsi="Times New Roman" w:cs="Times New Roman"/>
                <w:color w:val="auto"/>
                <w:sz w:val="24"/>
                <w:szCs w:val="24"/>
                <w:lang w:val="en-US" w:eastAsia="zh-CN"/>
              </w:rPr>
              <w:t>满足《饮食业油烟排放标准（试行）》（GB28083-2001）小型规模标准</w:t>
            </w:r>
            <w:r>
              <w:rPr>
                <w:rFonts w:hint="eastAsia" w:cs="Times New Roman"/>
                <w:color w:val="auto"/>
                <w:sz w:val="24"/>
                <w:szCs w:val="24"/>
                <w:lang w:val="en-US" w:eastAsia="zh-CN"/>
              </w:rPr>
              <w:t>限值</w:t>
            </w:r>
            <w:r>
              <w:rPr>
                <w:rFonts w:hint="default" w:ascii="Times New Roman" w:hAnsi="Times New Roman" w:cs="Times New Roman"/>
                <w:color w:val="auto"/>
                <w:sz w:val="24"/>
                <w:szCs w:val="24"/>
                <w:lang w:val="en-US" w:eastAsia="zh-CN"/>
              </w:rPr>
              <w:t>。</w:t>
            </w:r>
          </w:p>
          <w:p w14:paraId="11104142">
            <w:pPr>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根据</w:t>
            </w:r>
            <w:r>
              <w:rPr>
                <w:rFonts w:hint="eastAsia"/>
                <w:color w:val="auto"/>
                <w:sz w:val="24"/>
                <w:szCs w:val="24"/>
                <w:lang w:val="en-US" w:eastAsia="zh-CN"/>
              </w:rPr>
              <w:t>上述</w:t>
            </w:r>
            <w:r>
              <w:rPr>
                <w:rFonts w:hint="default"/>
                <w:color w:val="auto"/>
                <w:sz w:val="24"/>
                <w:szCs w:val="24"/>
                <w:lang w:val="en-US" w:eastAsia="zh-CN"/>
              </w:rPr>
              <w:t>工程分析，项目废气污染物排放源的治理措施及排放方式一览表4-</w:t>
            </w:r>
            <w:r>
              <w:rPr>
                <w:rFonts w:hint="eastAsia"/>
                <w:color w:val="auto"/>
                <w:sz w:val="24"/>
                <w:szCs w:val="24"/>
                <w:lang w:val="en-US" w:eastAsia="zh-CN"/>
              </w:rPr>
              <w:t>2</w:t>
            </w:r>
            <w:r>
              <w:rPr>
                <w:rFonts w:hint="default"/>
                <w:color w:val="auto"/>
                <w:sz w:val="24"/>
                <w:szCs w:val="24"/>
                <w:lang w:val="en-US" w:eastAsia="zh-CN"/>
              </w:rPr>
              <w:t>。</w:t>
            </w:r>
          </w:p>
          <w:p w14:paraId="0F7FB17D">
            <w:pPr>
              <w:spacing w:line="240" w:lineRule="auto"/>
              <w:jc w:val="center"/>
              <w:rPr>
                <w:rFonts w:hint="default"/>
                <w:b/>
                <w:bCs/>
                <w:color w:val="auto"/>
                <w:sz w:val="21"/>
                <w:szCs w:val="21"/>
                <w:highlight w:val="none"/>
                <w:lang w:val="en-US" w:eastAsia="zh-CN"/>
              </w:rPr>
            </w:pPr>
            <w:r>
              <w:rPr>
                <w:rFonts w:hint="default"/>
                <w:b/>
                <w:bCs/>
                <w:color w:val="auto"/>
                <w:sz w:val="21"/>
                <w:szCs w:val="21"/>
                <w:highlight w:val="none"/>
              </w:rPr>
              <w:t>表</w:t>
            </w:r>
            <w:r>
              <w:rPr>
                <w:rFonts w:hint="default"/>
                <w:b/>
                <w:bCs/>
                <w:color w:val="auto"/>
                <w:sz w:val="21"/>
                <w:szCs w:val="21"/>
                <w:highlight w:val="none"/>
                <w:lang w:val="en-US" w:eastAsia="zh-CN"/>
              </w:rPr>
              <w:t>4-</w:t>
            </w:r>
            <w:r>
              <w:rPr>
                <w:rFonts w:hint="eastAsia"/>
                <w:b/>
                <w:bCs/>
                <w:color w:val="auto"/>
                <w:sz w:val="21"/>
                <w:szCs w:val="21"/>
                <w:highlight w:val="none"/>
                <w:lang w:val="en-US" w:eastAsia="zh-CN"/>
              </w:rPr>
              <w:t xml:space="preserve">2  </w:t>
            </w:r>
            <w:r>
              <w:rPr>
                <w:rFonts w:hint="default"/>
                <w:b/>
                <w:bCs/>
                <w:color w:val="auto"/>
                <w:sz w:val="21"/>
                <w:szCs w:val="21"/>
                <w:highlight w:val="none"/>
                <w:lang w:val="en-US" w:eastAsia="zh-CN"/>
              </w:rPr>
              <w:t>废气污染物排放源的治理措施及排放方式一览表</w:t>
            </w:r>
          </w:p>
          <w:tbl>
            <w:tblPr>
              <w:tblStyle w:val="2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9"/>
              <w:gridCol w:w="672"/>
              <w:gridCol w:w="527"/>
              <w:gridCol w:w="1005"/>
              <w:gridCol w:w="757"/>
              <w:gridCol w:w="1486"/>
              <w:gridCol w:w="1368"/>
              <w:gridCol w:w="1023"/>
              <w:gridCol w:w="1038"/>
            </w:tblGrid>
            <w:tr w14:paraId="186E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19" w:type="dxa"/>
                  <w:vMerge w:val="restart"/>
                  <w:noWrap w:val="0"/>
                  <w:tcMar>
                    <w:top w:w="10" w:type="dxa"/>
                    <w:left w:w="10" w:type="dxa"/>
                    <w:right w:w="10" w:type="dxa"/>
                  </w:tcMar>
                  <w:vAlign w:val="center"/>
                </w:tcPr>
                <w:p w14:paraId="4F63AEB0">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序号</w:t>
                  </w:r>
                </w:p>
              </w:tc>
              <w:tc>
                <w:tcPr>
                  <w:tcW w:w="672" w:type="dxa"/>
                  <w:vMerge w:val="restart"/>
                  <w:noWrap w:val="0"/>
                  <w:tcMar>
                    <w:top w:w="10" w:type="dxa"/>
                    <w:left w:w="10" w:type="dxa"/>
                    <w:right w:w="10" w:type="dxa"/>
                  </w:tcMar>
                  <w:vAlign w:val="center"/>
                </w:tcPr>
                <w:p w14:paraId="273CC202">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产污环节</w:t>
                  </w:r>
                </w:p>
              </w:tc>
              <w:tc>
                <w:tcPr>
                  <w:tcW w:w="527" w:type="dxa"/>
                  <w:vMerge w:val="restart"/>
                  <w:noWrap w:val="0"/>
                  <w:tcMar>
                    <w:top w:w="10" w:type="dxa"/>
                    <w:left w:w="10" w:type="dxa"/>
                    <w:right w:w="10" w:type="dxa"/>
                  </w:tcMar>
                  <w:vAlign w:val="center"/>
                </w:tcPr>
                <w:p w14:paraId="77291071">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污染物</w:t>
                  </w:r>
                </w:p>
              </w:tc>
              <w:tc>
                <w:tcPr>
                  <w:tcW w:w="1005" w:type="dxa"/>
                  <w:vMerge w:val="restart"/>
                  <w:noWrap w:val="0"/>
                  <w:tcMar>
                    <w:top w:w="10" w:type="dxa"/>
                    <w:left w:w="10" w:type="dxa"/>
                    <w:right w:w="10" w:type="dxa"/>
                  </w:tcMar>
                  <w:vAlign w:val="center"/>
                </w:tcPr>
                <w:p w14:paraId="5EA24F77">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主要污染防治措施</w:t>
                  </w:r>
                </w:p>
              </w:tc>
              <w:tc>
                <w:tcPr>
                  <w:tcW w:w="757" w:type="dxa"/>
                  <w:vMerge w:val="restart"/>
                  <w:noWrap w:val="0"/>
                  <w:tcMar>
                    <w:top w:w="10" w:type="dxa"/>
                    <w:left w:w="10" w:type="dxa"/>
                    <w:right w:w="10" w:type="dxa"/>
                  </w:tcMar>
                  <w:vAlign w:val="center"/>
                </w:tcPr>
                <w:p w14:paraId="181BE580">
                  <w:pPr>
                    <w:pStyle w:val="42"/>
                    <w:bidi w:val="0"/>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排放方式</w:t>
                  </w:r>
                </w:p>
              </w:tc>
              <w:tc>
                <w:tcPr>
                  <w:tcW w:w="2854" w:type="dxa"/>
                  <w:gridSpan w:val="2"/>
                  <w:noWrap w:val="0"/>
                  <w:tcMar>
                    <w:top w:w="10" w:type="dxa"/>
                    <w:left w:w="10" w:type="dxa"/>
                    <w:right w:w="10" w:type="dxa"/>
                  </w:tcMar>
                  <w:vAlign w:val="center"/>
                </w:tcPr>
                <w:p w14:paraId="40308D07">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国家或地方污染物排放标准</w:t>
                  </w:r>
                </w:p>
              </w:tc>
              <w:tc>
                <w:tcPr>
                  <w:tcW w:w="1023" w:type="dxa"/>
                  <w:vMerge w:val="restart"/>
                  <w:noWrap w:val="0"/>
                  <w:tcMar>
                    <w:top w:w="10" w:type="dxa"/>
                    <w:left w:w="10" w:type="dxa"/>
                    <w:right w:w="10" w:type="dxa"/>
                  </w:tcMar>
                  <w:vAlign w:val="center"/>
                </w:tcPr>
                <w:p w14:paraId="4552B5DD">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年排放量（kg/a）</w:t>
                  </w:r>
                </w:p>
              </w:tc>
              <w:tc>
                <w:tcPr>
                  <w:tcW w:w="1038" w:type="dxa"/>
                  <w:vMerge w:val="restart"/>
                  <w:noWrap w:val="0"/>
                  <w:tcMar>
                    <w:top w:w="10" w:type="dxa"/>
                    <w:left w:w="10" w:type="dxa"/>
                    <w:right w:w="10" w:type="dxa"/>
                  </w:tcMar>
                  <w:vAlign w:val="center"/>
                </w:tcPr>
                <w:p w14:paraId="230DE03B">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排放速率（</w:t>
                  </w:r>
                  <w:r>
                    <w:rPr>
                      <w:rFonts w:hint="eastAsia" w:cs="Times New Roman"/>
                      <w:b/>
                      <w:bCs/>
                      <w:color w:val="auto"/>
                      <w:sz w:val="21"/>
                      <w:szCs w:val="21"/>
                      <w:lang w:val="en-US" w:eastAsia="zh-CN"/>
                    </w:rPr>
                    <w:t>k</w:t>
                  </w:r>
                  <w:r>
                    <w:rPr>
                      <w:rFonts w:hint="default" w:ascii="Times New Roman" w:hAnsi="Times New Roman" w:cs="Times New Roman"/>
                      <w:b/>
                      <w:bCs/>
                      <w:color w:val="auto"/>
                      <w:sz w:val="21"/>
                      <w:szCs w:val="21"/>
                      <w:lang w:val="en-US" w:eastAsia="zh-CN"/>
                    </w:rPr>
                    <w:t>g/h）</w:t>
                  </w:r>
                </w:p>
              </w:tc>
            </w:tr>
            <w:tr w14:paraId="79FC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19" w:type="dxa"/>
                  <w:vMerge w:val="continue"/>
                  <w:noWrap w:val="0"/>
                  <w:tcMar>
                    <w:top w:w="10" w:type="dxa"/>
                    <w:left w:w="10" w:type="dxa"/>
                    <w:right w:w="10" w:type="dxa"/>
                  </w:tcMar>
                  <w:vAlign w:val="center"/>
                </w:tcPr>
                <w:p w14:paraId="08D45A68">
                  <w:pPr>
                    <w:pStyle w:val="42"/>
                    <w:bidi w:val="0"/>
                    <w:rPr>
                      <w:rFonts w:hint="default" w:ascii="Times New Roman" w:hAnsi="Times New Roman" w:cs="Times New Roman"/>
                      <w:color w:val="auto"/>
                      <w:sz w:val="21"/>
                      <w:szCs w:val="21"/>
                    </w:rPr>
                  </w:pPr>
                </w:p>
              </w:tc>
              <w:tc>
                <w:tcPr>
                  <w:tcW w:w="672" w:type="dxa"/>
                  <w:vMerge w:val="continue"/>
                  <w:noWrap w:val="0"/>
                  <w:tcMar>
                    <w:top w:w="10" w:type="dxa"/>
                    <w:left w:w="10" w:type="dxa"/>
                    <w:right w:w="10" w:type="dxa"/>
                  </w:tcMar>
                  <w:vAlign w:val="center"/>
                </w:tcPr>
                <w:p w14:paraId="13CA7737">
                  <w:pPr>
                    <w:pStyle w:val="42"/>
                    <w:bidi w:val="0"/>
                    <w:rPr>
                      <w:rFonts w:hint="default" w:ascii="Times New Roman" w:hAnsi="Times New Roman" w:cs="Times New Roman"/>
                      <w:color w:val="auto"/>
                      <w:sz w:val="21"/>
                      <w:szCs w:val="21"/>
                    </w:rPr>
                  </w:pPr>
                </w:p>
              </w:tc>
              <w:tc>
                <w:tcPr>
                  <w:tcW w:w="527" w:type="dxa"/>
                  <w:vMerge w:val="continue"/>
                  <w:noWrap w:val="0"/>
                  <w:tcMar>
                    <w:top w:w="10" w:type="dxa"/>
                    <w:left w:w="10" w:type="dxa"/>
                    <w:right w:w="10" w:type="dxa"/>
                  </w:tcMar>
                  <w:vAlign w:val="center"/>
                </w:tcPr>
                <w:p w14:paraId="1490D20B">
                  <w:pPr>
                    <w:pStyle w:val="42"/>
                    <w:bidi w:val="0"/>
                    <w:rPr>
                      <w:rFonts w:hint="default" w:ascii="Times New Roman" w:hAnsi="Times New Roman" w:cs="Times New Roman"/>
                      <w:color w:val="auto"/>
                      <w:sz w:val="21"/>
                      <w:szCs w:val="21"/>
                    </w:rPr>
                  </w:pPr>
                </w:p>
              </w:tc>
              <w:tc>
                <w:tcPr>
                  <w:tcW w:w="1005" w:type="dxa"/>
                  <w:vMerge w:val="continue"/>
                  <w:noWrap w:val="0"/>
                  <w:tcMar>
                    <w:top w:w="10" w:type="dxa"/>
                    <w:left w:w="10" w:type="dxa"/>
                    <w:right w:w="10" w:type="dxa"/>
                  </w:tcMar>
                  <w:vAlign w:val="center"/>
                </w:tcPr>
                <w:p w14:paraId="62DBD6D0">
                  <w:pPr>
                    <w:pStyle w:val="42"/>
                    <w:bidi w:val="0"/>
                    <w:rPr>
                      <w:rFonts w:hint="default" w:ascii="Times New Roman" w:hAnsi="Times New Roman" w:cs="Times New Roman"/>
                      <w:color w:val="auto"/>
                      <w:sz w:val="21"/>
                      <w:szCs w:val="21"/>
                    </w:rPr>
                  </w:pPr>
                </w:p>
              </w:tc>
              <w:tc>
                <w:tcPr>
                  <w:tcW w:w="757" w:type="dxa"/>
                  <w:vMerge w:val="continue"/>
                  <w:noWrap w:val="0"/>
                  <w:tcMar>
                    <w:top w:w="10" w:type="dxa"/>
                    <w:left w:w="10" w:type="dxa"/>
                    <w:right w:w="10" w:type="dxa"/>
                  </w:tcMar>
                  <w:vAlign w:val="center"/>
                </w:tcPr>
                <w:p w14:paraId="2B20C5C7">
                  <w:pPr>
                    <w:pStyle w:val="42"/>
                    <w:bidi w:val="0"/>
                    <w:rPr>
                      <w:rFonts w:hint="default" w:ascii="Times New Roman" w:hAnsi="Times New Roman" w:cs="Times New Roman"/>
                      <w:color w:val="auto"/>
                      <w:sz w:val="21"/>
                      <w:szCs w:val="21"/>
                    </w:rPr>
                  </w:pPr>
                </w:p>
              </w:tc>
              <w:tc>
                <w:tcPr>
                  <w:tcW w:w="1486" w:type="dxa"/>
                  <w:noWrap w:val="0"/>
                  <w:tcMar>
                    <w:top w:w="10" w:type="dxa"/>
                    <w:left w:w="10" w:type="dxa"/>
                    <w:right w:w="10" w:type="dxa"/>
                  </w:tcMar>
                  <w:vAlign w:val="center"/>
                </w:tcPr>
                <w:p w14:paraId="46F6A264">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标准名称</w:t>
                  </w:r>
                </w:p>
              </w:tc>
              <w:tc>
                <w:tcPr>
                  <w:tcW w:w="1368" w:type="dxa"/>
                  <w:noWrap w:val="0"/>
                  <w:tcMar>
                    <w:top w:w="10" w:type="dxa"/>
                    <w:left w:w="10" w:type="dxa"/>
                    <w:right w:w="10" w:type="dxa"/>
                  </w:tcMar>
                  <w:vAlign w:val="center"/>
                </w:tcPr>
                <w:p w14:paraId="4EE5B5A4">
                  <w:pPr>
                    <w:pStyle w:val="42"/>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浓度限值（mg/m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lang w:val="en-US" w:eastAsia="zh-CN"/>
                    </w:rPr>
                    <w:t>）</w:t>
                  </w:r>
                </w:p>
              </w:tc>
              <w:tc>
                <w:tcPr>
                  <w:tcW w:w="1023" w:type="dxa"/>
                  <w:vMerge w:val="continue"/>
                  <w:noWrap w:val="0"/>
                  <w:tcMar>
                    <w:top w:w="10" w:type="dxa"/>
                    <w:left w:w="10" w:type="dxa"/>
                    <w:right w:w="10" w:type="dxa"/>
                  </w:tcMar>
                  <w:vAlign w:val="center"/>
                </w:tcPr>
                <w:p w14:paraId="38A83A0E">
                  <w:pPr>
                    <w:pStyle w:val="42"/>
                    <w:bidi w:val="0"/>
                    <w:rPr>
                      <w:rFonts w:hint="default" w:ascii="Times New Roman" w:hAnsi="Times New Roman" w:cs="Times New Roman"/>
                      <w:color w:val="auto"/>
                      <w:sz w:val="21"/>
                      <w:szCs w:val="21"/>
                    </w:rPr>
                  </w:pPr>
                </w:p>
              </w:tc>
              <w:tc>
                <w:tcPr>
                  <w:tcW w:w="1038" w:type="dxa"/>
                  <w:vMerge w:val="continue"/>
                  <w:noWrap w:val="0"/>
                  <w:tcMar>
                    <w:top w:w="10" w:type="dxa"/>
                    <w:left w:w="10" w:type="dxa"/>
                    <w:right w:w="10" w:type="dxa"/>
                  </w:tcMar>
                  <w:vAlign w:val="center"/>
                </w:tcPr>
                <w:p w14:paraId="14C6E8AB">
                  <w:pPr>
                    <w:pStyle w:val="42"/>
                    <w:bidi w:val="0"/>
                    <w:rPr>
                      <w:rFonts w:hint="default" w:ascii="Times New Roman" w:hAnsi="Times New Roman" w:cs="Times New Roman"/>
                      <w:color w:val="auto"/>
                      <w:sz w:val="21"/>
                      <w:szCs w:val="21"/>
                    </w:rPr>
                  </w:pPr>
                </w:p>
              </w:tc>
            </w:tr>
            <w:tr w14:paraId="194F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419" w:type="dxa"/>
                  <w:vMerge w:val="restart"/>
                  <w:noWrap w:val="0"/>
                  <w:tcMar>
                    <w:top w:w="10" w:type="dxa"/>
                    <w:left w:w="10" w:type="dxa"/>
                    <w:right w:w="10" w:type="dxa"/>
                  </w:tcMar>
                  <w:vAlign w:val="center"/>
                </w:tcPr>
                <w:p w14:paraId="58CDBDDB">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672" w:type="dxa"/>
                  <w:vMerge w:val="restart"/>
                  <w:noWrap w:val="0"/>
                  <w:tcMar>
                    <w:top w:w="10" w:type="dxa"/>
                    <w:left w:w="10" w:type="dxa"/>
                    <w:right w:w="10" w:type="dxa"/>
                  </w:tcMar>
                  <w:vAlign w:val="center"/>
                </w:tcPr>
                <w:p w14:paraId="14A68FEE">
                  <w:pPr>
                    <w:pStyle w:val="42"/>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一体化污水处理站</w:t>
                  </w:r>
                  <w:r>
                    <w:rPr>
                      <w:rFonts w:hint="eastAsia" w:cs="Times New Roman"/>
                      <w:color w:val="auto"/>
                      <w:sz w:val="21"/>
                      <w:szCs w:val="21"/>
                      <w:lang w:val="en-US" w:eastAsia="zh-CN"/>
                    </w:rPr>
                    <w:t>、化粪池</w:t>
                  </w:r>
                </w:p>
              </w:tc>
              <w:tc>
                <w:tcPr>
                  <w:tcW w:w="527" w:type="dxa"/>
                  <w:noWrap w:val="0"/>
                  <w:tcMar>
                    <w:top w:w="10" w:type="dxa"/>
                    <w:left w:w="10" w:type="dxa"/>
                    <w:right w:w="10" w:type="dxa"/>
                  </w:tcMar>
                  <w:vAlign w:val="center"/>
                </w:tcPr>
                <w:p w14:paraId="652B5200">
                  <w:pPr>
                    <w:pStyle w:val="4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tc>
              <w:tc>
                <w:tcPr>
                  <w:tcW w:w="1005" w:type="dxa"/>
                  <w:vMerge w:val="restart"/>
                  <w:noWrap w:val="0"/>
                  <w:tcMar>
                    <w:top w:w="10" w:type="dxa"/>
                    <w:left w:w="10" w:type="dxa"/>
                    <w:right w:w="10" w:type="dxa"/>
                  </w:tcMar>
                  <w:vAlign w:val="center"/>
                </w:tcPr>
                <w:p w14:paraId="666E3026">
                  <w:pPr>
                    <w:pStyle w:val="4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一体化污水处理站密闭处理</w:t>
                  </w:r>
                  <w:r>
                    <w:rPr>
                      <w:rFonts w:hint="eastAsia" w:cs="Times New Roman"/>
                      <w:color w:val="auto"/>
                      <w:sz w:val="21"/>
                      <w:szCs w:val="21"/>
                      <w:lang w:val="en-US" w:eastAsia="zh-CN"/>
                    </w:rPr>
                    <w:t>；</w:t>
                  </w:r>
                </w:p>
                <w:p w14:paraId="67120448">
                  <w:pPr>
                    <w:pStyle w:val="42"/>
                    <w:bidi w:val="0"/>
                    <w:rPr>
                      <w:rFonts w:hint="default" w:ascii="Times New Roman" w:hAnsi="Times New Roman" w:cs="Times New Roman"/>
                      <w:color w:val="auto"/>
                      <w:sz w:val="21"/>
                      <w:szCs w:val="21"/>
                    </w:rPr>
                  </w:pPr>
                  <w:r>
                    <w:rPr>
                      <w:rFonts w:hint="eastAsia" w:cs="Times New Roman"/>
                      <w:color w:val="auto"/>
                      <w:sz w:val="21"/>
                      <w:szCs w:val="21"/>
                      <w:lang w:val="en-US" w:eastAsia="zh-CN"/>
                    </w:rPr>
                    <w:t>化粪池异味：采用地埋式。</w:t>
                  </w:r>
                </w:p>
              </w:tc>
              <w:tc>
                <w:tcPr>
                  <w:tcW w:w="757" w:type="dxa"/>
                  <w:noWrap w:val="0"/>
                  <w:tcMar>
                    <w:top w:w="10" w:type="dxa"/>
                    <w:left w:w="10" w:type="dxa"/>
                    <w:right w:w="10" w:type="dxa"/>
                  </w:tcMar>
                  <w:vAlign w:val="center"/>
                </w:tcPr>
                <w:p w14:paraId="4E9BB5B9">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无组织</w:t>
                  </w:r>
                </w:p>
              </w:tc>
              <w:tc>
                <w:tcPr>
                  <w:tcW w:w="1486" w:type="dxa"/>
                  <w:vMerge w:val="restart"/>
                  <w:noWrap w:val="0"/>
                  <w:tcMar>
                    <w:top w:w="10" w:type="dxa"/>
                    <w:left w:w="10" w:type="dxa"/>
                    <w:right w:w="10" w:type="dxa"/>
                  </w:tcMar>
                  <w:vAlign w:val="center"/>
                </w:tcPr>
                <w:p w14:paraId="481C9B2F">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《医疗机构水污染物排放标准》GB18466-2005中表3标准值</w:t>
                  </w:r>
                </w:p>
              </w:tc>
              <w:tc>
                <w:tcPr>
                  <w:tcW w:w="1368" w:type="dxa"/>
                  <w:noWrap w:val="0"/>
                  <w:tcMar>
                    <w:top w:w="10" w:type="dxa"/>
                    <w:left w:w="10" w:type="dxa"/>
                    <w:right w:w="10" w:type="dxa"/>
                  </w:tcMar>
                  <w:vAlign w:val="center"/>
                </w:tcPr>
                <w:p w14:paraId="207A8FA2">
                  <w:pPr>
                    <w:pStyle w:val="42"/>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023" w:type="dxa"/>
                  <w:noWrap w:val="0"/>
                  <w:tcMar>
                    <w:top w:w="10" w:type="dxa"/>
                    <w:left w:w="10" w:type="dxa"/>
                    <w:right w:w="10" w:type="dxa"/>
                  </w:tcMar>
                  <w:vAlign w:val="center"/>
                </w:tcPr>
                <w:p w14:paraId="42306742">
                  <w:pPr>
                    <w:pStyle w:val="42"/>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11.9</w:t>
                  </w:r>
                  <w:r>
                    <w:rPr>
                      <w:rFonts w:hint="eastAsia" w:cs="Times New Roman"/>
                      <w:color w:val="auto"/>
                      <w:sz w:val="21"/>
                      <w:szCs w:val="21"/>
                      <w:highlight w:val="none"/>
                      <w:lang w:val="en-US" w:eastAsia="zh-CN"/>
                    </w:rPr>
                    <w:t>5</w:t>
                  </w:r>
                </w:p>
              </w:tc>
              <w:tc>
                <w:tcPr>
                  <w:tcW w:w="1038" w:type="dxa"/>
                  <w:noWrap w:val="0"/>
                  <w:tcMar>
                    <w:top w:w="10" w:type="dxa"/>
                    <w:left w:w="10" w:type="dxa"/>
                    <w:right w:w="10" w:type="dxa"/>
                  </w:tcMar>
                  <w:vAlign w:val="center"/>
                </w:tcPr>
                <w:p w14:paraId="0DDB9E44">
                  <w:pPr>
                    <w:pStyle w:val="42"/>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0.0014</w:t>
                  </w:r>
                </w:p>
              </w:tc>
            </w:tr>
            <w:tr w14:paraId="1520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9" w:type="dxa"/>
                  <w:vMerge w:val="continue"/>
                  <w:noWrap w:val="0"/>
                  <w:tcMar>
                    <w:top w:w="10" w:type="dxa"/>
                    <w:left w:w="10" w:type="dxa"/>
                    <w:right w:w="10" w:type="dxa"/>
                  </w:tcMar>
                  <w:vAlign w:val="center"/>
                </w:tcPr>
                <w:p w14:paraId="187E3EC3">
                  <w:pPr>
                    <w:pStyle w:val="42"/>
                    <w:bidi w:val="0"/>
                    <w:rPr>
                      <w:rFonts w:hint="default" w:ascii="Times New Roman" w:hAnsi="Times New Roman" w:cs="Times New Roman"/>
                      <w:color w:val="auto"/>
                      <w:sz w:val="21"/>
                      <w:szCs w:val="21"/>
                    </w:rPr>
                  </w:pPr>
                </w:p>
              </w:tc>
              <w:tc>
                <w:tcPr>
                  <w:tcW w:w="672" w:type="dxa"/>
                  <w:vMerge w:val="continue"/>
                  <w:noWrap w:val="0"/>
                  <w:tcMar>
                    <w:top w:w="10" w:type="dxa"/>
                    <w:left w:w="10" w:type="dxa"/>
                    <w:right w:w="10" w:type="dxa"/>
                  </w:tcMar>
                  <w:vAlign w:val="center"/>
                </w:tcPr>
                <w:p w14:paraId="140D3DFF">
                  <w:pPr>
                    <w:pStyle w:val="42"/>
                    <w:bidi w:val="0"/>
                    <w:rPr>
                      <w:rFonts w:hint="default" w:ascii="Times New Roman" w:hAnsi="Times New Roman" w:cs="Times New Roman"/>
                      <w:color w:val="auto"/>
                      <w:sz w:val="21"/>
                      <w:szCs w:val="21"/>
                    </w:rPr>
                  </w:pPr>
                </w:p>
              </w:tc>
              <w:tc>
                <w:tcPr>
                  <w:tcW w:w="527" w:type="dxa"/>
                  <w:noWrap w:val="0"/>
                  <w:tcMar>
                    <w:top w:w="10" w:type="dxa"/>
                    <w:left w:w="10" w:type="dxa"/>
                    <w:right w:w="10" w:type="dxa"/>
                  </w:tcMar>
                  <w:vAlign w:val="center"/>
                </w:tcPr>
                <w:p w14:paraId="78FEA331">
                  <w:pPr>
                    <w:pStyle w:val="42"/>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硫化氢</w:t>
                  </w:r>
                </w:p>
              </w:tc>
              <w:tc>
                <w:tcPr>
                  <w:tcW w:w="1005" w:type="dxa"/>
                  <w:vMerge w:val="continue"/>
                  <w:noWrap w:val="0"/>
                  <w:tcMar>
                    <w:top w:w="10" w:type="dxa"/>
                    <w:left w:w="10" w:type="dxa"/>
                    <w:right w:w="10" w:type="dxa"/>
                  </w:tcMar>
                  <w:vAlign w:val="center"/>
                </w:tcPr>
                <w:p w14:paraId="5A849BF2">
                  <w:pPr>
                    <w:pStyle w:val="42"/>
                    <w:bidi w:val="0"/>
                    <w:rPr>
                      <w:rFonts w:hint="default" w:ascii="Times New Roman" w:hAnsi="Times New Roman" w:cs="Times New Roman"/>
                      <w:color w:val="auto"/>
                      <w:sz w:val="21"/>
                      <w:szCs w:val="21"/>
                    </w:rPr>
                  </w:pPr>
                </w:p>
              </w:tc>
              <w:tc>
                <w:tcPr>
                  <w:tcW w:w="757" w:type="dxa"/>
                  <w:noWrap w:val="0"/>
                  <w:tcMar>
                    <w:top w:w="10" w:type="dxa"/>
                    <w:left w:w="10" w:type="dxa"/>
                    <w:right w:w="10" w:type="dxa"/>
                  </w:tcMar>
                  <w:vAlign w:val="center"/>
                </w:tcPr>
                <w:p w14:paraId="58422AC6">
                  <w:pPr>
                    <w:pStyle w:val="42"/>
                    <w:bidi w:val="0"/>
                    <w:rPr>
                      <w:rFonts w:hint="default" w:ascii="Times New Roman" w:hAnsi="Times New Roman" w:cs="Times New Roman"/>
                      <w:color w:val="auto"/>
                      <w:sz w:val="21"/>
                      <w:szCs w:val="21"/>
                    </w:rPr>
                  </w:pPr>
                  <w:r>
                    <w:rPr>
                      <w:rFonts w:hint="eastAsia" w:cs="Times New Roman"/>
                      <w:color w:val="auto"/>
                      <w:sz w:val="21"/>
                      <w:szCs w:val="21"/>
                      <w:lang w:val="en-US" w:eastAsia="zh-CN"/>
                    </w:rPr>
                    <w:t>无组织</w:t>
                  </w:r>
                </w:p>
              </w:tc>
              <w:tc>
                <w:tcPr>
                  <w:tcW w:w="1486" w:type="dxa"/>
                  <w:vMerge w:val="continue"/>
                  <w:noWrap w:val="0"/>
                  <w:tcMar>
                    <w:top w:w="10" w:type="dxa"/>
                    <w:left w:w="10" w:type="dxa"/>
                    <w:right w:w="10" w:type="dxa"/>
                  </w:tcMar>
                  <w:vAlign w:val="center"/>
                </w:tcPr>
                <w:p w14:paraId="4F4EF9F6">
                  <w:pPr>
                    <w:pStyle w:val="42"/>
                    <w:bidi w:val="0"/>
                    <w:rPr>
                      <w:rFonts w:hint="default" w:ascii="Times New Roman" w:hAnsi="Times New Roman" w:cs="Times New Roman"/>
                      <w:color w:val="auto"/>
                      <w:sz w:val="21"/>
                      <w:szCs w:val="21"/>
                    </w:rPr>
                  </w:pPr>
                </w:p>
              </w:tc>
              <w:tc>
                <w:tcPr>
                  <w:tcW w:w="1368" w:type="dxa"/>
                  <w:noWrap w:val="0"/>
                  <w:tcMar>
                    <w:top w:w="10" w:type="dxa"/>
                    <w:left w:w="10" w:type="dxa"/>
                    <w:right w:w="10" w:type="dxa"/>
                  </w:tcMar>
                  <w:vAlign w:val="center"/>
                </w:tcPr>
                <w:p w14:paraId="56F2B0DB">
                  <w:pPr>
                    <w:pStyle w:val="42"/>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w:t>
                  </w:r>
                </w:p>
              </w:tc>
              <w:tc>
                <w:tcPr>
                  <w:tcW w:w="1023" w:type="dxa"/>
                  <w:noWrap w:val="0"/>
                  <w:tcMar>
                    <w:top w:w="10" w:type="dxa"/>
                    <w:left w:w="10" w:type="dxa"/>
                    <w:right w:w="10" w:type="dxa"/>
                  </w:tcMar>
                  <w:vAlign w:val="center"/>
                </w:tcPr>
                <w:p w14:paraId="245DABDB">
                  <w:pPr>
                    <w:pStyle w:val="42"/>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0.46</w:t>
                  </w:r>
                </w:p>
              </w:tc>
              <w:tc>
                <w:tcPr>
                  <w:tcW w:w="1038" w:type="dxa"/>
                  <w:noWrap w:val="0"/>
                  <w:tcMar>
                    <w:top w:w="10" w:type="dxa"/>
                    <w:left w:w="10" w:type="dxa"/>
                    <w:right w:w="10" w:type="dxa"/>
                  </w:tcMar>
                  <w:vAlign w:val="center"/>
                </w:tcPr>
                <w:p w14:paraId="06E9D091">
                  <w:pPr>
                    <w:pStyle w:val="42"/>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-5</w:t>
                  </w:r>
                </w:p>
              </w:tc>
            </w:tr>
            <w:tr w14:paraId="540A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trPr>
              <w:tc>
                <w:tcPr>
                  <w:tcW w:w="419" w:type="dxa"/>
                  <w:noWrap w:val="0"/>
                  <w:tcMar>
                    <w:top w:w="10" w:type="dxa"/>
                    <w:left w:w="10" w:type="dxa"/>
                    <w:right w:w="10" w:type="dxa"/>
                  </w:tcMar>
                  <w:vAlign w:val="center"/>
                </w:tcPr>
                <w:p w14:paraId="13AB13C0">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672" w:type="dxa"/>
                  <w:noWrap w:val="0"/>
                  <w:tcMar>
                    <w:top w:w="10" w:type="dxa"/>
                    <w:left w:w="10" w:type="dxa"/>
                    <w:right w:w="10" w:type="dxa"/>
                  </w:tcMar>
                  <w:vAlign w:val="center"/>
                </w:tcPr>
                <w:p w14:paraId="58E1CBF9">
                  <w:pPr>
                    <w:pStyle w:val="42"/>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食堂</w:t>
                  </w:r>
                </w:p>
              </w:tc>
              <w:tc>
                <w:tcPr>
                  <w:tcW w:w="527" w:type="dxa"/>
                  <w:noWrap w:val="0"/>
                  <w:tcMar>
                    <w:top w:w="10" w:type="dxa"/>
                    <w:left w:w="10" w:type="dxa"/>
                    <w:right w:w="10" w:type="dxa"/>
                  </w:tcMar>
                  <w:vAlign w:val="center"/>
                </w:tcPr>
                <w:p w14:paraId="0F19C389">
                  <w:pPr>
                    <w:pStyle w:val="42"/>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油烟</w:t>
                  </w:r>
                </w:p>
              </w:tc>
              <w:tc>
                <w:tcPr>
                  <w:tcW w:w="1005" w:type="dxa"/>
                  <w:noWrap w:val="0"/>
                  <w:tcMar>
                    <w:top w:w="10" w:type="dxa"/>
                    <w:left w:w="10" w:type="dxa"/>
                    <w:right w:w="10" w:type="dxa"/>
                  </w:tcMar>
                  <w:vAlign w:val="center"/>
                </w:tcPr>
                <w:p w14:paraId="12CC5078">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油烟净化器</w:t>
                  </w:r>
                </w:p>
              </w:tc>
              <w:tc>
                <w:tcPr>
                  <w:tcW w:w="757" w:type="dxa"/>
                  <w:noWrap w:val="0"/>
                  <w:tcMar>
                    <w:top w:w="10" w:type="dxa"/>
                    <w:left w:w="10" w:type="dxa"/>
                    <w:right w:w="10" w:type="dxa"/>
                  </w:tcMar>
                  <w:vAlign w:val="center"/>
                </w:tcPr>
                <w:p w14:paraId="0C875F43">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无组织</w:t>
                  </w:r>
                </w:p>
              </w:tc>
              <w:tc>
                <w:tcPr>
                  <w:tcW w:w="1486" w:type="dxa"/>
                  <w:noWrap w:val="0"/>
                  <w:tcMar>
                    <w:top w:w="10" w:type="dxa"/>
                    <w:left w:w="10" w:type="dxa"/>
                    <w:right w:w="10" w:type="dxa"/>
                  </w:tcMar>
                  <w:vAlign w:val="center"/>
                </w:tcPr>
                <w:p w14:paraId="46CF9F88">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《饮食业油烟排放标准（试行）》（GB28083-2001）小型规模标准限值</w:t>
                  </w:r>
                </w:p>
              </w:tc>
              <w:tc>
                <w:tcPr>
                  <w:tcW w:w="1368" w:type="dxa"/>
                  <w:noWrap w:val="0"/>
                  <w:tcMar>
                    <w:top w:w="10" w:type="dxa"/>
                    <w:left w:w="10" w:type="dxa"/>
                    <w:right w:w="10" w:type="dxa"/>
                  </w:tcMar>
                  <w:vAlign w:val="center"/>
                </w:tcPr>
                <w:p w14:paraId="1F40AF08">
                  <w:pPr>
                    <w:pStyle w:val="42"/>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023" w:type="dxa"/>
                  <w:noWrap w:val="0"/>
                  <w:tcMar>
                    <w:top w:w="10" w:type="dxa"/>
                    <w:left w:w="10" w:type="dxa"/>
                    <w:right w:w="10" w:type="dxa"/>
                  </w:tcMar>
                  <w:vAlign w:val="center"/>
                </w:tcPr>
                <w:p w14:paraId="77837A76">
                  <w:pPr>
                    <w:pStyle w:val="42"/>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14.6</w:t>
                  </w:r>
                </w:p>
              </w:tc>
              <w:tc>
                <w:tcPr>
                  <w:tcW w:w="1038" w:type="dxa"/>
                  <w:noWrap w:val="0"/>
                  <w:tcMar>
                    <w:top w:w="10" w:type="dxa"/>
                    <w:left w:w="10" w:type="dxa"/>
                    <w:right w:w="10" w:type="dxa"/>
                  </w:tcMar>
                  <w:vAlign w:val="center"/>
                </w:tcPr>
                <w:p w14:paraId="5D3D80EB">
                  <w:pPr>
                    <w:pStyle w:val="42"/>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r>
            <w:tr w14:paraId="4D42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trPr>
              <w:tc>
                <w:tcPr>
                  <w:tcW w:w="419" w:type="dxa"/>
                  <w:noWrap w:val="0"/>
                  <w:tcMar>
                    <w:top w:w="10" w:type="dxa"/>
                    <w:left w:w="10" w:type="dxa"/>
                    <w:right w:w="10" w:type="dxa"/>
                  </w:tcMar>
                  <w:vAlign w:val="center"/>
                </w:tcPr>
                <w:p w14:paraId="72A9355C">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672" w:type="dxa"/>
                  <w:noWrap w:val="0"/>
                  <w:tcMar>
                    <w:top w:w="10" w:type="dxa"/>
                    <w:left w:w="10" w:type="dxa"/>
                    <w:right w:w="10" w:type="dxa"/>
                  </w:tcMar>
                  <w:vAlign w:val="center"/>
                </w:tcPr>
                <w:p w14:paraId="650C5682">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医废间</w:t>
                  </w:r>
                </w:p>
              </w:tc>
              <w:tc>
                <w:tcPr>
                  <w:tcW w:w="527" w:type="dxa"/>
                  <w:noWrap w:val="0"/>
                  <w:tcMar>
                    <w:top w:w="10" w:type="dxa"/>
                    <w:left w:w="10" w:type="dxa"/>
                    <w:right w:w="10" w:type="dxa"/>
                  </w:tcMar>
                  <w:vAlign w:val="center"/>
                </w:tcPr>
                <w:p w14:paraId="3FF23AE8">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异味</w:t>
                  </w:r>
                </w:p>
              </w:tc>
              <w:tc>
                <w:tcPr>
                  <w:tcW w:w="1005" w:type="dxa"/>
                  <w:noWrap w:val="0"/>
                  <w:tcMar>
                    <w:top w:w="10" w:type="dxa"/>
                    <w:left w:w="10" w:type="dxa"/>
                    <w:right w:w="10" w:type="dxa"/>
                  </w:tcMar>
                  <w:vAlign w:val="center"/>
                </w:tcPr>
                <w:p w14:paraId="237A7B41">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医废间异味：</w:t>
                  </w:r>
                  <w:r>
                    <w:rPr>
                      <w:rFonts w:hint="default" w:ascii="Times New Roman" w:hAnsi="Times New Roman" w:cs="Times New Roman"/>
                      <w:color w:val="auto"/>
                      <w:sz w:val="21"/>
                      <w:szCs w:val="21"/>
                      <w:lang w:val="en-US" w:eastAsia="zh-CN"/>
                    </w:rPr>
                    <w:t>做好医疗废物密封、清运和消毒工作，每48h清运一次</w:t>
                  </w:r>
                  <w:r>
                    <w:rPr>
                      <w:rFonts w:hint="eastAsia" w:cs="Times New Roman"/>
                      <w:color w:val="auto"/>
                      <w:sz w:val="21"/>
                      <w:szCs w:val="21"/>
                      <w:lang w:val="en-US" w:eastAsia="zh-CN"/>
                    </w:rPr>
                    <w:t>。</w:t>
                  </w:r>
                </w:p>
              </w:tc>
              <w:tc>
                <w:tcPr>
                  <w:tcW w:w="757" w:type="dxa"/>
                  <w:noWrap w:val="0"/>
                  <w:tcMar>
                    <w:top w:w="10" w:type="dxa"/>
                    <w:left w:w="10" w:type="dxa"/>
                    <w:right w:w="10" w:type="dxa"/>
                  </w:tcMar>
                  <w:vAlign w:val="center"/>
                </w:tcPr>
                <w:p w14:paraId="704B77D0">
                  <w:pPr>
                    <w:pStyle w:val="42"/>
                    <w:bidi w:val="0"/>
                    <w:rPr>
                      <w:rFonts w:hint="eastAsia" w:cs="Times New Roman"/>
                      <w:color w:val="auto"/>
                      <w:sz w:val="21"/>
                      <w:szCs w:val="21"/>
                      <w:lang w:val="en-US" w:eastAsia="zh-CN"/>
                    </w:rPr>
                  </w:pPr>
                  <w:r>
                    <w:rPr>
                      <w:rFonts w:hint="eastAsia" w:cs="Times New Roman"/>
                      <w:color w:val="auto"/>
                      <w:sz w:val="21"/>
                      <w:szCs w:val="21"/>
                      <w:lang w:val="en-US" w:eastAsia="zh-CN"/>
                    </w:rPr>
                    <w:t>无组织</w:t>
                  </w:r>
                </w:p>
              </w:tc>
              <w:tc>
                <w:tcPr>
                  <w:tcW w:w="1486" w:type="dxa"/>
                  <w:noWrap w:val="0"/>
                  <w:tcMar>
                    <w:top w:w="10" w:type="dxa"/>
                    <w:left w:w="10" w:type="dxa"/>
                    <w:right w:w="10" w:type="dxa"/>
                  </w:tcMar>
                  <w:vAlign w:val="center"/>
                </w:tcPr>
                <w:p w14:paraId="7E7FC0A0">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368" w:type="dxa"/>
                  <w:noWrap w:val="0"/>
                  <w:tcMar>
                    <w:top w:w="10" w:type="dxa"/>
                    <w:left w:w="10" w:type="dxa"/>
                    <w:right w:w="10" w:type="dxa"/>
                  </w:tcMar>
                  <w:vAlign w:val="center"/>
                </w:tcPr>
                <w:p w14:paraId="49ECEBEB">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023" w:type="dxa"/>
                  <w:noWrap w:val="0"/>
                  <w:tcMar>
                    <w:top w:w="10" w:type="dxa"/>
                    <w:left w:w="10" w:type="dxa"/>
                    <w:right w:w="10" w:type="dxa"/>
                  </w:tcMar>
                  <w:vAlign w:val="center"/>
                </w:tcPr>
                <w:p w14:paraId="7BA33206">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038" w:type="dxa"/>
                  <w:noWrap w:val="0"/>
                  <w:tcMar>
                    <w:top w:w="10" w:type="dxa"/>
                    <w:left w:w="10" w:type="dxa"/>
                    <w:right w:w="10" w:type="dxa"/>
                  </w:tcMar>
                  <w:vAlign w:val="center"/>
                </w:tcPr>
                <w:p w14:paraId="1C49E6BA">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179E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trPr>
              <w:tc>
                <w:tcPr>
                  <w:tcW w:w="419" w:type="dxa"/>
                  <w:noWrap w:val="0"/>
                  <w:tcMar>
                    <w:top w:w="10" w:type="dxa"/>
                    <w:left w:w="10" w:type="dxa"/>
                    <w:right w:w="10" w:type="dxa"/>
                  </w:tcMar>
                  <w:vAlign w:val="center"/>
                </w:tcPr>
                <w:p w14:paraId="48007C5F">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672" w:type="dxa"/>
                  <w:noWrap w:val="0"/>
                  <w:tcMar>
                    <w:top w:w="10" w:type="dxa"/>
                    <w:left w:w="10" w:type="dxa"/>
                    <w:right w:w="10" w:type="dxa"/>
                  </w:tcMar>
                  <w:vAlign w:val="center"/>
                </w:tcPr>
                <w:p w14:paraId="236F4072">
                  <w:pPr>
                    <w:pStyle w:val="42"/>
                    <w:bidi w:val="0"/>
                    <w:rPr>
                      <w:rFonts w:hint="eastAsia" w:cs="Times New Roman"/>
                      <w:color w:val="auto"/>
                      <w:sz w:val="21"/>
                      <w:szCs w:val="21"/>
                      <w:lang w:val="en-US" w:eastAsia="zh-CN"/>
                    </w:rPr>
                  </w:pPr>
                  <w:r>
                    <w:rPr>
                      <w:rFonts w:hint="eastAsia" w:cs="Times New Roman"/>
                      <w:color w:val="auto"/>
                      <w:sz w:val="21"/>
                      <w:szCs w:val="21"/>
                      <w:lang w:val="en-US" w:eastAsia="zh-CN"/>
                    </w:rPr>
                    <w:t>生活垃圾</w:t>
                  </w:r>
                </w:p>
              </w:tc>
              <w:tc>
                <w:tcPr>
                  <w:tcW w:w="527" w:type="dxa"/>
                  <w:noWrap w:val="0"/>
                  <w:tcMar>
                    <w:top w:w="10" w:type="dxa"/>
                    <w:left w:w="10" w:type="dxa"/>
                    <w:right w:w="10" w:type="dxa"/>
                  </w:tcMar>
                  <w:vAlign w:val="center"/>
                </w:tcPr>
                <w:p w14:paraId="1B84B6D0">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氨、硫化氢</w:t>
                  </w:r>
                </w:p>
              </w:tc>
              <w:tc>
                <w:tcPr>
                  <w:tcW w:w="1005" w:type="dxa"/>
                  <w:noWrap w:val="0"/>
                  <w:tcMar>
                    <w:top w:w="10" w:type="dxa"/>
                    <w:left w:w="10" w:type="dxa"/>
                    <w:right w:w="10" w:type="dxa"/>
                  </w:tcMar>
                  <w:vAlign w:val="center"/>
                </w:tcPr>
                <w:p w14:paraId="4FD6997E">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日产日清、对垃圾暂存点定期杀菌消毒并加强管理和清洁。</w:t>
                  </w:r>
                </w:p>
              </w:tc>
              <w:tc>
                <w:tcPr>
                  <w:tcW w:w="757" w:type="dxa"/>
                  <w:noWrap w:val="0"/>
                  <w:tcMar>
                    <w:top w:w="10" w:type="dxa"/>
                    <w:left w:w="10" w:type="dxa"/>
                    <w:right w:w="10" w:type="dxa"/>
                  </w:tcMar>
                  <w:vAlign w:val="center"/>
                </w:tcPr>
                <w:p w14:paraId="74C33BDA">
                  <w:pPr>
                    <w:pStyle w:val="42"/>
                    <w:bidi w:val="0"/>
                    <w:rPr>
                      <w:rFonts w:hint="eastAsia" w:cs="Times New Roman"/>
                      <w:color w:val="auto"/>
                      <w:sz w:val="21"/>
                      <w:szCs w:val="21"/>
                      <w:lang w:val="en-US" w:eastAsia="zh-CN"/>
                    </w:rPr>
                  </w:pPr>
                  <w:r>
                    <w:rPr>
                      <w:rFonts w:hint="eastAsia" w:cs="Times New Roman"/>
                      <w:color w:val="auto"/>
                      <w:sz w:val="21"/>
                      <w:szCs w:val="21"/>
                      <w:lang w:val="en-US" w:eastAsia="zh-CN"/>
                    </w:rPr>
                    <w:t>无组织</w:t>
                  </w:r>
                </w:p>
              </w:tc>
              <w:tc>
                <w:tcPr>
                  <w:tcW w:w="1486" w:type="dxa"/>
                  <w:noWrap w:val="0"/>
                  <w:tcMar>
                    <w:top w:w="10" w:type="dxa"/>
                    <w:left w:w="10" w:type="dxa"/>
                    <w:right w:w="10" w:type="dxa"/>
                  </w:tcMar>
                  <w:vAlign w:val="center"/>
                </w:tcPr>
                <w:p w14:paraId="3F50568F">
                  <w:pPr>
                    <w:pStyle w:val="42"/>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368" w:type="dxa"/>
                  <w:noWrap w:val="0"/>
                  <w:tcMar>
                    <w:top w:w="10" w:type="dxa"/>
                    <w:left w:w="10" w:type="dxa"/>
                    <w:right w:w="10" w:type="dxa"/>
                  </w:tcMar>
                  <w:vAlign w:val="center"/>
                </w:tcPr>
                <w:p w14:paraId="48A3C9FA">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023" w:type="dxa"/>
                  <w:noWrap w:val="0"/>
                  <w:tcMar>
                    <w:top w:w="10" w:type="dxa"/>
                    <w:left w:w="10" w:type="dxa"/>
                    <w:right w:w="10" w:type="dxa"/>
                  </w:tcMar>
                  <w:vAlign w:val="center"/>
                </w:tcPr>
                <w:p w14:paraId="16A171BD">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038" w:type="dxa"/>
                  <w:noWrap w:val="0"/>
                  <w:tcMar>
                    <w:top w:w="10" w:type="dxa"/>
                    <w:left w:w="10" w:type="dxa"/>
                    <w:right w:w="10" w:type="dxa"/>
                  </w:tcMar>
                  <w:vAlign w:val="center"/>
                </w:tcPr>
                <w:p w14:paraId="24F44553">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6FEA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295" w:type="dxa"/>
                  <w:gridSpan w:val="9"/>
                  <w:noWrap w:val="0"/>
                  <w:tcMar>
                    <w:top w:w="10" w:type="dxa"/>
                    <w:left w:w="10" w:type="dxa"/>
                    <w:right w:w="10" w:type="dxa"/>
                  </w:tcMar>
                  <w:vAlign w:val="center"/>
                </w:tcPr>
                <w:p w14:paraId="2DE3C245">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无组织排放总计（kg/a）</w:t>
                  </w:r>
                </w:p>
              </w:tc>
            </w:tr>
            <w:tr w14:paraId="27D0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618" w:type="dxa"/>
                  <w:gridSpan w:val="3"/>
                  <w:vMerge w:val="restart"/>
                  <w:noWrap w:val="0"/>
                  <w:tcMar>
                    <w:top w:w="10" w:type="dxa"/>
                    <w:left w:w="10" w:type="dxa"/>
                    <w:right w:w="10" w:type="dxa"/>
                  </w:tcMar>
                  <w:vAlign w:val="center"/>
                </w:tcPr>
                <w:p w14:paraId="4530BC96">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无组织排放总计</w:t>
                  </w:r>
                </w:p>
              </w:tc>
              <w:tc>
                <w:tcPr>
                  <w:tcW w:w="4616" w:type="dxa"/>
                  <w:gridSpan w:val="4"/>
                  <w:noWrap w:val="0"/>
                  <w:tcMar>
                    <w:top w:w="10" w:type="dxa"/>
                    <w:left w:w="10" w:type="dxa"/>
                    <w:right w:w="10" w:type="dxa"/>
                  </w:tcMar>
                  <w:vAlign w:val="center"/>
                </w:tcPr>
                <w:p w14:paraId="1E0202C2">
                  <w:pPr>
                    <w:pStyle w:val="42"/>
                    <w:bidi w:val="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氨</w:t>
                  </w:r>
                </w:p>
              </w:tc>
              <w:tc>
                <w:tcPr>
                  <w:tcW w:w="2061" w:type="dxa"/>
                  <w:gridSpan w:val="2"/>
                  <w:noWrap w:val="0"/>
                  <w:tcMar>
                    <w:top w:w="10" w:type="dxa"/>
                    <w:left w:w="10" w:type="dxa"/>
                    <w:right w:w="10" w:type="dxa"/>
                  </w:tcMar>
                  <w:vAlign w:val="center"/>
                </w:tcPr>
                <w:p w14:paraId="57D9D56F">
                  <w:pPr>
                    <w:pStyle w:val="42"/>
                    <w:bidi w:val="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11.36</w:t>
                  </w:r>
                </w:p>
              </w:tc>
            </w:tr>
            <w:tr w14:paraId="3AF1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618" w:type="dxa"/>
                  <w:gridSpan w:val="3"/>
                  <w:vMerge w:val="continue"/>
                  <w:noWrap w:val="0"/>
                  <w:tcMar>
                    <w:top w:w="10" w:type="dxa"/>
                    <w:left w:w="10" w:type="dxa"/>
                    <w:right w:w="10" w:type="dxa"/>
                  </w:tcMar>
                  <w:vAlign w:val="center"/>
                </w:tcPr>
                <w:p w14:paraId="473D30A5">
                  <w:pPr>
                    <w:pStyle w:val="42"/>
                    <w:bidi w:val="0"/>
                    <w:rPr>
                      <w:rFonts w:hint="default" w:ascii="Times New Roman" w:hAnsi="Times New Roman" w:cs="Times New Roman"/>
                      <w:color w:val="auto"/>
                      <w:sz w:val="21"/>
                      <w:szCs w:val="21"/>
                    </w:rPr>
                  </w:pPr>
                </w:p>
              </w:tc>
              <w:tc>
                <w:tcPr>
                  <w:tcW w:w="4616" w:type="dxa"/>
                  <w:gridSpan w:val="4"/>
                  <w:noWrap w:val="0"/>
                  <w:tcMar>
                    <w:top w:w="10" w:type="dxa"/>
                    <w:left w:w="10" w:type="dxa"/>
                    <w:right w:w="10" w:type="dxa"/>
                  </w:tcMar>
                  <w:vAlign w:val="center"/>
                </w:tcPr>
                <w:p w14:paraId="1F409F50">
                  <w:pPr>
                    <w:pStyle w:val="4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硫化氢</w:t>
                  </w:r>
                </w:p>
              </w:tc>
              <w:tc>
                <w:tcPr>
                  <w:tcW w:w="2061" w:type="dxa"/>
                  <w:gridSpan w:val="2"/>
                  <w:noWrap w:val="0"/>
                  <w:tcMar>
                    <w:top w:w="10" w:type="dxa"/>
                    <w:left w:w="10" w:type="dxa"/>
                    <w:right w:w="10" w:type="dxa"/>
                  </w:tcMar>
                  <w:vAlign w:val="center"/>
                </w:tcPr>
                <w:p w14:paraId="4BF6FAE6">
                  <w:pPr>
                    <w:pStyle w:val="42"/>
                    <w:bidi w:val="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0.44</w:t>
                  </w:r>
                </w:p>
              </w:tc>
            </w:tr>
            <w:tr w14:paraId="680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618" w:type="dxa"/>
                  <w:gridSpan w:val="3"/>
                  <w:vMerge w:val="continue"/>
                  <w:noWrap w:val="0"/>
                  <w:tcMar>
                    <w:top w:w="10" w:type="dxa"/>
                    <w:left w:w="10" w:type="dxa"/>
                    <w:right w:w="10" w:type="dxa"/>
                  </w:tcMar>
                  <w:vAlign w:val="center"/>
                </w:tcPr>
                <w:p w14:paraId="39DAC180">
                  <w:pPr>
                    <w:pStyle w:val="42"/>
                    <w:bidi w:val="0"/>
                    <w:rPr>
                      <w:rFonts w:hint="default" w:ascii="Times New Roman" w:hAnsi="Times New Roman" w:cs="Times New Roman"/>
                      <w:color w:val="auto"/>
                      <w:sz w:val="21"/>
                      <w:szCs w:val="21"/>
                    </w:rPr>
                  </w:pPr>
                </w:p>
              </w:tc>
              <w:tc>
                <w:tcPr>
                  <w:tcW w:w="4616" w:type="dxa"/>
                  <w:gridSpan w:val="4"/>
                  <w:noWrap w:val="0"/>
                  <w:tcMar>
                    <w:top w:w="10" w:type="dxa"/>
                    <w:left w:w="10" w:type="dxa"/>
                    <w:right w:w="10" w:type="dxa"/>
                  </w:tcMar>
                  <w:vAlign w:val="center"/>
                </w:tcPr>
                <w:p w14:paraId="3B9967E4">
                  <w:pPr>
                    <w:pStyle w:val="42"/>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油烟</w:t>
                  </w:r>
                </w:p>
              </w:tc>
              <w:tc>
                <w:tcPr>
                  <w:tcW w:w="2061" w:type="dxa"/>
                  <w:gridSpan w:val="2"/>
                  <w:noWrap w:val="0"/>
                  <w:tcMar>
                    <w:top w:w="10" w:type="dxa"/>
                    <w:left w:w="10" w:type="dxa"/>
                    <w:right w:w="10" w:type="dxa"/>
                  </w:tcMar>
                  <w:vAlign w:val="center"/>
                </w:tcPr>
                <w:p w14:paraId="64EF3533">
                  <w:pPr>
                    <w:pStyle w:val="42"/>
                    <w:bidi w:val="0"/>
                    <w:rPr>
                      <w:rFonts w:hint="default" w:cs="Times New Roman"/>
                      <w:color w:val="auto"/>
                      <w:sz w:val="21"/>
                      <w:szCs w:val="21"/>
                      <w:lang w:val="en-US" w:eastAsia="zh-CN"/>
                    </w:rPr>
                  </w:pPr>
                  <w:r>
                    <w:rPr>
                      <w:rFonts w:hint="eastAsia" w:cs="Times New Roman"/>
                      <w:color w:val="auto"/>
                      <w:sz w:val="21"/>
                      <w:szCs w:val="21"/>
                      <w:lang w:val="en-US" w:eastAsia="zh-CN"/>
                    </w:rPr>
                    <w:t>14.6</w:t>
                  </w:r>
                </w:p>
              </w:tc>
            </w:tr>
          </w:tbl>
          <w:p w14:paraId="32D865EC">
            <w:pPr>
              <w:spacing w:line="360" w:lineRule="auto"/>
              <w:ind w:firstLine="482" w:firstLineChars="200"/>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2、废气污染治理措施可行性分析</w:t>
            </w:r>
          </w:p>
          <w:p w14:paraId="0685EF2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本项目食堂安装油烟净化器，厨房安装油烟净化器</w:t>
            </w:r>
            <w:r>
              <w:rPr>
                <w:rFonts w:hint="eastAsia" w:cs="Times New Roman"/>
                <w:color w:val="auto"/>
                <w:sz w:val="24"/>
                <w:szCs w:val="24"/>
                <w:lang w:val="en-US" w:eastAsia="zh-CN"/>
              </w:rPr>
              <w:t>污染物排放限值</w:t>
            </w:r>
            <w:r>
              <w:rPr>
                <w:rFonts w:hint="eastAsia" w:ascii="Times New Roman" w:hAnsi="Times New Roman" w:cs="Times New Roman"/>
                <w:color w:val="auto"/>
                <w:sz w:val="24"/>
                <w:szCs w:val="24"/>
                <w:lang w:val="en-US" w:eastAsia="zh-CN"/>
              </w:rPr>
              <w:t>满足《餐饮业油烟污染物排放要求》（DB5301/T50-2021）</w:t>
            </w:r>
            <w:r>
              <w:rPr>
                <w:rFonts w:hint="default" w:ascii="Times New Roman" w:hAnsi="Times New Roman" w:eastAsia="宋体" w:cs="Times New Roman"/>
                <w:color w:val="auto"/>
                <w:sz w:val="24"/>
                <w:szCs w:val="24"/>
                <w:lang w:val="en-US" w:eastAsia="zh-CN"/>
              </w:rPr>
              <w:t>Ⅰ</w:t>
            </w:r>
            <w:r>
              <w:rPr>
                <w:rFonts w:hint="eastAsia" w:cs="Times New Roman"/>
                <w:color w:val="auto"/>
                <w:sz w:val="24"/>
                <w:szCs w:val="24"/>
                <w:lang w:val="en-US" w:eastAsia="zh-CN"/>
              </w:rPr>
              <w:t xml:space="preserve"> </w:t>
            </w:r>
            <w:r>
              <w:rPr>
                <w:rFonts w:hint="eastAsia" w:ascii="宋体" w:hAnsi="宋体" w:cs="宋体"/>
                <w:color w:val="auto"/>
                <w:sz w:val="24"/>
                <w:szCs w:val="24"/>
                <w:lang w:val="en-US" w:eastAsia="zh-CN"/>
              </w:rPr>
              <w:t>型</w:t>
            </w:r>
            <w:r>
              <w:rPr>
                <w:rFonts w:hint="eastAsia" w:ascii="宋体" w:hAnsi="宋体" w:cs="宋体"/>
                <w:b w:val="0"/>
                <w:bCs w:val="0"/>
                <w:color w:val="auto"/>
                <w:sz w:val="24"/>
                <w:szCs w:val="24"/>
                <w:lang w:val="en-US" w:eastAsia="zh-CN"/>
              </w:rPr>
              <w:t>标准限值</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食</w:t>
            </w:r>
            <w:r>
              <w:rPr>
                <w:rFonts w:hint="eastAsia" w:ascii="Times New Roman" w:hAnsi="Times New Roman" w:cs="Times New Roman"/>
                <w:color w:val="auto"/>
                <w:sz w:val="24"/>
                <w:szCs w:val="24"/>
                <w:lang w:val="en-US" w:eastAsia="zh-CN"/>
              </w:rPr>
              <w:t>堂油烟经油烟净化器</w:t>
            </w:r>
            <w:r>
              <w:rPr>
                <w:rFonts w:hint="eastAsia" w:cs="Times New Roman"/>
                <w:color w:val="auto"/>
                <w:sz w:val="24"/>
                <w:szCs w:val="24"/>
                <w:lang w:val="en-US" w:eastAsia="zh-CN"/>
              </w:rPr>
              <w:t>处</w:t>
            </w:r>
            <w:r>
              <w:rPr>
                <w:rFonts w:hint="eastAsia" w:ascii="Times New Roman" w:hAnsi="Times New Roman" w:cs="Times New Roman"/>
                <w:color w:val="auto"/>
                <w:sz w:val="24"/>
                <w:szCs w:val="24"/>
                <w:lang w:val="en-US" w:eastAsia="zh-CN"/>
              </w:rPr>
              <w:t>理后通过排气筒引至食堂</w:t>
            </w:r>
            <w:r>
              <w:rPr>
                <w:rFonts w:hint="eastAsia" w:cs="Times New Roman"/>
                <w:color w:val="auto"/>
                <w:sz w:val="24"/>
                <w:szCs w:val="24"/>
                <w:lang w:val="en-US" w:eastAsia="zh-CN"/>
              </w:rPr>
              <w:t>屋顶排放</w:t>
            </w:r>
            <w:r>
              <w:rPr>
                <w:rFonts w:hint="eastAsia" w:ascii="Times New Roman" w:hAnsi="Times New Roman" w:cs="Times New Roman"/>
                <w:color w:val="auto"/>
                <w:sz w:val="24"/>
                <w:szCs w:val="24"/>
                <w:lang w:val="en-US" w:eastAsia="zh-CN"/>
              </w:rPr>
              <w:t>，油烟排放量为</w:t>
            </w:r>
            <w:r>
              <w:rPr>
                <w:rFonts w:hint="eastAsia" w:cs="Times New Roman"/>
                <w:color w:val="auto"/>
                <w:sz w:val="24"/>
                <w:szCs w:val="24"/>
                <w:lang w:val="en-US" w:eastAsia="zh-CN"/>
              </w:rPr>
              <w:t>14.6</w:t>
            </w:r>
            <w:r>
              <w:rPr>
                <w:rFonts w:hint="eastAsia" w:ascii="Times New Roman" w:hAnsi="Times New Roman" w:cs="Times New Roman"/>
                <w:color w:val="auto"/>
                <w:sz w:val="24"/>
                <w:szCs w:val="24"/>
                <w:lang w:val="en-US" w:eastAsia="zh-CN"/>
              </w:rPr>
              <w:t>kg/a</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经过油烟净化器处理后，油烟排放浓度为1.0mg/m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满足</w:t>
            </w:r>
            <w:r>
              <w:rPr>
                <w:rFonts w:hint="eastAsia" w:ascii="Times New Roman" w:hAnsi="Times New Roman" w:cs="Times New Roman"/>
                <w:color w:val="auto"/>
                <w:sz w:val="24"/>
                <w:szCs w:val="24"/>
                <w:lang w:val="en-US" w:eastAsia="zh-CN"/>
              </w:rPr>
              <w:t>《饮食业油烟排放标准（试行）》（GB28083-2001）小型规模</w:t>
            </w:r>
            <w:r>
              <w:rPr>
                <w:rFonts w:hint="eastAsia" w:ascii="宋体" w:hAnsi="宋体" w:cs="宋体"/>
                <w:b w:val="0"/>
                <w:bCs w:val="0"/>
                <w:color w:val="auto"/>
                <w:sz w:val="24"/>
                <w:szCs w:val="24"/>
                <w:lang w:val="en-US" w:eastAsia="zh-CN"/>
              </w:rPr>
              <w:t>标准限值</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lang w:val="en-US" w:eastAsia="zh-CN"/>
              </w:rPr>
              <w:t>故</w:t>
            </w:r>
            <w:r>
              <w:rPr>
                <w:rFonts w:hint="eastAsia" w:ascii="Times New Roman" w:hAnsi="Times New Roman" w:cs="Times New Roman"/>
                <w:color w:val="auto"/>
                <w:sz w:val="24"/>
                <w:szCs w:val="24"/>
                <w:lang w:val="en-US" w:eastAsia="zh-CN"/>
              </w:rPr>
              <w:t>食堂安装油烟净化器措施</w:t>
            </w:r>
            <w:r>
              <w:rPr>
                <w:rFonts w:hint="eastAsia" w:cs="Times New Roman"/>
                <w:color w:val="auto"/>
                <w:sz w:val="24"/>
                <w:szCs w:val="24"/>
                <w:lang w:val="en-US" w:eastAsia="zh-CN"/>
              </w:rPr>
              <w:t>可行。</w:t>
            </w:r>
          </w:p>
          <w:p w14:paraId="20822D30">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根据《排污许可证申请和核发技术规范 医疗机构》</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HJ1105-2020</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附录A，污水处理站废气无组织排放治理可行技术为“产生恶臭区域加罩或加盖，投放除臭剂”，本项目污水处理站废气治理措施为技术规范中的可行技术，污水处理站废气治理措施可行</w:t>
            </w:r>
            <w:r>
              <w:rPr>
                <w:rFonts w:hint="eastAsia" w:cs="Times New Roman"/>
                <w:color w:val="auto"/>
                <w:sz w:val="24"/>
                <w:szCs w:val="24"/>
                <w:lang w:val="en-US" w:eastAsia="zh-CN"/>
              </w:rPr>
              <w:t>。</w:t>
            </w:r>
          </w:p>
          <w:p w14:paraId="732883F6">
            <w:pPr>
              <w:spacing w:line="360" w:lineRule="auto"/>
              <w:ind w:firstLine="482" w:firstLineChars="200"/>
              <w:rPr>
                <w:rFonts w:hint="default" w:ascii="Times New Roman" w:hAnsi="Times New Roman" w:cs="Times New Roman"/>
                <w:b/>
                <w:bCs/>
                <w:color w:val="auto"/>
                <w:sz w:val="24"/>
                <w:szCs w:val="24"/>
              </w:rPr>
            </w:pP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大气</w:t>
            </w:r>
            <w:r>
              <w:rPr>
                <w:rFonts w:hint="default" w:ascii="Times New Roman" w:hAnsi="Times New Roman" w:cs="Times New Roman"/>
                <w:b/>
                <w:bCs/>
                <w:color w:val="auto"/>
                <w:sz w:val="24"/>
                <w:szCs w:val="24"/>
                <w:highlight w:val="none"/>
              </w:rPr>
              <w:t>影响分析</w:t>
            </w:r>
            <w:bookmarkStart w:id="25" w:name="_GoBack"/>
            <w:bookmarkEnd w:id="25"/>
          </w:p>
          <w:p w14:paraId="45E50E78">
            <w:pPr>
              <w:spacing w:line="360" w:lineRule="auto"/>
              <w:ind w:firstLine="480" w:firstLineChars="200"/>
              <w:rPr>
                <w:rFonts w:hint="eastAsia" w:cs="Times New Roman"/>
                <w:color w:val="auto"/>
                <w:sz w:val="24"/>
                <w:szCs w:val="24"/>
                <w:lang w:val="en-US" w:eastAsia="zh-CN"/>
              </w:rPr>
            </w:pPr>
            <w:r>
              <w:rPr>
                <w:rFonts w:hint="eastAsia" w:cs="Times New Roman"/>
                <w:color w:val="auto"/>
                <w:sz w:val="24"/>
                <w:lang w:val="en-US" w:eastAsia="zh-CN"/>
              </w:rPr>
              <w:t>污水处理设施异味，</w:t>
            </w:r>
            <w:r>
              <w:rPr>
                <w:rFonts w:hint="default" w:ascii="Times New Roman" w:hAnsi="Times New Roman" w:cs="Times New Roman"/>
                <w:color w:val="auto"/>
                <w:sz w:val="24"/>
                <w:szCs w:val="24"/>
              </w:rPr>
              <w:t>异味主要成分一般有：硫化物、氨等</w:t>
            </w: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根据核算，硫</w:t>
            </w:r>
            <w:r>
              <w:rPr>
                <w:rFonts w:hint="eastAsia" w:ascii="Times New Roman" w:hAnsi="Times New Roman" w:cs="Times New Roman"/>
                <w:color w:val="auto"/>
                <w:sz w:val="24"/>
                <w:szCs w:val="24"/>
                <w:highlight w:val="none"/>
                <w:lang w:val="en-US" w:eastAsia="zh-CN"/>
              </w:rPr>
              <w:t>化氢产生量为</w:t>
            </w:r>
            <w:r>
              <w:rPr>
                <w:rFonts w:hint="eastAsia" w:cs="Times New Roman"/>
                <w:color w:val="auto"/>
                <w:sz w:val="24"/>
                <w:szCs w:val="24"/>
                <w:highlight w:val="none"/>
                <w:lang w:val="en-US" w:eastAsia="zh-CN"/>
              </w:rPr>
              <w:t>11.36</w:t>
            </w:r>
            <w:r>
              <w:rPr>
                <w:rFonts w:hint="eastAsia" w:ascii="Times New Roman" w:hAnsi="Times New Roman" w:cs="Times New Roman"/>
                <w:color w:val="auto"/>
                <w:sz w:val="24"/>
                <w:szCs w:val="24"/>
                <w:highlight w:val="none"/>
                <w:lang w:val="en-US" w:eastAsia="zh-CN"/>
              </w:rPr>
              <w:t>kg/a，氨产生量0.</w:t>
            </w:r>
            <w:r>
              <w:rPr>
                <w:rFonts w:hint="eastAsia" w:cs="Times New Roman"/>
                <w:color w:val="auto"/>
                <w:sz w:val="24"/>
                <w:szCs w:val="24"/>
                <w:highlight w:val="none"/>
                <w:lang w:val="en-US" w:eastAsia="zh-CN"/>
              </w:rPr>
              <w:t>44</w:t>
            </w:r>
            <w:r>
              <w:rPr>
                <w:rFonts w:hint="eastAsia" w:ascii="Times New Roman" w:hAnsi="Times New Roman" w:cs="Times New Roman"/>
                <w:color w:val="auto"/>
                <w:sz w:val="24"/>
                <w:szCs w:val="24"/>
                <w:highlight w:val="none"/>
                <w:lang w:val="en-US" w:eastAsia="zh-CN"/>
              </w:rPr>
              <w:t>kg/a，</w:t>
            </w:r>
            <w:r>
              <w:rPr>
                <w:rFonts w:hint="eastAsia" w:ascii="Times New Roman" w:hAnsi="Times New Roman" w:cs="Times New Roman"/>
                <w:color w:val="auto"/>
                <w:sz w:val="24"/>
                <w:szCs w:val="24"/>
                <w:lang w:val="en-US" w:eastAsia="zh-CN"/>
              </w:rPr>
              <w:t>产生量较少</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通过对污水处理站废气排放口处进行投加除臭剂进行除臭、除味处理，产生的少量废气经空气稀释后自然排放。</w:t>
            </w:r>
            <w:r>
              <w:rPr>
                <w:rFonts w:hint="eastAsia" w:cs="Times New Roman"/>
                <w:color w:val="auto"/>
                <w:sz w:val="24"/>
                <w:szCs w:val="24"/>
                <w:lang w:val="en-US" w:eastAsia="zh-CN"/>
              </w:rPr>
              <w:t>污水处理站位于芭蕉树居民上风向，项目运营期废气对芭蕉树居民有一定的影响，在采取本环评提出的</w:t>
            </w:r>
            <w:r>
              <w:rPr>
                <w:rFonts w:hint="eastAsia" w:ascii="Times New Roman" w:hAnsi="Times New Roman" w:cs="Times New Roman"/>
                <w:color w:val="auto"/>
                <w:sz w:val="24"/>
                <w:szCs w:val="24"/>
                <w:lang w:val="en-US" w:eastAsia="zh-CN"/>
              </w:rPr>
              <w:t>排放口处进行投加除臭剂进行除臭、除味处理，产生的少量废气经空气稀释后自然排放</w:t>
            </w:r>
            <w:r>
              <w:rPr>
                <w:rFonts w:hint="eastAsia" w:cs="Times New Roman"/>
                <w:color w:val="auto"/>
                <w:sz w:val="24"/>
                <w:szCs w:val="24"/>
                <w:lang w:val="en-US" w:eastAsia="zh-CN"/>
              </w:rPr>
              <w:t>后对芭蕉树居民影响已降到最小。</w:t>
            </w:r>
            <w:r>
              <w:rPr>
                <w:rFonts w:hint="eastAsia"/>
                <w:color w:val="auto"/>
                <w:sz w:val="24"/>
                <w:szCs w:val="24"/>
                <w:lang w:val="en-US" w:eastAsia="zh-CN"/>
              </w:rPr>
              <w:t>能满足</w:t>
            </w:r>
            <w:r>
              <w:rPr>
                <w:rFonts w:hint="default" w:ascii="Times New Roman" w:hAnsi="Times New Roman" w:cs="Times New Roman"/>
                <w:color w:val="auto"/>
                <w:sz w:val="24"/>
                <w:szCs w:val="24"/>
              </w:rPr>
              <w:t>《医疗机构水污染物排放标准》中的污水处理设施周边大气污染物排放标准</w:t>
            </w:r>
            <w:r>
              <w:rPr>
                <w:rFonts w:hint="eastAsia" w:ascii="Times New Roman" w:hAnsi="Times New Roman" w:cs="Times New Roman"/>
                <w:color w:val="auto"/>
                <w:sz w:val="24"/>
                <w:szCs w:val="24"/>
                <w:lang w:eastAsia="zh-CN"/>
              </w:rPr>
              <w:t>。</w:t>
            </w:r>
          </w:p>
          <w:p w14:paraId="04C7ABE7">
            <w:pPr>
              <w:numPr>
                <w:ilvl w:val="0"/>
                <w:numId w:val="0"/>
              </w:num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化粪池异味：本项目依托场地内现有25m</w:t>
            </w:r>
            <w:r>
              <w:rPr>
                <w:rFonts w:hint="eastAsia"/>
                <w:color w:val="auto"/>
                <w:sz w:val="24"/>
                <w:szCs w:val="24"/>
                <w:vertAlign w:val="superscript"/>
                <w:lang w:val="en-US" w:eastAsia="zh-CN"/>
              </w:rPr>
              <w:t>3</w:t>
            </w:r>
            <w:r>
              <w:rPr>
                <w:rFonts w:hint="eastAsia"/>
                <w:color w:val="auto"/>
                <w:sz w:val="24"/>
                <w:szCs w:val="24"/>
                <w:lang w:val="en-US" w:eastAsia="zh-CN"/>
              </w:rPr>
              <w:t>化粪池位于污水处理站旁，在活动场地北侧新建25m</w:t>
            </w:r>
            <w:r>
              <w:rPr>
                <w:rFonts w:hint="eastAsia"/>
                <w:color w:val="auto"/>
                <w:sz w:val="24"/>
                <w:szCs w:val="24"/>
                <w:vertAlign w:val="superscript"/>
                <w:lang w:val="en-US" w:eastAsia="zh-CN"/>
              </w:rPr>
              <w:t>3</w:t>
            </w:r>
            <w:r>
              <w:rPr>
                <w:rFonts w:hint="eastAsia"/>
                <w:color w:val="auto"/>
                <w:sz w:val="24"/>
                <w:szCs w:val="24"/>
                <w:lang w:val="en-US" w:eastAsia="zh-CN"/>
              </w:rPr>
              <w:t>化粪池。化粪池均为地埋式，密闭性较好，挥发到空气中的恶臭较少，产生的异味对周围环境的影响较小。</w:t>
            </w:r>
          </w:p>
          <w:p w14:paraId="2D59253F">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生活垃圾异味：</w:t>
            </w:r>
            <w:r>
              <w:rPr>
                <w:rFonts w:hint="eastAsia" w:cs="Times New Roman"/>
                <w:color w:val="auto"/>
                <w:sz w:val="24"/>
                <w:szCs w:val="24"/>
                <w:lang w:val="en-US" w:eastAsia="zh-CN"/>
              </w:rPr>
              <w:t>生活垃圾</w:t>
            </w:r>
            <w:r>
              <w:rPr>
                <w:rFonts w:hint="eastAsia"/>
                <w:color w:val="auto"/>
                <w:sz w:val="24"/>
                <w:szCs w:val="24"/>
                <w:lang w:val="en-US" w:eastAsia="zh-CN"/>
              </w:rPr>
              <w:t>用密封袋及袋盖垃圾箱分装，生活垃圾日产日清；同时，对垃圾暂存点定期杀菌消毒并加强管理和清洁。因此，生活垃圾桶存放点异味对周围环境影响较小。</w:t>
            </w:r>
          </w:p>
          <w:p w14:paraId="04F4230D">
            <w:pPr>
              <w:spacing w:line="360" w:lineRule="auto"/>
              <w:ind w:firstLine="480" w:firstLineChars="200"/>
              <w:rPr>
                <w:color w:val="auto"/>
                <w:sz w:val="24"/>
                <w:szCs w:val="24"/>
              </w:rPr>
            </w:pPr>
            <w:r>
              <w:rPr>
                <w:rFonts w:hint="eastAsia"/>
                <w:color w:val="auto"/>
                <w:sz w:val="24"/>
                <w:szCs w:val="24"/>
                <w:lang w:val="en-US" w:eastAsia="zh-CN"/>
              </w:rPr>
              <w:t>医废间异味：做好医疗废物密封、清运和消毒工作，每48h清运一次医疗废物。项目医疗废物在存放时异味产生量少，对外环境影响小。</w:t>
            </w:r>
          </w:p>
          <w:p w14:paraId="7738BE8F">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食堂油烟：食堂配套1套油烟净化器，</w:t>
            </w:r>
            <w:r>
              <w:rPr>
                <w:rFonts w:hint="default" w:ascii="Times New Roman" w:hAnsi="Times New Roman" w:cs="Times New Roman"/>
                <w:color w:val="auto"/>
                <w:sz w:val="24"/>
                <w:szCs w:val="24"/>
                <w:lang w:val="en-US" w:eastAsia="zh-CN"/>
              </w:rPr>
              <w:t>排风量</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/h，净化效率</w:t>
            </w:r>
            <w:r>
              <w:rPr>
                <w:rFonts w:hint="eastAsia" w:cs="Times New Roman"/>
                <w:color w:val="auto"/>
                <w:sz w:val="24"/>
                <w:szCs w:val="24"/>
                <w:lang w:val="en-US" w:eastAsia="zh-CN"/>
              </w:rPr>
              <w:t>以6</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项目食堂油烟排放</w:t>
            </w:r>
            <w:r>
              <w:rPr>
                <w:rFonts w:hint="default" w:ascii="Times New Roman" w:hAnsi="Times New Roman" w:cs="Times New Roman"/>
                <w:color w:val="auto"/>
                <w:sz w:val="24"/>
                <w:szCs w:val="24"/>
                <w:lang w:val="en-US" w:eastAsia="zh-CN"/>
              </w:rPr>
              <w:t>满足《饮食业油烟排放标准（试行）》（GB28083-2001）小型规模标准</w:t>
            </w:r>
            <w:r>
              <w:rPr>
                <w:rFonts w:hint="eastAsia" w:cs="Times New Roman"/>
                <w:color w:val="auto"/>
                <w:sz w:val="24"/>
                <w:szCs w:val="24"/>
                <w:lang w:val="en-US" w:eastAsia="zh-CN"/>
              </w:rPr>
              <w:t>限值</w:t>
            </w:r>
            <w:r>
              <w:rPr>
                <w:rFonts w:hint="default" w:ascii="Times New Roman" w:hAnsi="Times New Roman" w:cs="Times New Roman"/>
                <w:color w:val="auto"/>
                <w:sz w:val="24"/>
                <w:szCs w:val="24"/>
                <w:lang w:val="en-US" w:eastAsia="zh-CN"/>
              </w:rPr>
              <w:t>。通过排气筒引至食堂</w:t>
            </w:r>
            <w:r>
              <w:rPr>
                <w:rFonts w:hint="eastAsia" w:ascii="Times New Roman" w:hAnsi="Times New Roman" w:cs="Times New Roman"/>
                <w:color w:val="auto"/>
                <w:sz w:val="24"/>
                <w:szCs w:val="24"/>
                <w:lang w:val="en-US" w:eastAsia="zh-CN"/>
              </w:rPr>
              <w:t>屋顶</w:t>
            </w:r>
            <w:r>
              <w:rPr>
                <w:rFonts w:hint="default" w:ascii="Times New Roman" w:hAnsi="Times New Roman" w:cs="Times New Roman"/>
                <w:color w:val="auto"/>
                <w:sz w:val="24"/>
                <w:szCs w:val="24"/>
                <w:lang w:val="en-US" w:eastAsia="zh-CN"/>
              </w:rPr>
              <w:t>排放，空气扩散条件好，不会造成油烟聚集，对周围环境影响小。</w:t>
            </w:r>
          </w:p>
          <w:p w14:paraId="5C1CC5E2">
            <w:pPr>
              <w:pStyle w:val="32"/>
              <w:numPr>
                <w:ilvl w:val="0"/>
                <w:numId w:val="0"/>
              </w:numPr>
              <w:ind w:firstLine="510" w:firstLineChars="0"/>
              <w:rPr>
                <w:rFonts w:hint="default" w:cs="Times New Roman"/>
                <w:b w:val="0"/>
                <w:bCs w:val="0"/>
                <w:color w:val="auto"/>
                <w:spacing w:val="4"/>
                <w:kern w:val="24"/>
                <w:sz w:val="24"/>
                <w:szCs w:val="24"/>
                <w:lang w:val="en-US" w:eastAsia="zh-CN" w:bidi="ar-SA"/>
              </w:rPr>
            </w:pPr>
            <w:r>
              <w:rPr>
                <w:rFonts w:hint="eastAsia" w:cs="Times New Roman"/>
                <w:b w:val="0"/>
                <w:bCs w:val="0"/>
                <w:color w:val="auto"/>
                <w:spacing w:val="4"/>
                <w:kern w:val="24"/>
                <w:sz w:val="24"/>
                <w:szCs w:val="24"/>
                <w:lang w:val="en-US" w:eastAsia="zh-CN" w:bidi="ar-SA"/>
              </w:rPr>
              <w:t>综上，项目运营期排放的污水处理站异味、</w:t>
            </w:r>
            <w:r>
              <w:rPr>
                <w:rFonts w:hint="eastAsia"/>
                <w:color w:val="auto"/>
                <w:sz w:val="24"/>
                <w:szCs w:val="24"/>
                <w:lang w:val="en-US" w:eastAsia="zh-CN"/>
              </w:rPr>
              <w:t>化粪池异味、生活垃圾异味、医废间异味、</w:t>
            </w:r>
            <w:r>
              <w:rPr>
                <w:rFonts w:hint="eastAsia" w:cs="Times New Roman"/>
                <w:color w:val="auto"/>
                <w:sz w:val="24"/>
                <w:szCs w:val="24"/>
                <w:lang w:val="en-US" w:eastAsia="zh-CN"/>
              </w:rPr>
              <w:t>食堂油烟等废气采取上述措施后均得到有效控制，能做到达标排放，对周边芭蕉树居民影响已降到最小，</w:t>
            </w:r>
            <w:r>
              <w:rPr>
                <w:rFonts w:hint="default" w:ascii="Times New Roman" w:hAnsi="Times New Roman" w:cs="Times New Roman"/>
                <w:color w:val="auto"/>
                <w:sz w:val="24"/>
                <w:szCs w:val="24"/>
                <w:lang w:val="en-US" w:eastAsia="zh-CN"/>
              </w:rPr>
              <w:t>对周围环境影响小。</w:t>
            </w:r>
          </w:p>
          <w:p w14:paraId="4764A33D">
            <w:pPr>
              <w:pStyle w:val="32"/>
              <w:numPr>
                <w:ilvl w:val="0"/>
                <w:numId w:val="0"/>
              </w:numPr>
              <w:ind w:firstLine="510" w:firstLineChars="0"/>
              <w:rPr>
                <w:rFonts w:hint="eastAsia"/>
                <w:b/>
                <w:bCs/>
                <w:color w:val="auto"/>
                <w:sz w:val="24"/>
                <w:szCs w:val="24"/>
                <w:lang w:val="en-US" w:eastAsia="zh-CN"/>
              </w:rPr>
            </w:pPr>
            <w:r>
              <w:rPr>
                <w:rFonts w:hint="eastAsia" w:cs="Times New Roman"/>
                <w:b/>
                <w:bCs/>
                <w:color w:val="auto"/>
                <w:spacing w:val="4"/>
                <w:kern w:val="24"/>
                <w:sz w:val="24"/>
                <w:szCs w:val="24"/>
                <w:lang w:val="en-US" w:eastAsia="zh-CN" w:bidi="ar-SA"/>
              </w:rPr>
              <w:t>4</w:t>
            </w:r>
            <w:r>
              <w:rPr>
                <w:rFonts w:hint="eastAsia" w:ascii="Times New Roman" w:hAnsi="Times New Roman" w:eastAsia="宋体" w:cs="Times New Roman"/>
                <w:b/>
                <w:bCs/>
                <w:color w:val="auto"/>
                <w:spacing w:val="4"/>
                <w:kern w:val="24"/>
                <w:sz w:val="24"/>
                <w:szCs w:val="24"/>
                <w:lang w:val="en-US" w:eastAsia="zh-CN" w:bidi="ar-SA"/>
              </w:rPr>
              <w:t>、</w:t>
            </w:r>
            <w:r>
              <w:rPr>
                <w:rFonts w:hint="eastAsia"/>
                <w:b/>
                <w:bCs/>
                <w:color w:val="auto"/>
                <w:sz w:val="24"/>
                <w:szCs w:val="24"/>
                <w:lang w:val="en-US" w:eastAsia="zh-CN"/>
              </w:rPr>
              <w:t>监测要求</w:t>
            </w:r>
          </w:p>
          <w:p w14:paraId="6281F73B">
            <w:pPr>
              <w:pStyle w:val="32"/>
              <w:numPr>
                <w:ilvl w:val="0"/>
                <w:numId w:val="0"/>
              </w:numPr>
              <w:ind w:firstLine="496" w:firstLineChars="200"/>
              <w:rPr>
                <w:rFonts w:hint="default"/>
                <w:b w:val="0"/>
                <w:bCs w:val="0"/>
                <w:color w:val="auto"/>
                <w:sz w:val="24"/>
                <w:szCs w:val="24"/>
                <w:lang w:val="en-US" w:eastAsia="zh-CN"/>
              </w:rPr>
            </w:pPr>
            <w:r>
              <w:rPr>
                <w:rFonts w:hint="default"/>
                <w:b w:val="0"/>
                <w:bCs w:val="0"/>
                <w:color w:val="auto"/>
                <w:sz w:val="24"/>
                <w:szCs w:val="24"/>
                <w:lang w:val="en-US" w:eastAsia="zh-CN"/>
              </w:rPr>
              <w:t>根据《排污许可申请与核发技术规范医疗机构》(HJ1105-2020)，运营期的废气监测计划见下表4-</w:t>
            </w:r>
            <w:r>
              <w:rPr>
                <w:rFonts w:hint="eastAsia"/>
                <w:b w:val="0"/>
                <w:bCs w:val="0"/>
                <w:color w:val="auto"/>
                <w:sz w:val="24"/>
                <w:szCs w:val="24"/>
                <w:lang w:val="en-US" w:eastAsia="zh-CN"/>
              </w:rPr>
              <w:t>3。</w:t>
            </w:r>
          </w:p>
          <w:p w14:paraId="38CCC65F">
            <w:pPr>
              <w:pStyle w:val="32"/>
              <w:ind w:left="0" w:leftChars="0" w:right="0" w:rightChars="0" w:firstLine="0" w:firstLineChars="0"/>
              <w:jc w:val="center"/>
              <w:rPr>
                <w:rFonts w:hint="eastAsia"/>
                <w:b/>
                <w:bCs/>
                <w:color w:val="auto"/>
                <w:sz w:val="21"/>
                <w:szCs w:val="21"/>
                <w:lang w:val="en-US" w:eastAsia="zh-CN"/>
              </w:rPr>
            </w:pPr>
            <w:r>
              <w:rPr>
                <w:rFonts w:hint="eastAsia"/>
                <w:b/>
                <w:bCs/>
                <w:color w:val="auto"/>
                <w:sz w:val="21"/>
                <w:szCs w:val="21"/>
                <w:lang w:val="en-US" w:eastAsia="zh-CN"/>
              </w:rPr>
              <w:t>表4-3运营期大气监测计划</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669"/>
              <w:gridCol w:w="1669"/>
              <w:gridCol w:w="1669"/>
              <w:gridCol w:w="1669"/>
            </w:tblGrid>
            <w:tr w14:paraId="6424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vAlign w:val="center"/>
                </w:tcPr>
                <w:p w14:paraId="74C67B90">
                  <w:pPr>
                    <w:pStyle w:val="32"/>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监测项目</w:t>
                  </w:r>
                </w:p>
              </w:tc>
              <w:tc>
                <w:tcPr>
                  <w:tcW w:w="1669" w:type="dxa"/>
                  <w:vAlign w:val="center"/>
                </w:tcPr>
                <w:p w14:paraId="13670A17">
                  <w:pPr>
                    <w:pStyle w:val="32"/>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监测地点</w:t>
                  </w:r>
                </w:p>
              </w:tc>
              <w:tc>
                <w:tcPr>
                  <w:tcW w:w="1669" w:type="dxa"/>
                  <w:vAlign w:val="center"/>
                </w:tcPr>
                <w:p w14:paraId="75792954">
                  <w:pPr>
                    <w:pStyle w:val="32"/>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监测参数</w:t>
                  </w:r>
                </w:p>
              </w:tc>
              <w:tc>
                <w:tcPr>
                  <w:tcW w:w="1669" w:type="dxa"/>
                  <w:vAlign w:val="center"/>
                </w:tcPr>
                <w:p w14:paraId="7EFFC88F">
                  <w:pPr>
                    <w:pStyle w:val="32"/>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最低监测上频率</w:t>
                  </w:r>
                </w:p>
              </w:tc>
              <w:tc>
                <w:tcPr>
                  <w:tcW w:w="1669" w:type="dxa"/>
                  <w:vAlign w:val="center"/>
                </w:tcPr>
                <w:p w14:paraId="37459202">
                  <w:pPr>
                    <w:pStyle w:val="32"/>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监测方法</w:t>
                  </w:r>
                </w:p>
              </w:tc>
            </w:tr>
            <w:tr w14:paraId="7154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vAlign w:val="center"/>
                </w:tcPr>
                <w:p w14:paraId="65B7748B">
                  <w:pPr>
                    <w:pStyle w:val="32"/>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c>
                <w:tcPr>
                  <w:tcW w:w="1669" w:type="dxa"/>
                  <w:vAlign w:val="center"/>
                </w:tcPr>
                <w:p w14:paraId="05E7C815">
                  <w:pPr>
                    <w:pStyle w:val="32"/>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default" w:ascii="Times New Roman" w:hAnsi="Times New Roman" w:cs="Times New Roman"/>
                      <w:color w:val="auto"/>
                      <w:kern w:val="2"/>
                      <w:sz w:val="21"/>
                      <w:szCs w:val="20"/>
                      <w:lang w:val="en-US" w:eastAsia="zh-CN" w:bidi="ar-SA"/>
                    </w:rPr>
                    <w:t>项目</w:t>
                  </w:r>
                  <w:r>
                    <w:rPr>
                      <w:rFonts w:hint="eastAsia" w:ascii="Times New Roman" w:hAnsi="Times New Roman" w:cs="Times New Roman"/>
                      <w:color w:val="auto"/>
                      <w:kern w:val="2"/>
                      <w:sz w:val="21"/>
                      <w:szCs w:val="20"/>
                      <w:lang w:val="en-US" w:eastAsia="zh-CN" w:bidi="ar-SA"/>
                    </w:rPr>
                    <w:t>污水处理站</w:t>
                  </w:r>
                  <w:r>
                    <w:rPr>
                      <w:rFonts w:hint="default" w:ascii="Times New Roman" w:hAnsi="Times New Roman" w:eastAsia="宋体" w:cs="Times New Roman"/>
                      <w:color w:val="auto"/>
                      <w:kern w:val="2"/>
                      <w:sz w:val="21"/>
                      <w:szCs w:val="20"/>
                      <w:lang w:val="en-US" w:eastAsia="zh-CN" w:bidi="ar-SA"/>
                    </w:rPr>
                    <w:t>上风向设置1个点，下风向设置3个点</w:t>
                  </w:r>
                  <w:r>
                    <w:rPr>
                      <w:rFonts w:hint="eastAsia" w:ascii="Times New Roman" w:hAnsi="Times New Roman" w:eastAsia="宋体" w:cs="Times New Roman"/>
                      <w:color w:val="auto"/>
                      <w:kern w:val="2"/>
                      <w:sz w:val="21"/>
                      <w:szCs w:val="20"/>
                      <w:lang w:val="en-US" w:eastAsia="zh-CN" w:bidi="ar-SA"/>
                    </w:rPr>
                    <w:t>。</w:t>
                  </w:r>
                </w:p>
              </w:tc>
              <w:tc>
                <w:tcPr>
                  <w:tcW w:w="1669" w:type="dxa"/>
                  <w:vAlign w:val="center"/>
                </w:tcPr>
                <w:p w14:paraId="70880A32">
                  <w:pPr>
                    <w:pStyle w:val="32"/>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氨、硫化氢、臭气浓度、甲烷</w:t>
                  </w:r>
                </w:p>
              </w:tc>
              <w:tc>
                <w:tcPr>
                  <w:tcW w:w="1669" w:type="dxa"/>
                  <w:vAlign w:val="center"/>
                </w:tcPr>
                <w:p w14:paraId="27140C4C">
                  <w:pPr>
                    <w:pStyle w:val="32"/>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1次/季度</w:t>
                  </w:r>
                </w:p>
              </w:tc>
              <w:tc>
                <w:tcPr>
                  <w:tcW w:w="1669" w:type="dxa"/>
                  <w:vAlign w:val="center"/>
                </w:tcPr>
                <w:p w14:paraId="0580A4C8">
                  <w:pPr>
                    <w:pStyle w:val="32"/>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按相关要求技术规范进行</w:t>
                  </w:r>
                </w:p>
              </w:tc>
            </w:tr>
          </w:tbl>
          <w:p w14:paraId="3EF85E20">
            <w:pPr>
              <w:pStyle w:val="32"/>
              <w:ind w:left="0" w:leftChars="0" w:firstLine="0" w:firstLineChars="0"/>
              <w:rPr>
                <w:rFonts w:hint="default"/>
                <w:b/>
                <w:bCs/>
                <w:color w:val="auto"/>
                <w:sz w:val="21"/>
                <w:szCs w:val="21"/>
                <w:lang w:val="en-US" w:eastAsia="zh-CN"/>
              </w:rPr>
            </w:pPr>
          </w:p>
          <w:p w14:paraId="591F5FA8">
            <w:pPr>
              <w:pStyle w:val="32"/>
              <w:rPr>
                <w:rFonts w:hint="default"/>
                <w:b/>
                <w:bCs/>
                <w:color w:val="auto"/>
                <w:sz w:val="24"/>
                <w:szCs w:val="24"/>
                <w:lang w:val="en-US" w:eastAsia="zh-CN"/>
              </w:rPr>
            </w:pPr>
            <w:r>
              <w:rPr>
                <w:rFonts w:hint="eastAsia"/>
                <w:b/>
                <w:bCs/>
                <w:color w:val="auto"/>
                <w:sz w:val="24"/>
                <w:szCs w:val="24"/>
                <w:lang w:val="en-US" w:eastAsia="zh-CN"/>
              </w:rPr>
              <w:t>二、废水</w:t>
            </w:r>
          </w:p>
          <w:p w14:paraId="041577D1">
            <w:pPr>
              <w:keepNext w:val="0"/>
              <w:keepLines w:val="0"/>
              <w:pageBreakBefore w:val="0"/>
              <w:widowControl w:val="0"/>
              <w:kinsoku/>
              <w:wordWrap w:val="0"/>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1、源强</w:t>
            </w:r>
          </w:p>
          <w:p w14:paraId="045C2EBA">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第二章节水平衡</w:t>
            </w:r>
            <w:r>
              <w:rPr>
                <w:rFonts w:hint="eastAsia" w:cs="Times New Roman"/>
                <w:color w:val="auto"/>
                <w:sz w:val="24"/>
                <w:szCs w:val="24"/>
                <w:lang w:val="en-US" w:eastAsia="zh-CN"/>
              </w:rPr>
              <w:t>核算分析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淋浴房用水计入住院用水，不单独核算。</w:t>
            </w:r>
            <w:r>
              <w:rPr>
                <w:rFonts w:hint="eastAsia" w:ascii="Times New Roman" w:hAnsi="Times New Roman" w:cs="Times New Roman"/>
                <w:b w:val="0"/>
                <w:bCs w:val="0"/>
                <w:color w:val="auto"/>
                <w:sz w:val="24"/>
                <w:szCs w:val="24"/>
                <w:lang w:val="en-US" w:eastAsia="zh-CN"/>
              </w:rPr>
              <w:t>项目用水及废水产生</w:t>
            </w:r>
            <w:r>
              <w:rPr>
                <w:rFonts w:hint="eastAsia" w:cs="Times New Roman"/>
                <w:b w:val="0"/>
                <w:bCs w:val="0"/>
                <w:color w:val="auto"/>
                <w:sz w:val="24"/>
                <w:szCs w:val="24"/>
                <w:lang w:val="en-US" w:eastAsia="zh-CN"/>
              </w:rPr>
              <w:t>情况</w:t>
            </w:r>
            <w:r>
              <w:rPr>
                <w:rFonts w:hint="eastAsia" w:ascii="Times New Roman" w:hAnsi="Times New Roman" w:cs="Times New Roman"/>
                <w:b w:val="0"/>
                <w:bCs w:val="0"/>
                <w:color w:val="auto"/>
                <w:sz w:val="24"/>
                <w:szCs w:val="24"/>
                <w:lang w:val="en-US" w:eastAsia="zh-CN"/>
              </w:rPr>
              <w:t>汇总如下：</w:t>
            </w:r>
          </w:p>
          <w:p w14:paraId="3E6FB62E">
            <w:pPr>
              <w:spacing w:line="360" w:lineRule="auto"/>
              <w:ind w:firstLine="361" w:firstLineChars="15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 xml:space="preserve">4-4 </w:t>
            </w:r>
            <w:r>
              <w:rPr>
                <w:rFonts w:hint="default" w:ascii="Times New Roman" w:hAnsi="Times New Roman" w:cs="Times New Roman"/>
                <w:b/>
                <w:bCs/>
                <w:color w:val="auto"/>
                <w:sz w:val="24"/>
                <w:szCs w:val="24"/>
              </w:rPr>
              <w:t xml:space="preserve"> 项目用水及废水产生情况统计表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6"/>
              <w:gridCol w:w="1091"/>
              <w:gridCol w:w="1119"/>
              <w:gridCol w:w="1090"/>
              <w:gridCol w:w="1119"/>
              <w:gridCol w:w="2814"/>
            </w:tblGrid>
            <w:tr w14:paraId="2582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657" w:type="pct"/>
                  <w:noWrap w:val="0"/>
                  <w:vAlign w:val="center"/>
                </w:tcPr>
                <w:p w14:paraId="19E53B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用水项目</w:t>
                  </w:r>
                </w:p>
              </w:tc>
              <w:tc>
                <w:tcPr>
                  <w:tcW w:w="654" w:type="pct"/>
                  <w:noWrap w:val="0"/>
                  <w:vAlign w:val="center"/>
                </w:tcPr>
                <w:p w14:paraId="3FE94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日用水量</w:t>
                  </w:r>
                </w:p>
                <w:p w14:paraId="55008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r>
                    <w:rPr>
                      <w:rFonts w:hint="eastAsia" w:cs="Times New Roman"/>
                      <w:b/>
                      <w:bCs/>
                      <w:color w:val="auto"/>
                      <w:sz w:val="21"/>
                      <w:szCs w:val="21"/>
                      <w:lang w:eastAsia="zh-CN"/>
                    </w:rPr>
                    <w:t>)</w:t>
                  </w:r>
                </w:p>
              </w:tc>
              <w:tc>
                <w:tcPr>
                  <w:tcW w:w="671" w:type="pct"/>
                  <w:noWrap w:val="0"/>
                  <w:vAlign w:val="center"/>
                </w:tcPr>
                <w:p w14:paraId="42357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年用水量</w:t>
                  </w:r>
                </w:p>
                <w:p w14:paraId="062892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cs="Times New Roman"/>
                      <w:b/>
                      <w:bCs/>
                      <w:color w:val="auto"/>
                      <w:sz w:val="21"/>
                      <w:szCs w:val="21"/>
                      <w:lang w:eastAsia="zh-CN"/>
                    </w:rPr>
                    <w:t>)</w:t>
                  </w:r>
                </w:p>
              </w:tc>
              <w:tc>
                <w:tcPr>
                  <w:tcW w:w="654" w:type="pct"/>
                  <w:noWrap w:val="0"/>
                  <w:vAlign w:val="center"/>
                </w:tcPr>
                <w:p w14:paraId="71F22D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日废水量（m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671" w:type="pct"/>
                  <w:noWrap w:val="0"/>
                  <w:vAlign w:val="center"/>
                </w:tcPr>
                <w:p w14:paraId="2E464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年废水量</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ascii="Times New Roman" w:hAnsi="Times New Roman" w:cs="Times New Roman"/>
                      <w:b/>
                      <w:bCs/>
                      <w:color w:val="auto"/>
                      <w:sz w:val="21"/>
                      <w:szCs w:val="21"/>
                      <w:lang w:eastAsia="zh-CN"/>
                    </w:rPr>
                    <w:t>）</w:t>
                  </w:r>
                </w:p>
              </w:tc>
              <w:tc>
                <w:tcPr>
                  <w:tcW w:w="1689" w:type="pct"/>
                  <w:noWrap w:val="0"/>
                  <w:vAlign w:val="center"/>
                </w:tcPr>
                <w:p w14:paraId="4761A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处理去向</w:t>
                  </w:r>
                </w:p>
              </w:tc>
            </w:tr>
            <w:tr w14:paraId="0A75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563E1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住院用水</w:t>
                  </w:r>
                </w:p>
              </w:tc>
              <w:tc>
                <w:tcPr>
                  <w:tcW w:w="654" w:type="pct"/>
                  <w:noWrap w:val="0"/>
                  <w:vAlign w:val="center"/>
                </w:tcPr>
                <w:p w14:paraId="54C500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671" w:type="pct"/>
                  <w:noWrap w:val="0"/>
                  <w:vAlign w:val="center"/>
                </w:tcPr>
                <w:p w14:paraId="65000B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11826</w:t>
                  </w:r>
                </w:p>
              </w:tc>
              <w:tc>
                <w:tcPr>
                  <w:tcW w:w="654" w:type="pct"/>
                  <w:noWrap w:val="0"/>
                  <w:vAlign w:val="center"/>
                </w:tcPr>
                <w:p w14:paraId="097D42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25.92</w:t>
                  </w:r>
                </w:p>
              </w:tc>
              <w:tc>
                <w:tcPr>
                  <w:tcW w:w="671" w:type="pct"/>
                  <w:noWrap w:val="0"/>
                  <w:vAlign w:val="center"/>
                </w:tcPr>
                <w:p w14:paraId="609E293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9460.8</w:t>
                  </w:r>
                </w:p>
              </w:tc>
              <w:tc>
                <w:tcPr>
                  <w:tcW w:w="2814" w:type="dxa"/>
                  <w:vMerge w:val="restart"/>
                  <w:noWrap w:val="0"/>
                  <w:vAlign w:val="center"/>
                </w:tcPr>
                <w:p w14:paraId="5C8C8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1"/>
                      <w:szCs w:val="21"/>
                      <w:lang w:val="en-US" w:eastAsia="zh-CN"/>
                    </w:rPr>
                    <w:t>本次评价要求项目在倘甸镇污水处理厂投运之前不得投运。待倘甸镇污水处理厂投入运行且项目至污水处理厂的管网接通后，医院废水经自建污水处理站处理达到《医疗机构水污染物排放标准》（GB18466-2005）表2预处理标准后排入市政污水管网，最终排入倘甸镇污水处理厂。</w:t>
                  </w:r>
                </w:p>
              </w:tc>
            </w:tr>
            <w:tr w14:paraId="4400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602CC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门诊用水</w:t>
                  </w:r>
                </w:p>
              </w:tc>
              <w:tc>
                <w:tcPr>
                  <w:tcW w:w="654" w:type="pct"/>
                  <w:noWrap w:val="0"/>
                  <w:vAlign w:val="center"/>
                </w:tcPr>
                <w:p w14:paraId="0EB14F6B">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0.0067</w:t>
                  </w:r>
                </w:p>
              </w:tc>
              <w:tc>
                <w:tcPr>
                  <w:tcW w:w="671" w:type="pct"/>
                  <w:noWrap w:val="0"/>
                  <w:vAlign w:val="center"/>
                </w:tcPr>
                <w:p w14:paraId="5FE53AE5">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2.4455</w:t>
                  </w:r>
                </w:p>
              </w:tc>
              <w:tc>
                <w:tcPr>
                  <w:tcW w:w="654" w:type="pct"/>
                  <w:noWrap w:val="0"/>
                  <w:vAlign w:val="center"/>
                </w:tcPr>
                <w:p w14:paraId="02422067">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0.0053</w:t>
                  </w:r>
                </w:p>
              </w:tc>
              <w:tc>
                <w:tcPr>
                  <w:tcW w:w="671" w:type="pct"/>
                  <w:noWrap w:val="0"/>
                  <w:vAlign w:val="center"/>
                </w:tcPr>
                <w:p w14:paraId="414D8EA1">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1.9345</w:t>
                  </w:r>
                </w:p>
              </w:tc>
              <w:tc>
                <w:tcPr>
                  <w:tcW w:w="1689" w:type="pct"/>
                  <w:vMerge w:val="continue"/>
                  <w:noWrap w:val="0"/>
                  <w:vAlign w:val="center"/>
                </w:tcPr>
                <w:p w14:paraId="762EF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3D40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6AD4CB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员工用水</w:t>
                  </w:r>
                </w:p>
              </w:tc>
              <w:tc>
                <w:tcPr>
                  <w:tcW w:w="654" w:type="pct"/>
                  <w:noWrap w:val="0"/>
                  <w:vAlign w:val="center"/>
                </w:tcPr>
                <w:p w14:paraId="201F569B">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w:t>
                  </w:r>
                </w:p>
              </w:tc>
              <w:tc>
                <w:tcPr>
                  <w:tcW w:w="671" w:type="pct"/>
                  <w:noWrap w:val="0"/>
                  <w:vAlign w:val="center"/>
                </w:tcPr>
                <w:p w14:paraId="1D98089D">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146</w:t>
                  </w:r>
                </w:p>
              </w:tc>
              <w:tc>
                <w:tcPr>
                  <w:tcW w:w="654" w:type="pct"/>
                  <w:noWrap w:val="0"/>
                  <w:vAlign w:val="center"/>
                </w:tcPr>
                <w:p w14:paraId="73D870B1">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0.32</w:t>
                  </w:r>
                </w:p>
              </w:tc>
              <w:tc>
                <w:tcPr>
                  <w:tcW w:w="671" w:type="pct"/>
                  <w:noWrap w:val="0"/>
                  <w:vAlign w:val="center"/>
                </w:tcPr>
                <w:p w14:paraId="0B8BB808">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116.8</w:t>
                  </w:r>
                </w:p>
              </w:tc>
              <w:tc>
                <w:tcPr>
                  <w:tcW w:w="1689" w:type="pct"/>
                  <w:vMerge w:val="continue"/>
                  <w:noWrap w:val="0"/>
                  <w:vAlign w:val="center"/>
                </w:tcPr>
                <w:p w14:paraId="7B250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0E4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7" w:type="pct"/>
                  <w:noWrap w:val="0"/>
                  <w:vAlign w:val="center"/>
                </w:tcPr>
                <w:p w14:paraId="2ACA4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食堂用水</w:t>
                  </w:r>
                </w:p>
              </w:tc>
              <w:tc>
                <w:tcPr>
                  <w:tcW w:w="654" w:type="pct"/>
                  <w:noWrap w:val="0"/>
                  <w:vAlign w:val="center"/>
                </w:tcPr>
                <w:p w14:paraId="193AAC5F">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3.33</w:t>
                  </w:r>
                </w:p>
              </w:tc>
              <w:tc>
                <w:tcPr>
                  <w:tcW w:w="671" w:type="pct"/>
                  <w:noWrap w:val="0"/>
                  <w:vAlign w:val="center"/>
                </w:tcPr>
                <w:p w14:paraId="4F814F5F">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1215.45</w:t>
                  </w:r>
                </w:p>
              </w:tc>
              <w:tc>
                <w:tcPr>
                  <w:tcW w:w="654" w:type="pct"/>
                  <w:noWrap w:val="0"/>
                  <w:vAlign w:val="center"/>
                </w:tcPr>
                <w:p w14:paraId="09B90A2A">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2.664</w:t>
                  </w:r>
                </w:p>
              </w:tc>
              <w:tc>
                <w:tcPr>
                  <w:tcW w:w="671" w:type="pct"/>
                  <w:noWrap w:val="0"/>
                  <w:vAlign w:val="center"/>
                </w:tcPr>
                <w:p w14:paraId="780689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972.36</w:t>
                  </w:r>
                </w:p>
              </w:tc>
              <w:tc>
                <w:tcPr>
                  <w:tcW w:w="1689" w:type="pct"/>
                  <w:vMerge w:val="continue"/>
                  <w:noWrap w:val="0"/>
                  <w:vAlign w:val="center"/>
                </w:tcPr>
                <w:p w14:paraId="24449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B5A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7" w:type="pct"/>
                  <w:noWrap w:val="0"/>
                  <w:vAlign w:val="center"/>
                </w:tcPr>
                <w:p w14:paraId="48AFD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洗衣房用水</w:t>
                  </w:r>
                </w:p>
              </w:tc>
              <w:tc>
                <w:tcPr>
                  <w:tcW w:w="654" w:type="pct"/>
                  <w:noWrap w:val="0"/>
                  <w:vAlign w:val="center"/>
                </w:tcPr>
                <w:p w14:paraId="275D274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1.7</w:t>
                  </w:r>
                </w:p>
              </w:tc>
              <w:tc>
                <w:tcPr>
                  <w:tcW w:w="671" w:type="pct"/>
                  <w:noWrap w:val="0"/>
                  <w:vAlign w:val="center"/>
                </w:tcPr>
                <w:p w14:paraId="3D00518E">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622.08</w:t>
                  </w:r>
                </w:p>
              </w:tc>
              <w:tc>
                <w:tcPr>
                  <w:tcW w:w="654" w:type="pct"/>
                  <w:noWrap w:val="0"/>
                  <w:vAlign w:val="center"/>
                </w:tcPr>
                <w:p w14:paraId="07196FE3">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1.53</w:t>
                  </w:r>
                </w:p>
              </w:tc>
              <w:tc>
                <w:tcPr>
                  <w:tcW w:w="671" w:type="pct"/>
                  <w:noWrap w:val="0"/>
                  <w:vAlign w:val="center"/>
                </w:tcPr>
                <w:p w14:paraId="4E7B75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558.45</w:t>
                  </w:r>
                </w:p>
              </w:tc>
              <w:tc>
                <w:tcPr>
                  <w:tcW w:w="1689" w:type="pct"/>
                  <w:vMerge w:val="continue"/>
                  <w:noWrap w:val="0"/>
                  <w:vAlign w:val="center"/>
                </w:tcPr>
                <w:p w14:paraId="41446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18AB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96" w:type="dxa"/>
                  <w:noWrap w:val="0"/>
                  <w:vAlign w:val="center"/>
                </w:tcPr>
                <w:p w14:paraId="28E36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检验废液</w:t>
                  </w:r>
                </w:p>
              </w:tc>
              <w:tc>
                <w:tcPr>
                  <w:tcW w:w="1089" w:type="dxa"/>
                  <w:noWrap w:val="0"/>
                  <w:vAlign w:val="center"/>
                </w:tcPr>
                <w:p w14:paraId="42B43508">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0.1</w:t>
                  </w:r>
                </w:p>
              </w:tc>
              <w:tc>
                <w:tcPr>
                  <w:tcW w:w="1117" w:type="dxa"/>
                  <w:noWrap w:val="0"/>
                  <w:vAlign w:val="center"/>
                </w:tcPr>
                <w:p w14:paraId="0A2E9AE9">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36.5</w:t>
                  </w:r>
                </w:p>
              </w:tc>
              <w:tc>
                <w:tcPr>
                  <w:tcW w:w="1088" w:type="dxa"/>
                  <w:noWrap w:val="0"/>
                  <w:vAlign w:val="center"/>
                </w:tcPr>
                <w:p w14:paraId="16D4BE63">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0.09</w:t>
                  </w:r>
                </w:p>
              </w:tc>
              <w:tc>
                <w:tcPr>
                  <w:tcW w:w="1117" w:type="dxa"/>
                  <w:noWrap w:val="0"/>
                  <w:vAlign w:val="center"/>
                </w:tcPr>
                <w:p w14:paraId="4420998E">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32.9</w:t>
                  </w:r>
                </w:p>
              </w:tc>
              <w:tc>
                <w:tcPr>
                  <w:tcW w:w="2814" w:type="dxa"/>
                  <w:noWrap w:val="0"/>
                  <w:vAlign w:val="center"/>
                </w:tcPr>
                <w:p w14:paraId="6A820F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清洗废水排入化粪池处理，处理后排入院内污水处理站处理。</w:t>
                  </w:r>
                </w:p>
                <w:p w14:paraId="7547D3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bCs/>
                      <w:color w:val="auto"/>
                      <w:sz w:val="21"/>
                      <w:szCs w:val="21"/>
                      <w:lang w:val="en-US" w:eastAsia="zh-CN"/>
                    </w:rPr>
                  </w:pPr>
                  <w:r>
                    <w:rPr>
                      <w:rFonts w:hint="eastAsia" w:cs="Times New Roman"/>
                      <w:color w:val="auto"/>
                      <w:sz w:val="21"/>
                      <w:szCs w:val="21"/>
                      <w:lang w:val="en-US" w:eastAsia="zh-CN"/>
                    </w:rPr>
                    <w:t>检测后的血样、尿样等废液作为医疗固废处置，暂存在医疗固废间委托西畴铂鑫医疗废物处理有限公司进行处置。</w:t>
                  </w:r>
                </w:p>
              </w:tc>
            </w:tr>
            <w:tr w14:paraId="5F0A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75010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合计</w:t>
                  </w:r>
                </w:p>
              </w:tc>
              <w:tc>
                <w:tcPr>
                  <w:tcW w:w="1089" w:type="dxa"/>
                  <w:noWrap w:val="0"/>
                  <w:vAlign w:val="center"/>
                </w:tcPr>
                <w:p w14:paraId="01AD7FB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37.8367</w:t>
                  </w:r>
                </w:p>
              </w:tc>
              <w:tc>
                <w:tcPr>
                  <w:tcW w:w="1117" w:type="dxa"/>
                  <w:noWrap w:val="0"/>
                  <w:vAlign w:val="center"/>
                </w:tcPr>
                <w:p w14:paraId="39CDD9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13848.4755</w:t>
                  </w:r>
                </w:p>
              </w:tc>
              <w:tc>
                <w:tcPr>
                  <w:tcW w:w="1088" w:type="dxa"/>
                  <w:noWrap w:val="0"/>
                  <w:vAlign w:val="center"/>
                </w:tcPr>
                <w:p w14:paraId="069E22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30.5293</w:t>
                  </w:r>
                </w:p>
              </w:tc>
              <w:tc>
                <w:tcPr>
                  <w:tcW w:w="1117" w:type="dxa"/>
                  <w:noWrap w:val="0"/>
                  <w:vAlign w:val="center"/>
                </w:tcPr>
                <w:p w14:paraId="60724A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11143.2445</w:t>
                  </w:r>
                </w:p>
              </w:tc>
              <w:tc>
                <w:tcPr>
                  <w:tcW w:w="1689" w:type="pct"/>
                  <w:noWrap w:val="0"/>
                  <w:vAlign w:val="center"/>
                </w:tcPr>
                <w:p w14:paraId="0203A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r>
          </w:tbl>
          <w:p w14:paraId="0B65AE82">
            <w:pPr>
              <w:numPr>
                <w:ilvl w:val="0"/>
                <w:numId w:val="0"/>
              </w:numPr>
              <w:spacing w:line="360" w:lineRule="auto"/>
              <w:ind w:firstLine="480" w:firstLineChars="200"/>
              <w:rPr>
                <w:rFonts w:hint="eastAsia" w:eastAsia="宋体"/>
                <w:b w:val="0"/>
                <w:bCs w:val="0"/>
                <w:color w:val="auto"/>
                <w:sz w:val="24"/>
                <w:szCs w:val="24"/>
                <w:lang w:val="en-US" w:eastAsia="zh-CN"/>
              </w:rPr>
            </w:pPr>
            <w:r>
              <w:rPr>
                <w:rFonts w:hint="eastAsia"/>
                <w:b w:val="0"/>
                <w:bCs w:val="0"/>
                <w:color w:val="auto"/>
                <w:sz w:val="24"/>
                <w:szCs w:val="24"/>
                <w:lang w:val="en-US" w:eastAsia="zh-CN"/>
              </w:rPr>
              <w:t>综上，本项目日用水量为37.8367</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b w:val="0"/>
                <w:bCs w:val="0"/>
                <w:color w:val="auto"/>
                <w:sz w:val="24"/>
                <w:szCs w:val="24"/>
                <w:lang w:val="en-US" w:eastAsia="zh-CN"/>
              </w:rPr>
              <w:t>年用水量为13848.4755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日废水量为</w:t>
            </w:r>
            <w:r>
              <w:rPr>
                <w:rFonts w:hint="eastAsia" w:cs="Times New Roman"/>
                <w:b w:val="0"/>
                <w:bCs w:val="0"/>
                <w:color w:val="auto"/>
                <w:sz w:val="24"/>
                <w:szCs w:val="24"/>
                <w:lang w:val="en-US" w:eastAsia="zh-CN"/>
              </w:rPr>
              <w:t>30.5293</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年废水量为</w:t>
            </w:r>
            <w:r>
              <w:rPr>
                <w:rFonts w:hint="eastAsia" w:cs="Times New Roman"/>
                <w:b w:val="0"/>
                <w:bCs w:val="0"/>
                <w:color w:val="auto"/>
                <w:sz w:val="24"/>
                <w:szCs w:val="24"/>
                <w:lang w:val="en-US" w:eastAsia="zh-CN"/>
              </w:rPr>
              <w:t>11143.2445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p>
          <w:p w14:paraId="0515C6B5">
            <w:pPr>
              <w:keepNext w:val="0"/>
              <w:keepLines w:val="0"/>
              <w:widowControl/>
              <w:suppressLineNumbers w:val="0"/>
              <w:spacing w:line="360" w:lineRule="auto"/>
              <w:ind w:firstLine="480" w:firstLineChars="200"/>
              <w:jc w:val="left"/>
              <w:rPr>
                <w:rFonts w:hint="default" w:cs="Times New Roman"/>
                <w:color w:val="auto"/>
                <w:sz w:val="24"/>
                <w:szCs w:val="24"/>
                <w:lang w:val="en-US" w:eastAsia="zh-CN"/>
              </w:rPr>
            </w:pPr>
            <w:r>
              <w:rPr>
                <w:rFonts w:hint="eastAsia" w:cs="Times New Roman"/>
                <w:color w:val="auto"/>
                <w:sz w:val="24"/>
                <w:szCs w:val="24"/>
                <w:lang w:val="en-US" w:eastAsia="zh-CN"/>
              </w:rPr>
              <w:t>本项目污水处理站利用原项目污水处理设备，处理能力为15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d，在原设备基础上新增1套污水处理设备，</w:t>
            </w:r>
            <w:r>
              <w:rPr>
                <w:rFonts w:hint="eastAsia" w:cs="Times New Roman"/>
                <w:color w:val="auto"/>
                <w:sz w:val="24"/>
                <w:szCs w:val="24"/>
                <w:lang w:val="en-US" w:eastAsia="zh-CN"/>
              </w:rPr>
              <w:t>处理能力为35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d</w:t>
            </w:r>
            <w:r>
              <w:rPr>
                <w:rFonts w:hint="eastAsia" w:cs="Times New Roman"/>
                <w:color w:val="auto"/>
                <w:sz w:val="24"/>
                <w:szCs w:val="24"/>
                <w:lang w:val="en-US" w:eastAsia="zh-CN"/>
              </w:rPr>
              <w:t>，两套设备并列运行，总处理能力为50</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d</w:t>
            </w:r>
            <w:r>
              <w:rPr>
                <w:rFonts w:hint="eastAsia" w:cs="Times New Roman"/>
                <w:color w:val="auto"/>
                <w:sz w:val="24"/>
                <w:szCs w:val="24"/>
                <w:lang w:val="en-US" w:eastAsia="zh-CN"/>
              </w:rPr>
              <w:t>。</w:t>
            </w:r>
            <w:r>
              <w:rPr>
                <w:rFonts w:hint="eastAsia" w:ascii="Times New Roman" w:hAnsi="Times New Roman" w:cs="Times New Roman"/>
                <w:b w:val="0"/>
                <w:bCs w:val="0"/>
                <w:color w:val="auto"/>
                <w:sz w:val="24"/>
                <w:szCs w:val="24"/>
                <w:lang w:val="en-US" w:eastAsia="zh-CN"/>
              </w:rPr>
              <w:t>新增污水处理设备</w:t>
            </w:r>
            <w:r>
              <w:rPr>
                <w:rFonts w:hint="eastAsia" w:cs="Times New Roman"/>
                <w:color w:val="auto"/>
                <w:sz w:val="24"/>
                <w:szCs w:val="24"/>
                <w:lang w:val="en-US" w:eastAsia="zh-CN"/>
              </w:rPr>
              <w:t>采用原有工艺，故废水水质未发生变化，出水水质参照2025年6月12日云南厚望环保科技有限公司出具的“昆明长青慈宁精神病院2025年废水检测报告”。</w:t>
            </w:r>
          </w:p>
          <w:p w14:paraId="0B8B4EAF">
            <w:pPr>
              <w:pStyle w:val="12"/>
              <w:bidi w:val="0"/>
              <w:rPr>
                <w:rFonts w:hint="eastAsia"/>
                <w:color w:val="auto"/>
                <w:lang w:val="en-US" w:eastAsia="zh-CN"/>
              </w:rPr>
            </w:pPr>
            <w:r>
              <w:rPr>
                <w:rFonts w:hint="eastAsia"/>
                <w:color w:val="auto"/>
                <w:lang w:val="en-US" w:eastAsia="zh-CN"/>
              </w:rPr>
              <w:t>本项目进水水质类比2019年6月21日《昆明精康精神病医院项目竣工环境保护验收监测报告表》进水水质检测结果</w:t>
            </w:r>
            <w:r>
              <w:rPr>
                <w:rFonts w:hint="default"/>
                <w:b w:val="0"/>
                <w:bCs w:val="0"/>
                <w:color w:val="auto"/>
              </w:rPr>
              <w:t>BOD</w:t>
            </w:r>
            <w:r>
              <w:rPr>
                <w:rFonts w:hint="default"/>
                <w:b w:val="0"/>
                <w:bCs w:val="0"/>
                <w:color w:val="auto"/>
                <w:vertAlign w:val="subscript"/>
              </w:rPr>
              <w:t>5</w:t>
            </w:r>
            <w:r>
              <w:rPr>
                <w:rFonts w:hint="eastAsia"/>
                <w:b w:val="0"/>
                <w:bCs w:val="0"/>
                <w:color w:val="auto"/>
                <w:lang w:eastAsia="zh-CN"/>
              </w:rPr>
              <w:t>：</w:t>
            </w:r>
            <w:r>
              <w:rPr>
                <w:rFonts w:hint="eastAsia"/>
                <w:b w:val="0"/>
                <w:bCs w:val="0"/>
                <w:color w:val="auto"/>
                <w:lang w:val="en-US" w:eastAsia="zh-CN"/>
              </w:rPr>
              <w:t>350</w:t>
            </w:r>
            <w:r>
              <w:rPr>
                <w:rFonts w:hint="default"/>
                <w:b w:val="0"/>
                <w:bCs w:val="0"/>
                <w:color w:val="auto"/>
              </w:rPr>
              <w:t>mg/L</w:t>
            </w:r>
            <w:r>
              <w:rPr>
                <w:rFonts w:hint="eastAsia"/>
                <w:b w:val="0"/>
                <w:bCs w:val="0"/>
                <w:color w:val="auto"/>
                <w:lang w:eastAsia="zh-CN"/>
              </w:rPr>
              <w:t>，</w:t>
            </w:r>
            <w:r>
              <w:rPr>
                <w:rFonts w:hint="default"/>
                <w:b w:val="0"/>
                <w:bCs w:val="0"/>
                <w:color w:val="auto"/>
              </w:rPr>
              <w:t>CODcr</w:t>
            </w:r>
            <w:r>
              <w:rPr>
                <w:rFonts w:hint="eastAsia"/>
                <w:b w:val="0"/>
                <w:bCs w:val="0"/>
                <w:color w:val="auto"/>
                <w:lang w:eastAsia="zh-CN"/>
              </w:rPr>
              <w:t>：</w:t>
            </w:r>
            <w:r>
              <w:rPr>
                <w:rFonts w:hint="eastAsia"/>
                <w:b w:val="0"/>
                <w:bCs w:val="0"/>
                <w:color w:val="auto"/>
                <w:lang w:val="en-US" w:eastAsia="zh-CN"/>
              </w:rPr>
              <w:t>180</w:t>
            </w:r>
            <w:r>
              <w:rPr>
                <w:rFonts w:hint="default"/>
                <w:b w:val="0"/>
                <w:bCs w:val="0"/>
                <w:color w:val="auto"/>
              </w:rPr>
              <w:t>mg/L</w:t>
            </w:r>
            <w:r>
              <w:rPr>
                <w:rFonts w:hint="eastAsia"/>
                <w:b w:val="0"/>
                <w:bCs w:val="0"/>
                <w:color w:val="auto"/>
                <w:lang w:eastAsia="zh-CN"/>
              </w:rPr>
              <w:t>，</w:t>
            </w:r>
            <w:r>
              <w:rPr>
                <w:rFonts w:hint="default"/>
                <w:b w:val="0"/>
                <w:bCs w:val="0"/>
                <w:color w:val="auto"/>
              </w:rPr>
              <w:t>SS</w:t>
            </w:r>
            <w:r>
              <w:rPr>
                <w:rFonts w:hint="eastAsia"/>
                <w:b w:val="0"/>
                <w:bCs w:val="0"/>
                <w:color w:val="auto"/>
                <w:lang w:eastAsia="zh-CN"/>
              </w:rPr>
              <w:t>：</w:t>
            </w:r>
            <w:r>
              <w:rPr>
                <w:rFonts w:hint="eastAsia"/>
                <w:b w:val="0"/>
                <w:bCs w:val="0"/>
                <w:color w:val="auto"/>
                <w:lang w:val="en-US" w:eastAsia="zh-CN"/>
              </w:rPr>
              <w:t>320</w:t>
            </w:r>
            <w:r>
              <w:rPr>
                <w:rFonts w:hint="default"/>
                <w:b w:val="0"/>
                <w:bCs w:val="0"/>
                <w:color w:val="auto"/>
              </w:rPr>
              <w:t>mg/L</w:t>
            </w:r>
            <w:r>
              <w:rPr>
                <w:rFonts w:hint="eastAsia"/>
                <w:b w:val="0"/>
                <w:bCs w:val="0"/>
                <w:color w:val="auto"/>
                <w:lang w:eastAsia="zh-CN"/>
              </w:rPr>
              <w:t>，</w:t>
            </w:r>
            <w:r>
              <w:rPr>
                <w:rFonts w:hint="default"/>
                <w:b w:val="0"/>
                <w:bCs w:val="0"/>
                <w:color w:val="auto"/>
              </w:rPr>
              <w:t>NH</w:t>
            </w:r>
            <w:r>
              <w:rPr>
                <w:rFonts w:hint="default"/>
                <w:b w:val="0"/>
                <w:bCs w:val="0"/>
                <w:color w:val="auto"/>
                <w:vertAlign w:val="subscript"/>
              </w:rPr>
              <w:t>3</w:t>
            </w:r>
            <w:r>
              <w:rPr>
                <w:rFonts w:hint="default"/>
                <w:b w:val="0"/>
                <w:bCs w:val="0"/>
                <w:color w:val="auto"/>
              </w:rPr>
              <w:t>-N</w:t>
            </w:r>
            <w:r>
              <w:rPr>
                <w:rFonts w:hint="eastAsia"/>
                <w:b w:val="0"/>
                <w:bCs w:val="0"/>
                <w:color w:val="auto"/>
                <w:lang w:eastAsia="zh-CN"/>
              </w:rPr>
              <w:t>：</w:t>
            </w:r>
            <w:r>
              <w:rPr>
                <w:rFonts w:hint="eastAsia"/>
                <w:b w:val="0"/>
                <w:bCs w:val="0"/>
                <w:color w:val="auto"/>
                <w:lang w:val="en-US" w:eastAsia="zh-CN"/>
              </w:rPr>
              <w:t>30</w:t>
            </w:r>
            <w:r>
              <w:rPr>
                <w:rFonts w:hint="default"/>
                <w:b w:val="0"/>
                <w:bCs w:val="0"/>
                <w:color w:val="auto"/>
              </w:rPr>
              <w:t>mg/L</w:t>
            </w:r>
            <w:r>
              <w:rPr>
                <w:rFonts w:hint="eastAsia"/>
                <w:b w:val="0"/>
                <w:bCs w:val="0"/>
                <w:color w:val="auto"/>
                <w:lang w:eastAsia="zh-CN"/>
              </w:rPr>
              <w:t>，</w:t>
            </w:r>
            <w:r>
              <w:rPr>
                <w:rFonts w:hint="default"/>
                <w:color w:val="auto"/>
              </w:rPr>
              <w:t>粪大肠菌群数</w:t>
            </w:r>
            <w:r>
              <w:rPr>
                <w:rFonts w:hint="eastAsia"/>
                <w:color w:val="auto"/>
                <w:lang w:eastAsia="zh-CN"/>
              </w:rPr>
              <w:t>：</w:t>
            </w:r>
            <w:r>
              <w:rPr>
                <w:rFonts w:hint="eastAsia"/>
                <w:color w:val="auto"/>
                <w:lang w:val="en-US" w:eastAsia="zh-CN"/>
              </w:rPr>
              <w:t>1000000</w:t>
            </w:r>
            <w:r>
              <w:rPr>
                <w:rFonts w:hint="default"/>
                <w:color w:val="auto"/>
              </w:rPr>
              <w:t>个/L</w:t>
            </w:r>
            <w:r>
              <w:rPr>
                <w:rFonts w:hint="eastAsia"/>
                <w:color w:val="auto"/>
                <w:lang w:eastAsia="zh-CN"/>
              </w:rPr>
              <w:t>，</w:t>
            </w:r>
            <w:r>
              <w:rPr>
                <w:rFonts w:hint="eastAsia"/>
                <w:color w:val="auto"/>
                <w:lang w:val="en-US" w:eastAsia="zh-CN"/>
              </w:rPr>
              <w:t>动植物油：40mg/L。昆明精康精神病医院设置103张床位，产污环节与本项目一致，</w:t>
            </w:r>
            <w:r>
              <w:rPr>
                <w:rFonts w:hint="eastAsia" w:cs="Times New Roman"/>
                <w:color w:val="auto"/>
                <w:sz w:val="24"/>
                <w:szCs w:val="24"/>
                <w:lang w:val="en-US" w:eastAsia="zh-CN"/>
              </w:rPr>
              <w:t>故类比是可行的。</w:t>
            </w:r>
          </w:p>
          <w:p w14:paraId="3BD339BF">
            <w:pPr>
              <w:spacing w:line="360" w:lineRule="auto"/>
              <w:ind w:left="0" w:leftChars="0" w:right="0" w:rightChars="0" w:firstLine="0" w:firstLineChars="0"/>
              <w:jc w:val="center"/>
              <w:rPr>
                <w:color w:val="auto"/>
              </w:rPr>
            </w:pPr>
            <w:r>
              <w:rPr>
                <w:b/>
                <w:bCs/>
                <w:color w:val="auto"/>
                <w:sz w:val="21"/>
                <w:szCs w:val="21"/>
              </w:rPr>
              <w:t>表</w:t>
            </w:r>
            <w:r>
              <w:rPr>
                <w:rFonts w:hint="eastAsia"/>
                <w:b/>
                <w:bCs/>
                <w:color w:val="auto"/>
                <w:sz w:val="21"/>
                <w:szCs w:val="21"/>
                <w:lang w:val="en-US" w:eastAsia="zh-CN"/>
              </w:rPr>
              <w:t>4</w:t>
            </w:r>
            <w:r>
              <w:rPr>
                <w:b/>
                <w:bCs/>
                <w:color w:val="auto"/>
                <w:sz w:val="21"/>
                <w:szCs w:val="21"/>
              </w:rPr>
              <w:t>-</w:t>
            </w:r>
            <w:r>
              <w:rPr>
                <w:rFonts w:hint="eastAsia"/>
                <w:b/>
                <w:bCs/>
                <w:color w:val="auto"/>
                <w:sz w:val="21"/>
                <w:szCs w:val="21"/>
                <w:lang w:val="en-US" w:eastAsia="zh-CN"/>
              </w:rPr>
              <w:t>5</w:t>
            </w:r>
            <w:r>
              <w:rPr>
                <w:b/>
                <w:bCs/>
                <w:color w:val="auto"/>
                <w:sz w:val="21"/>
                <w:szCs w:val="21"/>
              </w:rPr>
              <w:t xml:space="preserve">  项目营运后废水污染物排放一览表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41"/>
              <w:gridCol w:w="339"/>
              <w:gridCol w:w="828"/>
              <w:gridCol w:w="862"/>
              <w:gridCol w:w="1084"/>
              <w:gridCol w:w="1084"/>
              <w:gridCol w:w="1166"/>
              <w:gridCol w:w="1006"/>
              <w:gridCol w:w="1025"/>
            </w:tblGrid>
            <w:tr w14:paraId="6912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33C7B090">
                  <w:pPr>
                    <w:widowControl/>
                    <w:jc w:val="center"/>
                    <w:rPr>
                      <w:rFonts w:hint="default" w:ascii="Times New Roman" w:hAnsi="Times New Roman" w:cs="Times New Roman"/>
                      <w:b/>
                      <w:color w:val="auto"/>
                      <w:kern w:val="0"/>
                    </w:rPr>
                  </w:pPr>
                  <w:r>
                    <w:rPr>
                      <w:rFonts w:hint="default" w:ascii="Times New Roman" w:hAnsi="Times New Roman" w:cs="Times New Roman"/>
                      <w:b/>
                      <w:color w:val="auto"/>
                      <w:kern w:val="0"/>
                    </w:rPr>
                    <w:t>水量</w:t>
                  </w:r>
                  <w:r>
                    <w:rPr>
                      <w:rFonts w:hint="eastAsia" w:cs="Times New Roman"/>
                      <w:b/>
                      <w:color w:val="auto"/>
                      <w:kern w:val="0"/>
                      <w:lang w:eastAsia="zh-CN"/>
                    </w:rPr>
                    <w:t>（</w:t>
                  </w:r>
                  <w:r>
                    <w:rPr>
                      <w:rFonts w:hint="default" w:ascii="Times New Roman" w:hAnsi="Times New Roman" w:cs="Times New Roman"/>
                      <w:b/>
                      <w:color w:val="auto"/>
                      <w:kern w:val="0"/>
                    </w:rPr>
                    <w:t>m</w:t>
                  </w:r>
                  <w:r>
                    <w:rPr>
                      <w:rFonts w:hint="default" w:ascii="Times New Roman" w:hAnsi="Times New Roman" w:cs="Times New Roman"/>
                      <w:b/>
                      <w:color w:val="auto"/>
                      <w:kern w:val="0"/>
                      <w:vertAlign w:val="superscript"/>
                    </w:rPr>
                    <w:t>3</w:t>
                  </w:r>
                  <w:r>
                    <w:rPr>
                      <w:rFonts w:hint="default" w:ascii="Times New Roman" w:hAnsi="Times New Roman" w:cs="Times New Roman"/>
                      <w:b/>
                      <w:color w:val="auto"/>
                      <w:kern w:val="0"/>
                    </w:rPr>
                    <w:t>/a</w:t>
                  </w:r>
                  <w:r>
                    <w:rPr>
                      <w:rFonts w:hint="eastAsia" w:cs="Times New Roman"/>
                      <w:b/>
                      <w:color w:val="auto"/>
                      <w:kern w:val="0"/>
                      <w:lang w:eastAsia="zh-CN"/>
                    </w:rPr>
                    <w:t>）</w:t>
                  </w:r>
                </w:p>
              </w:tc>
              <w:tc>
                <w:tcPr>
                  <w:tcW w:w="700" w:type="pct"/>
                  <w:gridSpan w:val="2"/>
                  <w:noWrap w:val="0"/>
                  <w:vAlign w:val="center"/>
                </w:tcPr>
                <w:p w14:paraId="0911AA40">
                  <w:pPr>
                    <w:widowControl/>
                    <w:jc w:val="center"/>
                    <w:rPr>
                      <w:rFonts w:hint="default" w:ascii="Times New Roman" w:hAnsi="Times New Roman" w:cs="Times New Roman"/>
                      <w:b/>
                      <w:color w:val="auto"/>
                      <w:kern w:val="0"/>
                    </w:rPr>
                  </w:pPr>
                  <w:r>
                    <w:rPr>
                      <w:rFonts w:hint="default" w:ascii="Times New Roman" w:hAnsi="Times New Roman" w:cs="Times New Roman"/>
                      <w:b/>
                      <w:color w:val="auto"/>
                      <w:kern w:val="0"/>
                    </w:rPr>
                    <w:t>综合废水性质</w:t>
                  </w:r>
                </w:p>
              </w:tc>
              <w:tc>
                <w:tcPr>
                  <w:tcW w:w="517" w:type="pct"/>
                  <w:noWrap w:val="0"/>
                  <w:vAlign w:val="center"/>
                </w:tcPr>
                <w:p w14:paraId="7C791FFF">
                  <w:pPr>
                    <w:ind w:right="101" w:rightChars="48"/>
                    <w:jc w:val="center"/>
                    <w:rPr>
                      <w:rFonts w:hint="default" w:ascii="Times New Roman" w:hAnsi="Times New Roman" w:cs="Times New Roman"/>
                      <w:b/>
                      <w:color w:val="auto"/>
                    </w:rPr>
                  </w:pPr>
                  <w:r>
                    <w:rPr>
                      <w:rFonts w:hint="default" w:ascii="Times New Roman" w:hAnsi="Times New Roman" w:cs="Times New Roman"/>
                      <w:b/>
                      <w:color w:val="auto"/>
                    </w:rPr>
                    <w:t>BOD</w:t>
                  </w:r>
                  <w:r>
                    <w:rPr>
                      <w:rFonts w:hint="default" w:ascii="Times New Roman" w:hAnsi="Times New Roman" w:cs="Times New Roman"/>
                      <w:b/>
                      <w:color w:val="auto"/>
                      <w:vertAlign w:val="subscript"/>
                    </w:rPr>
                    <w:t>5</w:t>
                  </w:r>
                  <w:r>
                    <w:rPr>
                      <w:rFonts w:hint="eastAsia" w:cs="Times New Roman"/>
                      <w:b/>
                      <w:color w:val="auto"/>
                      <w:vertAlign w:val="subscript"/>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50" w:type="pct"/>
                  <w:noWrap w:val="0"/>
                  <w:vAlign w:val="center"/>
                </w:tcPr>
                <w:p w14:paraId="67C4392D">
                  <w:pPr>
                    <w:ind w:left="339" w:leftChars="70" w:right="101" w:rightChars="48" w:hanging="192" w:hangingChars="91"/>
                    <w:jc w:val="center"/>
                    <w:rPr>
                      <w:rFonts w:hint="default" w:ascii="Times New Roman" w:hAnsi="Times New Roman" w:cs="Times New Roman"/>
                      <w:b/>
                      <w:color w:val="auto"/>
                      <w:vertAlign w:val="subscript"/>
                    </w:rPr>
                  </w:pPr>
                  <w:r>
                    <w:rPr>
                      <w:rFonts w:hint="default" w:ascii="Times New Roman" w:hAnsi="Times New Roman" w:cs="Times New Roman"/>
                      <w:b/>
                      <w:color w:val="auto"/>
                    </w:rPr>
                    <w:t>COD</w:t>
                  </w:r>
                  <w:r>
                    <w:rPr>
                      <w:rFonts w:hint="default" w:ascii="Times New Roman" w:hAnsi="Times New Roman" w:cs="Times New Roman"/>
                      <w:b/>
                      <w:color w:val="auto"/>
                      <w:vertAlign w:val="subscript"/>
                    </w:rPr>
                    <w:t>cr</w:t>
                  </w:r>
                </w:p>
                <w:p w14:paraId="2B34416C">
                  <w:pPr>
                    <w:ind w:left="63" w:leftChars="30" w:right="101" w:rightChars="48"/>
                    <w:jc w:val="center"/>
                    <w:rPr>
                      <w:rFonts w:hint="default" w:ascii="Times New Roman" w:hAnsi="Times New Roman" w:cs="Times New Roman"/>
                      <w:b/>
                      <w:color w:val="auto"/>
                    </w:rPr>
                  </w:pPr>
                  <w:r>
                    <w:rPr>
                      <w:rFonts w:hint="eastAsia" w:cs="Times New Roman"/>
                      <w:b/>
                      <w:color w:val="auto"/>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50" w:type="pct"/>
                  <w:noWrap w:val="0"/>
                  <w:vAlign w:val="center"/>
                </w:tcPr>
                <w:p w14:paraId="277B8477">
                  <w:pPr>
                    <w:ind w:left="339" w:leftChars="70" w:right="101" w:rightChars="48" w:hanging="192" w:hangingChars="91"/>
                    <w:jc w:val="center"/>
                    <w:rPr>
                      <w:rFonts w:hint="default" w:ascii="Times New Roman" w:hAnsi="Times New Roman" w:cs="Times New Roman"/>
                      <w:b/>
                      <w:color w:val="auto"/>
                    </w:rPr>
                  </w:pPr>
                  <w:r>
                    <w:rPr>
                      <w:rFonts w:hint="default" w:ascii="Times New Roman" w:hAnsi="Times New Roman" w:cs="Times New Roman"/>
                      <w:b/>
                      <w:color w:val="auto"/>
                    </w:rPr>
                    <w:t>SS</w:t>
                  </w:r>
                </w:p>
                <w:p w14:paraId="5C6E8032">
                  <w:pPr>
                    <w:ind w:left="63" w:leftChars="30" w:right="101" w:rightChars="48"/>
                    <w:jc w:val="center"/>
                    <w:rPr>
                      <w:rFonts w:hint="default" w:ascii="Times New Roman" w:hAnsi="Times New Roman" w:cs="Times New Roman"/>
                      <w:b/>
                      <w:color w:val="auto"/>
                    </w:rPr>
                  </w:pPr>
                  <w:r>
                    <w:rPr>
                      <w:rFonts w:hint="eastAsia" w:cs="Times New Roman"/>
                      <w:b/>
                      <w:color w:val="auto"/>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99" w:type="pct"/>
                  <w:noWrap w:val="0"/>
                  <w:vAlign w:val="center"/>
                </w:tcPr>
                <w:p w14:paraId="36732451">
                  <w:pPr>
                    <w:ind w:left="339" w:leftChars="70" w:right="101" w:rightChars="48" w:hanging="192" w:hangingChars="91"/>
                    <w:jc w:val="center"/>
                    <w:rPr>
                      <w:rFonts w:hint="default" w:ascii="Times New Roman" w:hAnsi="Times New Roman" w:cs="Times New Roman"/>
                      <w:b/>
                      <w:color w:val="auto"/>
                    </w:rPr>
                  </w:pPr>
                  <w:r>
                    <w:rPr>
                      <w:rFonts w:hint="default" w:ascii="Times New Roman" w:hAnsi="Times New Roman" w:cs="Times New Roman"/>
                      <w:b/>
                      <w:color w:val="auto"/>
                    </w:rPr>
                    <w:t>NH</w:t>
                  </w:r>
                  <w:r>
                    <w:rPr>
                      <w:rFonts w:hint="default" w:ascii="Times New Roman" w:hAnsi="Times New Roman" w:cs="Times New Roman"/>
                      <w:b/>
                      <w:color w:val="auto"/>
                      <w:vertAlign w:val="subscript"/>
                    </w:rPr>
                    <w:t>3</w:t>
                  </w:r>
                  <w:r>
                    <w:rPr>
                      <w:rFonts w:hint="default" w:ascii="Times New Roman" w:hAnsi="Times New Roman" w:cs="Times New Roman"/>
                      <w:b/>
                      <w:color w:val="auto"/>
                    </w:rPr>
                    <w:t>-N</w:t>
                  </w:r>
                </w:p>
                <w:p w14:paraId="32A509B5">
                  <w:pPr>
                    <w:ind w:left="339" w:leftChars="70" w:right="101" w:rightChars="48" w:hanging="192" w:hangingChars="91"/>
                    <w:jc w:val="center"/>
                    <w:rPr>
                      <w:rFonts w:hint="default" w:ascii="Times New Roman" w:hAnsi="Times New Roman" w:cs="Times New Roman"/>
                      <w:b/>
                      <w:color w:val="auto"/>
                    </w:rPr>
                  </w:pPr>
                  <w:r>
                    <w:rPr>
                      <w:rFonts w:hint="eastAsia" w:cs="Times New Roman"/>
                      <w:b/>
                      <w:color w:val="auto"/>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03" w:type="pct"/>
                  <w:noWrap w:val="0"/>
                  <w:vAlign w:val="center"/>
                </w:tcPr>
                <w:p w14:paraId="08C80314">
                  <w:pPr>
                    <w:ind w:right="101" w:rightChars="48"/>
                    <w:jc w:val="center"/>
                    <w:rPr>
                      <w:rFonts w:hint="default" w:ascii="Times New Roman" w:hAnsi="Times New Roman" w:cs="Times New Roman"/>
                      <w:b/>
                      <w:color w:val="auto"/>
                    </w:rPr>
                  </w:pPr>
                  <w:r>
                    <w:rPr>
                      <w:rFonts w:hint="default" w:ascii="Times New Roman" w:hAnsi="Times New Roman" w:cs="Times New Roman"/>
                      <w:b/>
                      <w:color w:val="auto"/>
                    </w:rPr>
                    <w:t>粪大肠菌群数（个/L）</w:t>
                  </w:r>
                </w:p>
              </w:tc>
              <w:tc>
                <w:tcPr>
                  <w:tcW w:w="614" w:type="pct"/>
                  <w:noWrap w:val="0"/>
                  <w:vAlign w:val="center"/>
                </w:tcPr>
                <w:p w14:paraId="2B735389">
                  <w:pPr>
                    <w:ind w:right="101" w:rightChars="48"/>
                    <w:jc w:val="center"/>
                    <w:rPr>
                      <w:rFonts w:hint="eastAsia" w:ascii="Times New Roman" w:hAnsi="Times New Roman" w:eastAsia="宋体" w:cs="Times New Roman"/>
                      <w:b/>
                      <w:color w:val="auto"/>
                      <w:lang w:val="en-US" w:eastAsia="zh-CN"/>
                    </w:rPr>
                  </w:pPr>
                  <w:r>
                    <w:rPr>
                      <w:rFonts w:hint="eastAsia" w:cs="Times New Roman"/>
                      <w:b/>
                      <w:color w:val="auto"/>
                      <w:lang w:val="en-US" w:eastAsia="zh-CN"/>
                    </w:rPr>
                    <w:t>动植物油（mg/L）</w:t>
                  </w:r>
                </w:p>
              </w:tc>
            </w:tr>
            <w:tr w14:paraId="30AC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64" w:type="pct"/>
                  <w:vMerge w:val="restart"/>
                  <w:noWrap w:val="0"/>
                  <w:vAlign w:val="center"/>
                </w:tcPr>
                <w:p w14:paraId="36CF3513">
                  <w:pPr>
                    <w:widowControl/>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11143.2445</w:t>
                  </w:r>
                </w:p>
              </w:tc>
              <w:tc>
                <w:tcPr>
                  <w:tcW w:w="203" w:type="pct"/>
                  <w:vMerge w:val="restart"/>
                  <w:noWrap w:val="0"/>
                  <w:vAlign w:val="center"/>
                </w:tcPr>
                <w:p w14:paraId="1CB69308">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处理前</w:t>
                  </w:r>
                </w:p>
              </w:tc>
              <w:tc>
                <w:tcPr>
                  <w:tcW w:w="496" w:type="pct"/>
                  <w:noWrap w:val="0"/>
                  <w:vAlign w:val="center"/>
                </w:tcPr>
                <w:p w14:paraId="1966D93B">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浓度</w:t>
                  </w:r>
                  <w:r>
                    <w:rPr>
                      <w:rFonts w:hint="eastAsia" w:cs="Times New Roman"/>
                      <w:color w:val="auto"/>
                      <w:kern w:val="0"/>
                      <w:lang w:eastAsia="zh-CN"/>
                    </w:rPr>
                    <w:t>（</w:t>
                  </w:r>
                  <w:r>
                    <w:rPr>
                      <w:rFonts w:hint="default" w:ascii="Times New Roman" w:hAnsi="Times New Roman" w:cs="Times New Roman"/>
                      <w:color w:val="auto"/>
                      <w:kern w:val="0"/>
                    </w:rPr>
                    <w:t>mg/L</w:t>
                  </w:r>
                  <w:r>
                    <w:rPr>
                      <w:rFonts w:hint="eastAsia" w:cs="Times New Roman"/>
                      <w:color w:val="auto"/>
                      <w:kern w:val="0"/>
                      <w:lang w:eastAsia="zh-CN"/>
                    </w:rPr>
                    <w:t>）</w:t>
                  </w:r>
                </w:p>
              </w:tc>
              <w:tc>
                <w:tcPr>
                  <w:tcW w:w="517" w:type="pct"/>
                  <w:noWrap w:val="0"/>
                  <w:vAlign w:val="center"/>
                </w:tcPr>
                <w:p w14:paraId="1977AEA8">
                  <w:pPr>
                    <w:ind w:left="338" w:leftChars="70" w:right="101" w:rightChars="48" w:hanging="191" w:hangingChars="91"/>
                    <w:jc w:val="center"/>
                    <w:rPr>
                      <w:rFonts w:hint="default" w:ascii="Times New Roman" w:hAnsi="Times New Roman" w:eastAsia="宋体" w:cs="Times New Roman"/>
                      <w:color w:val="auto"/>
                      <w:lang w:val="en-US" w:eastAsia="zh-CN"/>
                    </w:rPr>
                  </w:pPr>
                  <w:r>
                    <w:rPr>
                      <w:rFonts w:hint="eastAsia" w:cs="Times New Roman"/>
                      <w:b w:val="0"/>
                      <w:bCs w:val="0"/>
                      <w:color w:val="auto"/>
                      <w:spacing w:val="0"/>
                      <w:position w:val="0"/>
                      <w:sz w:val="21"/>
                      <w:szCs w:val="21"/>
                      <w:lang w:val="en-US" w:eastAsia="zh-CN"/>
                    </w:rPr>
                    <w:t>350</w:t>
                  </w:r>
                </w:p>
              </w:tc>
              <w:tc>
                <w:tcPr>
                  <w:tcW w:w="650" w:type="pct"/>
                  <w:noWrap w:val="0"/>
                  <w:vAlign w:val="center"/>
                </w:tcPr>
                <w:p w14:paraId="40774E93">
                  <w:pPr>
                    <w:ind w:left="338" w:leftChars="70" w:right="101" w:rightChars="48" w:hanging="191" w:hangingChars="91"/>
                    <w:jc w:val="center"/>
                    <w:rPr>
                      <w:rFonts w:hint="default" w:ascii="Times New Roman" w:hAnsi="Times New Roman" w:cs="Times New Roman"/>
                      <w:color w:val="auto"/>
                      <w:lang w:val="en-US"/>
                    </w:rPr>
                  </w:pPr>
                  <w:r>
                    <w:rPr>
                      <w:rFonts w:hint="eastAsia" w:cs="Times New Roman"/>
                      <w:color w:val="auto"/>
                      <w:lang w:val="en-US" w:eastAsia="zh-CN"/>
                    </w:rPr>
                    <w:t>180</w:t>
                  </w:r>
                </w:p>
              </w:tc>
              <w:tc>
                <w:tcPr>
                  <w:tcW w:w="650" w:type="pct"/>
                  <w:noWrap w:val="0"/>
                  <w:vAlign w:val="center"/>
                </w:tcPr>
                <w:p w14:paraId="42972336">
                  <w:pPr>
                    <w:ind w:left="338" w:leftChars="70" w:right="101" w:rightChars="48" w:hanging="191" w:hangingChars="91"/>
                    <w:jc w:val="center"/>
                    <w:rPr>
                      <w:rFonts w:hint="default" w:ascii="Times New Roman" w:hAnsi="Times New Roman" w:eastAsia="宋体" w:cs="Times New Roman"/>
                      <w:color w:val="auto"/>
                      <w:lang w:val="en-US" w:eastAsia="zh-CN"/>
                    </w:rPr>
                  </w:pPr>
                  <w:r>
                    <w:rPr>
                      <w:rFonts w:hint="eastAsia" w:cs="Times New Roman"/>
                      <w:color w:val="auto"/>
                      <w:lang w:val="en-US" w:eastAsia="zh-CN"/>
                    </w:rPr>
                    <w:t>320</w:t>
                  </w:r>
                </w:p>
              </w:tc>
              <w:tc>
                <w:tcPr>
                  <w:tcW w:w="699" w:type="pct"/>
                  <w:noWrap w:val="0"/>
                  <w:vAlign w:val="center"/>
                </w:tcPr>
                <w:p w14:paraId="3CBB19ED">
                  <w:pPr>
                    <w:ind w:left="338" w:leftChars="70" w:right="101" w:rightChars="48" w:hanging="191" w:hangingChars="91"/>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603" w:type="pct"/>
                  <w:noWrap w:val="0"/>
                  <w:vAlign w:val="center"/>
                </w:tcPr>
                <w:p w14:paraId="14847534">
                  <w:pPr>
                    <w:ind w:left="338" w:leftChars="70" w:right="101" w:rightChars="48" w:hanging="191" w:hangingChars="91"/>
                    <w:rPr>
                      <w:rFonts w:hint="default" w:ascii="Times New Roman" w:hAnsi="Times New Roman" w:eastAsia="宋体" w:cs="Times New Roman"/>
                      <w:color w:val="auto"/>
                      <w:lang w:val="en-US" w:eastAsia="zh-CN"/>
                    </w:rPr>
                  </w:pPr>
                  <w:r>
                    <w:rPr>
                      <w:rFonts w:hint="eastAsia" w:cs="Times New Roman"/>
                      <w:color w:val="auto"/>
                      <w:lang w:val="en-US" w:eastAsia="zh-CN"/>
                    </w:rPr>
                    <w:t>1000000</w:t>
                  </w:r>
                </w:p>
              </w:tc>
              <w:tc>
                <w:tcPr>
                  <w:tcW w:w="614" w:type="pct"/>
                  <w:noWrap w:val="0"/>
                  <w:vAlign w:val="center"/>
                </w:tcPr>
                <w:p w14:paraId="1CCFA137">
                  <w:pPr>
                    <w:ind w:left="0" w:leftChars="0" w:right="0" w:rightChars="0" w:firstLine="0" w:firstLineChars="0"/>
                    <w:jc w:val="center"/>
                    <w:rPr>
                      <w:rFonts w:hint="default" w:cs="Times New Roman"/>
                      <w:color w:val="auto"/>
                      <w:lang w:val="en-US" w:eastAsia="zh-CN"/>
                    </w:rPr>
                  </w:pPr>
                  <w:r>
                    <w:rPr>
                      <w:rFonts w:hint="eastAsia" w:cs="Times New Roman"/>
                      <w:color w:val="auto"/>
                      <w:lang w:val="en-US" w:eastAsia="zh-CN"/>
                    </w:rPr>
                    <w:t>40</w:t>
                  </w:r>
                </w:p>
              </w:tc>
            </w:tr>
            <w:tr w14:paraId="791E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Merge w:val="continue"/>
                  <w:noWrap w:val="0"/>
                  <w:vAlign w:val="center"/>
                </w:tcPr>
                <w:p w14:paraId="3AB7FFF3">
                  <w:pPr>
                    <w:jc w:val="center"/>
                    <w:rPr>
                      <w:rFonts w:hint="default" w:ascii="Times New Roman" w:hAnsi="Times New Roman" w:cs="Times New Roman"/>
                      <w:color w:val="auto"/>
                      <w:kern w:val="0"/>
                    </w:rPr>
                  </w:pPr>
                </w:p>
              </w:tc>
              <w:tc>
                <w:tcPr>
                  <w:tcW w:w="203" w:type="pct"/>
                  <w:vMerge w:val="continue"/>
                  <w:noWrap w:val="0"/>
                  <w:vAlign w:val="center"/>
                </w:tcPr>
                <w:p w14:paraId="27BC122E">
                  <w:pPr>
                    <w:widowControl/>
                    <w:jc w:val="center"/>
                    <w:rPr>
                      <w:rFonts w:hint="default" w:ascii="Times New Roman" w:hAnsi="Times New Roman" w:cs="Times New Roman"/>
                      <w:color w:val="auto"/>
                      <w:kern w:val="0"/>
                    </w:rPr>
                  </w:pPr>
                </w:p>
              </w:tc>
              <w:tc>
                <w:tcPr>
                  <w:tcW w:w="496" w:type="pct"/>
                  <w:noWrap w:val="0"/>
                  <w:vAlign w:val="center"/>
                </w:tcPr>
                <w:p w14:paraId="18398B71">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产生量（t/a）</w:t>
                  </w:r>
                </w:p>
              </w:tc>
              <w:tc>
                <w:tcPr>
                  <w:tcW w:w="517" w:type="pct"/>
                  <w:noWrap w:val="0"/>
                  <w:vAlign w:val="center"/>
                </w:tcPr>
                <w:p w14:paraId="5CD80BB4">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889</w:t>
                  </w:r>
                </w:p>
              </w:tc>
              <w:tc>
                <w:tcPr>
                  <w:tcW w:w="650" w:type="pct"/>
                  <w:noWrap w:val="0"/>
                  <w:vAlign w:val="center"/>
                </w:tcPr>
                <w:p w14:paraId="157959C4">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650" w:type="pct"/>
                  <w:noWrap w:val="0"/>
                  <w:vAlign w:val="center"/>
                </w:tcPr>
                <w:p w14:paraId="1D6B1335">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3.56</w:t>
                  </w:r>
                </w:p>
              </w:tc>
              <w:tc>
                <w:tcPr>
                  <w:tcW w:w="699" w:type="pct"/>
                  <w:noWrap w:val="0"/>
                  <w:vAlign w:val="center"/>
                </w:tcPr>
                <w:p w14:paraId="216AB7EC">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0.33</w:t>
                  </w:r>
                  <w:r>
                    <w:rPr>
                      <w:rFonts w:hint="eastAsia" w:cs="Times New Roman"/>
                      <w:i w:val="0"/>
                      <w:iCs w:val="0"/>
                      <w:color w:val="auto"/>
                      <w:kern w:val="0"/>
                      <w:sz w:val="21"/>
                      <w:szCs w:val="21"/>
                      <w:u w:val="none"/>
                      <w:lang w:val="en-US" w:eastAsia="zh-CN" w:bidi="ar"/>
                    </w:rPr>
                    <w:t>3</w:t>
                  </w:r>
                </w:p>
              </w:tc>
              <w:tc>
                <w:tcPr>
                  <w:tcW w:w="603" w:type="pct"/>
                  <w:noWrap w:val="0"/>
                  <w:vAlign w:val="center"/>
                </w:tcPr>
                <w:p w14:paraId="6913C247">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614" w:type="pct"/>
                  <w:noWrap w:val="0"/>
                  <w:vAlign w:val="center"/>
                </w:tcPr>
                <w:p w14:paraId="42BA55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w:t>
                  </w:r>
                  <w:r>
                    <w:rPr>
                      <w:rFonts w:hint="eastAsia" w:cs="Times New Roman"/>
                      <w:i w:val="0"/>
                      <w:iCs w:val="0"/>
                      <w:color w:val="auto"/>
                      <w:kern w:val="0"/>
                      <w:sz w:val="21"/>
                      <w:szCs w:val="21"/>
                      <w:u w:val="none"/>
                      <w:lang w:val="en-US" w:eastAsia="zh-CN" w:bidi="ar"/>
                    </w:rPr>
                    <w:t>4</w:t>
                  </w:r>
                </w:p>
              </w:tc>
            </w:tr>
            <w:tr w14:paraId="12CF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Merge w:val="continue"/>
                  <w:shd w:val="clear" w:color="auto" w:fill="auto"/>
                  <w:noWrap w:val="0"/>
                  <w:vAlign w:val="center"/>
                </w:tcPr>
                <w:p w14:paraId="223A73F8">
                  <w:pPr>
                    <w:widowControl/>
                    <w:jc w:val="center"/>
                    <w:rPr>
                      <w:rFonts w:hint="default" w:ascii="Times New Roman" w:hAnsi="Times New Roman" w:cs="Times New Roman"/>
                      <w:color w:val="auto"/>
                      <w:kern w:val="0"/>
                    </w:rPr>
                  </w:pPr>
                </w:p>
              </w:tc>
              <w:tc>
                <w:tcPr>
                  <w:tcW w:w="203" w:type="pct"/>
                  <w:vMerge w:val="restart"/>
                  <w:shd w:val="clear" w:color="auto" w:fill="auto"/>
                  <w:noWrap w:val="0"/>
                  <w:vAlign w:val="center"/>
                </w:tcPr>
                <w:p w14:paraId="7F6EC9DB">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处理后</w:t>
                  </w:r>
                </w:p>
              </w:tc>
              <w:tc>
                <w:tcPr>
                  <w:tcW w:w="496" w:type="pct"/>
                  <w:shd w:val="clear" w:color="auto" w:fill="auto"/>
                  <w:noWrap w:val="0"/>
                  <w:vAlign w:val="center"/>
                </w:tcPr>
                <w:p w14:paraId="0CA4D759">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浓度</w:t>
                  </w:r>
                  <w:r>
                    <w:rPr>
                      <w:rFonts w:hint="eastAsia" w:cs="Times New Roman"/>
                      <w:color w:val="auto"/>
                      <w:kern w:val="0"/>
                      <w:lang w:eastAsia="zh-CN"/>
                    </w:rPr>
                    <w:t>（</w:t>
                  </w:r>
                  <w:r>
                    <w:rPr>
                      <w:rFonts w:hint="default" w:ascii="Times New Roman" w:hAnsi="Times New Roman" w:cs="Times New Roman"/>
                      <w:color w:val="auto"/>
                      <w:kern w:val="0"/>
                    </w:rPr>
                    <w:t>mg/L</w:t>
                  </w:r>
                  <w:r>
                    <w:rPr>
                      <w:rFonts w:hint="eastAsia" w:cs="Times New Roman"/>
                      <w:color w:val="auto"/>
                      <w:kern w:val="0"/>
                      <w:lang w:eastAsia="zh-CN"/>
                    </w:rPr>
                    <w:t>）</w:t>
                  </w:r>
                </w:p>
              </w:tc>
              <w:tc>
                <w:tcPr>
                  <w:tcW w:w="517" w:type="pct"/>
                  <w:shd w:val="clear" w:color="auto" w:fill="auto"/>
                  <w:noWrap w:val="0"/>
                  <w:vAlign w:val="center"/>
                </w:tcPr>
                <w:p w14:paraId="3B7BB24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650" w:type="pct"/>
                  <w:shd w:val="clear" w:color="auto" w:fill="auto"/>
                  <w:noWrap w:val="0"/>
                  <w:vAlign w:val="center"/>
                </w:tcPr>
                <w:p w14:paraId="49C36A38">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650" w:type="pct"/>
                  <w:shd w:val="clear" w:color="auto" w:fill="auto"/>
                  <w:noWrap w:val="0"/>
                  <w:vAlign w:val="center"/>
                </w:tcPr>
                <w:p w14:paraId="3F1CAE89">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699" w:type="pct"/>
                  <w:shd w:val="clear" w:color="auto" w:fill="auto"/>
                  <w:noWrap w:val="0"/>
                  <w:vAlign w:val="center"/>
                </w:tcPr>
                <w:p w14:paraId="10EC0FA7">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7.17</w:t>
                  </w:r>
                </w:p>
              </w:tc>
              <w:tc>
                <w:tcPr>
                  <w:tcW w:w="603" w:type="pct"/>
                  <w:shd w:val="clear" w:color="auto" w:fill="auto"/>
                  <w:noWrap w:val="0"/>
                  <w:vAlign w:val="center"/>
                </w:tcPr>
                <w:p w14:paraId="51B13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1.4×10</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14" w:type="pct"/>
                  <w:shd w:val="clear" w:color="auto" w:fill="auto"/>
                  <w:noWrap w:val="0"/>
                  <w:vAlign w:val="center"/>
                </w:tcPr>
                <w:p w14:paraId="40A0E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0.86</w:t>
                  </w:r>
                </w:p>
              </w:tc>
            </w:tr>
            <w:tr w14:paraId="13CD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Merge w:val="continue"/>
                  <w:noWrap w:val="0"/>
                  <w:vAlign w:val="center"/>
                </w:tcPr>
                <w:p w14:paraId="3C31AA60">
                  <w:pPr>
                    <w:widowControl/>
                    <w:jc w:val="center"/>
                    <w:rPr>
                      <w:rFonts w:hint="default" w:ascii="Times New Roman" w:hAnsi="Times New Roman" w:cs="Times New Roman"/>
                      <w:color w:val="auto"/>
                      <w:kern w:val="0"/>
                    </w:rPr>
                  </w:pPr>
                </w:p>
              </w:tc>
              <w:tc>
                <w:tcPr>
                  <w:tcW w:w="203" w:type="pct"/>
                  <w:vMerge w:val="continue"/>
                  <w:noWrap w:val="0"/>
                  <w:vAlign w:val="center"/>
                </w:tcPr>
                <w:p w14:paraId="0E0C4B13">
                  <w:pPr>
                    <w:widowControl/>
                    <w:jc w:val="center"/>
                    <w:rPr>
                      <w:rFonts w:hint="default" w:ascii="Times New Roman" w:hAnsi="Times New Roman" w:cs="Times New Roman"/>
                      <w:color w:val="auto"/>
                      <w:kern w:val="0"/>
                    </w:rPr>
                  </w:pPr>
                </w:p>
              </w:tc>
              <w:tc>
                <w:tcPr>
                  <w:tcW w:w="496" w:type="pct"/>
                  <w:noWrap w:val="0"/>
                  <w:vAlign w:val="center"/>
                </w:tcPr>
                <w:p w14:paraId="4B4704DA">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排放量（t/a）</w:t>
                  </w:r>
                </w:p>
              </w:tc>
              <w:tc>
                <w:tcPr>
                  <w:tcW w:w="517" w:type="pct"/>
                  <w:noWrap w:val="0"/>
                  <w:vAlign w:val="center"/>
                </w:tcPr>
                <w:p w14:paraId="2A876A3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0.04</w:t>
                  </w:r>
                  <w:r>
                    <w:rPr>
                      <w:rFonts w:hint="eastAsia" w:cs="Times New Roman"/>
                      <w:i w:val="0"/>
                      <w:iCs w:val="0"/>
                      <w:color w:val="auto"/>
                      <w:kern w:val="0"/>
                      <w:sz w:val="21"/>
                      <w:szCs w:val="21"/>
                      <w:u w:val="none"/>
                      <w:lang w:val="en-US" w:eastAsia="zh-CN" w:bidi="ar"/>
                    </w:rPr>
                    <w:t>4</w:t>
                  </w:r>
                </w:p>
              </w:tc>
              <w:tc>
                <w:tcPr>
                  <w:tcW w:w="650" w:type="pct"/>
                  <w:noWrap w:val="0"/>
                  <w:vAlign w:val="center"/>
                </w:tcPr>
                <w:p w14:paraId="3921A47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0.1</w:t>
                  </w:r>
                </w:p>
              </w:tc>
              <w:tc>
                <w:tcPr>
                  <w:tcW w:w="650" w:type="pct"/>
                  <w:noWrap w:val="0"/>
                  <w:vAlign w:val="center"/>
                </w:tcPr>
                <w:p w14:paraId="6664D0EF">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0.2</w:t>
                  </w:r>
                </w:p>
              </w:tc>
              <w:tc>
                <w:tcPr>
                  <w:tcW w:w="699" w:type="pct"/>
                  <w:noWrap w:val="0"/>
                  <w:vAlign w:val="center"/>
                </w:tcPr>
                <w:p w14:paraId="30377572">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603" w:type="pct"/>
                  <w:noWrap w:val="0"/>
                  <w:vAlign w:val="center"/>
                </w:tcPr>
                <w:p w14:paraId="747AFBD3">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614" w:type="pct"/>
                  <w:noWrap w:val="0"/>
                  <w:vAlign w:val="center"/>
                </w:tcPr>
                <w:p w14:paraId="39C664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030A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543791C8">
                  <w:pPr>
                    <w:adjustRightInd w:val="0"/>
                    <w:snapToGrid w:val="0"/>
                    <w:jc w:val="center"/>
                    <w:rPr>
                      <w:rFonts w:hint="default" w:ascii="Times New Roman" w:hAnsi="Times New Roman" w:cs="Times New Roman"/>
                      <w:color w:val="auto"/>
                      <w:kern w:val="0"/>
                    </w:rPr>
                  </w:pPr>
                  <w:r>
                    <w:rPr>
                      <w:rFonts w:hint="eastAsia" w:cs="Times New Roman"/>
                      <w:color w:val="auto"/>
                      <w:sz w:val="21"/>
                      <w:szCs w:val="21"/>
                      <w:lang w:val="en-US" w:eastAsia="zh-CN"/>
                    </w:rPr>
                    <w:t>排放标准（</w:t>
                  </w:r>
                  <w:r>
                    <w:rPr>
                      <w:rFonts w:hint="default" w:ascii="Times New Roman" w:hAnsi="Times New Roman" w:cs="Times New Roman"/>
                      <w:color w:val="auto"/>
                      <w:sz w:val="21"/>
                      <w:szCs w:val="21"/>
                    </w:rPr>
                    <w:t>mg/L</w:t>
                  </w:r>
                  <w:r>
                    <w:rPr>
                      <w:rFonts w:hint="eastAsia" w:cs="Times New Roman"/>
                      <w:color w:val="auto"/>
                      <w:sz w:val="21"/>
                      <w:szCs w:val="21"/>
                      <w:lang w:eastAsia="zh-CN"/>
                    </w:rPr>
                    <w:t>）</w:t>
                  </w:r>
                </w:p>
              </w:tc>
              <w:tc>
                <w:tcPr>
                  <w:tcW w:w="203" w:type="pct"/>
                  <w:noWrap w:val="0"/>
                  <w:vAlign w:val="center"/>
                </w:tcPr>
                <w:p w14:paraId="56CF0102">
                  <w:pPr>
                    <w:widowControl/>
                    <w:jc w:val="center"/>
                    <w:textAlignment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496" w:type="pct"/>
                  <w:noWrap w:val="0"/>
                  <w:vAlign w:val="center"/>
                </w:tcPr>
                <w:p w14:paraId="4167B342">
                  <w:pPr>
                    <w:widowControl/>
                    <w:jc w:val="center"/>
                    <w:textAlignment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517" w:type="pct"/>
                  <w:noWrap w:val="0"/>
                  <w:vAlign w:val="center"/>
                </w:tcPr>
                <w:p w14:paraId="1E229CE0">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100</w:t>
                  </w:r>
                </w:p>
              </w:tc>
              <w:tc>
                <w:tcPr>
                  <w:tcW w:w="650" w:type="pct"/>
                  <w:noWrap w:val="0"/>
                  <w:vAlign w:val="center"/>
                </w:tcPr>
                <w:p w14:paraId="7ED7B4B5">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250</w:t>
                  </w:r>
                </w:p>
              </w:tc>
              <w:tc>
                <w:tcPr>
                  <w:tcW w:w="650" w:type="pct"/>
                  <w:noWrap w:val="0"/>
                  <w:vAlign w:val="center"/>
                </w:tcPr>
                <w:p w14:paraId="10E6C400">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60</w:t>
                  </w:r>
                </w:p>
              </w:tc>
              <w:tc>
                <w:tcPr>
                  <w:tcW w:w="699" w:type="pct"/>
                  <w:noWrap w:val="0"/>
                  <w:vAlign w:val="center"/>
                </w:tcPr>
                <w:p w14:paraId="5DD8D48B">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45</w:t>
                  </w:r>
                </w:p>
              </w:tc>
              <w:tc>
                <w:tcPr>
                  <w:tcW w:w="603" w:type="pct"/>
                  <w:noWrap w:val="0"/>
                  <w:vAlign w:val="center"/>
                </w:tcPr>
                <w:p w14:paraId="3D6E61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5000</w:t>
                  </w:r>
                </w:p>
              </w:tc>
              <w:tc>
                <w:tcPr>
                  <w:tcW w:w="614" w:type="pct"/>
                  <w:noWrap w:val="0"/>
                  <w:vAlign w:val="center"/>
                </w:tcPr>
                <w:p w14:paraId="6CB64B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r>
            <w:tr w14:paraId="6A7E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19C62910">
                  <w:pPr>
                    <w:widowControl/>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达标情况</w:t>
                  </w:r>
                </w:p>
              </w:tc>
              <w:tc>
                <w:tcPr>
                  <w:tcW w:w="203" w:type="pct"/>
                  <w:noWrap w:val="0"/>
                  <w:vAlign w:val="center"/>
                </w:tcPr>
                <w:p w14:paraId="5C774AB7">
                  <w:pPr>
                    <w:widowControl/>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496" w:type="pct"/>
                  <w:noWrap w:val="0"/>
                  <w:vAlign w:val="center"/>
                </w:tcPr>
                <w:p w14:paraId="39CA8127">
                  <w:pPr>
                    <w:widowControl/>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517" w:type="pct"/>
                  <w:noWrap w:val="0"/>
                  <w:vAlign w:val="center"/>
                </w:tcPr>
                <w:p w14:paraId="4840DC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50" w:type="pct"/>
                  <w:noWrap w:val="0"/>
                  <w:vAlign w:val="center"/>
                </w:tcPr>
                <w:p w14:paraId="76FA1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50" w:type="pct"/>
                  <w:noWrap w:val="0"/>
                  <w:vAlign w:val="center"/>
                </w:tcPr>
                <w:p w14:paraId="7ACB4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99" w:type="pct"/>
                  <w:noWrap w:val="0"/>
                  <w:vAlign w:val="center"/>
                </w:tcPr>
                <w:p w14:paraId="71243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03" w:type="pct"/>
                  <w:noWrap w:val="0"/>
                  <w:vAlign w:val="center"/>
                </w:tcPr>
                <w:p w14:paraId="3E7636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14" w:type="pct"/>
                  <w:noWrap w:val="0"/>
                  <w:vAlign w:val="center"/>
                </w:tcPr>
                <w:p w14:paraId="5A5B04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r>
          </w:tbl>
          <w:p w14:paraId="1693F658">
            <w:pPr>
              <w:keepNext w:val="0"/>
              <w:keepLines w:val="0"/>
              <w:pageBreakBefore w:val="0"/>
              <w:numPr>
                <w:ilvl w:val="0"/>
                <w:numId w:val="0"/>
              </w:numPr>
              <w:kinsoku/>
              <w:wordWrap w:val="0"/>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auto"/>
                <w:spacing w:val="0"/>
                <w:sz w:val="24"/>
                <w:szCs w:val="24"/>
                <w:lang w:val="en-US" w:eastAsia="zh-CN"/>
              </w:rPr>
            </w:pPr>
            <w:r>
              <w:rPr>
                <w:rFonts w:hint="eastAsia" w:ascii="宋体" w:hAnsi="宋体" w:eastAsia="宋体" w:cs="宋体"/>
                <w:color w:val="auto"/>
                <w:sz w:val="24"/>
                <w:szCs w:val="24"/>
                <w:lang w:val="en-US" w:eastAsia="zh-CN"/>
              </w:rPr>
              <w:t>综上，本项目运营后废水</w:t>
            </w:r>
            <w:r>
              <w:rPr>
                <w:rFonts w:hint="default" w:ascii="Times New Roman" w:hAnsi="Times New Roman" w:eastAsia="宋体" w:cs="Times New Roman"/>
                <w:b w:val="0"/>
                <w:bCs/>
                <w:color w:val="auto"/>
                <w:spacing w:val="0"/>
                <w:sz w:val="24"/>
                <w:szCs w:val="24"/>
                <w:lang w:val="en-US" w:eastAsia="zh-CN"/>
              </w:rPr>
              <w:t>处理达到《医疗机构水污染物排放标准》（GB18466-2005）表2预处理限值</w:t>
            </w:r>
            <w:r>
              <w:rPr>
                <w:rFonts w:hint="eastAsia" w:cs="Times New Roman"/>
                <w:b w:val="0"/>
                <w:bCs/>
                <w:color w:val="auto"/>
                <w:spacing w:val="0"/>
                <w:sz w:val="24"/>
                <w:szCs w:val="24"/>
                <w:lang w:val="en-US" w:eastAsia="zh-CN"/>
              </w:rPr>
              <w:t>以及</w:t>
            </w:r>
            <w:r>
              <w:rPr>
                <w:rFonts w:hint="default" w:ascii="Times New Roman" w:hAnsi="Times New Roman" w:cs="Times New Roman"/>
                <w:b w:val="0"/>
                <w:bCs w:val="0"/>
                <w:color w:val="auto"/>
                <w:sz w:val="24"/>
                <w:szCs w:val="24"/>
                <w:lang w:eastAsia="zh-CN"/>
              </w:rPr>
              <w:t>《污水排入城镇下水道水质标准</w:t>
            </w:r>
            <w:r>
              <w:rPr>
                <w:rFonts w:hint="default" w:ascii="Times New Roman" w:hAnsi="Times New Roman" w:cs="Times New Roman"/>
                <w:b w:val="0"/>
                <w:bCs w:val="0"/>
                <w:color w:val="auto"/>
                <w:sz w:val="24"/>
                <w:szCs w:val="24"/>
              </w:rPr>
              <w:t>》（GB</w:t>
            </w:r>
            <w:r>
              <w:rPr>
                <w:rFonts w:hint="default" w:ascii="Times New Roman" w:hAnsi="Times New Roman" w:cs="Times New Roman"/>
                <w:b w:val="0"/>
                <w:bCs w:val="0"/>
                <w:color w:val="auto"/>
                <w:sz w:val="24"/>
                <w:szCs w:val="24"/>
                <w:lang w:val="en-US" w:eastAsia="zh-CN"/>
              </w:rPr>
              <w:t>/T31962</w:t>
            </w:r>
            <w:r>
              <w:rPr>
                <w:rFonts w:hint="default" w:ascii="Times New Roman" w:hAnsi="Times New Roman" w:cs="Times New Roman"/>
                <w:b w:val="0"/>
                <w:bCs w:val="0"/>
                <w:color w:val="auto"/>
                <w:sz w:val="24"/>
                <w:szCs w:val="24"/>
              </w:rPr>
              <w:t>－20</w:t>
            </w:r>
            <w:r>
              <w:rPr>
                <w:rFonts w:hint="default" w:ascii="Times New Roman" w:hAnsi="Times New Roman" w:cs="Times New Roman"/>
                <w:b w:val="0"/>
                <w:bCs w:val="0"/>
                <w:color w:val="auto"/>
                <w:sz w:val="24"/>
                <w:szCs w:val="24"/>
                <w:lang w:val="en-US" w:eastAsia="zh-CN"/>
              </w:rPr>
              <w:t>15</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表</w:t>
            </w:r>
            <w:r>
              <w:rPr>
                <w:rFonts w:hint="default" w:ascii="Times New Roman" w:hAnsi="Times New Roman" w:cs="Times New Roman"/>
                <w:b w:val="0"/>
                <w:bCs w:val="0"/>
                <w:color w:val="auto"/>
                <w:sz w:val="24"/>
                <w:szCs w:val="24"/>
                <w:lang w:val="en-US" w:eastAsia="zh-CN"/>
              </w:rPr>
              <w:t>1中A级标准</w:t>
            </w:r>
            <w:r>
              <w:rPr>
                <w:rFonts w:hint="default" w:ascii="Times New Roman" w:hAnsi="Times New Roman" w:eastAsia="宋体" w:cs="Times New Roman"/>
                <w:b w:val="0"/>
                <w:bCs/>
                <w:color w:val="auto"/>
                <w:spacing w:val="0"/>
                <w:sz w:val="24"/>
                <w:szCs w:val="24"/>
                <w:lang w:val="en-US" w:eastAsia="zh-CN"/>
              </w:rPr>
              <w:t>要求</w:t>
            </w:r>
            <w:r>
              <w:rPr>
                <w:rFonts w:hint="eastAsia" w:ascii="Times New Roman" w:hAnsi="Times New Roman" w:eastAsia="宋体" w:cs="Times New Roman"/>
                <w:b w:val="0"/>
                <w:bCs/>
                <w:color w:val="auto"/>
                <w:spacing w:val="0"/>
                <w:sz w:val="24"/>
                <w:szCs w:val="24"/>
                <w:lang w:val="en-US" w:eastAsia="zh-CN"/>
              </w:rPr>
              <w:t>。</w:t>
            </w:r>
          </w:p>
          <w:p w14:paraId="1CB0D71E">
            <w:pPr>
              <w:spacing w:line="360" w:lineRule="auto"/>
              <w:ind w:firstLine="482" w:firstLineChars="200"/>
              <w:rPr>
                <w:rFonts w:hint="eastAsia" w:ascii="Times New Roman" w:hAnsi="Times New Roman" w:cs="Times New Roman"/>
                <w:b/>
                <w:color w:val="auto"/>
                <w:sz w:val="24"/>
                <w:szCs w:val="24"/>
                <w:lang w:val="en-US" w:eastAsia="zh-CN"/>
              </w:rPr>
            </w:pPr>
            <w:r>
              <w:rPr>
                <w:rFonts w:hint="eastAsia" w:cs="Times New Roman"/>
                <w:b/>
                <w:color w:val="auto"/>
                <w:sz w:val="24"/>
                <w:szCs w:val="24"/>
                <w:lang w:val="en-US" w:eastAsia="zh-CN"/>
              </w:rPr>
              <w:t>2、</w:t>
            </w:r>
            <w:r>
              <w:rPr>
                <w:rFonts w:hint="eastAsia" w:ascii="Times New Roman" w:hAnsi="Times New Roman" w:cs="Times New Roman"/>
                <w:b/>
                <w:color w:val="auto"/>
                <w:sz w:val="24"/>
                <w:szCs w:val="24"/>
                <w:lang w:val="en-US" w:eastAsia="zh-CN"/>
              </w:rPr>
              <w:t>项目污水处理设备设置可行性</w:t>
            </w:r>
          </w:p>
          <w:p w14:paraId="45D0D8C4">
            <w:pPr>
              <w:adjustRightInd w:val="0"/>
              <w:snapToGrid w:val="0"/>
              <w:spacing w:line="360" w:lineRule="auto"/>
              <w:ind w:firstLine="482" w:firstLineChars="200"/>
              <w:rPr>
                <w:rFonts w:hint="eastAsia" w:eastAsia="宋体" w:cs="Times New Roman"/>
                <w:b/>
                <w:bCs/>
                <w:color w:val="auto"/>
                <w:sz w:val="24"/>
                <w:szCs w:val="24"/>
                <w:lang w:val="en-US" w:eastAsia="zh-CN"/>
              </w:rPr>
            </w:pPr>
            <w:r>
              <w:rPr>
                <w:rFonts w:hint="eastAsia" w:cs="Times New Roman"/>
                <w:b/>
                <w:bCs/>
                <w:color w:val="auto"/>
                <w:sz w:val="24"/>
                <w:szCs w:val="24"/>
                <w:lang w:val="en-US" w:eastAsia="zh-CN"/>
              </w:rPr>
              <w:t>①油水分离器：</w:t>
            </w:r>
            <w:r>
              <w:rPr>
                <w:rFonts w:hint="eastAsia" w:cs="Times New Roman"/>
                <w:b w:val="0"/>
                <w:bCs w:val="0"/>
                <w:color w:val="auto"/>
                <w:sz w:val="24"/>
                <w:szCs w:val="24"/>
                <w:lang w:val="en-US" w:eastAsia="zh-CN"/>
              </w:rPr>
              <w:t>本项目食堂提供整个院区患者及工作人员的餐食，根据表4-4可知，食堂的废水产生总量为1.692m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/d，食堂排水时间取4h，则产生废水量为0.666m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w:t>
            </w:r>
            <w:r>
              <w:rPr>
                <w:rFonts w:hint="eastAsia" w:cs="Times New Roman"/>
                <w:color w:val="auto"/>
                <w:kern w:val="0"/>
                <w:sz w:val="24"/>
                <w:szCs w:val="21"/>
                <w:lang w:val="en-US" w:eastAsia="zh-CN"/>
              </w:rPr>
              <w:t>油水分离器</w:t>
            </w:r>
            <w:r>
              <w:rPr>
                <w:rFonts w:hint="default" w:ascii="Times New Roman" w:hAnsi="Times New Roman" w:cs="Times New Roman"/>
                <w:color w:val="auto"/>
                <w:kern w:val="0"/>
                <w:sz w:val="24"/>
                <w:szCs w:val="21"/>
              </w:rPr>
              <w:t>的停留时间不低于</w:t>
            </w:r>
            <w:r>
              <w:rPr>
                <w:rFonts w:hint="eastAsia" w:ascii="Times New Roman" w:hAnsi="Times New Roman" w:cs="Times New Roman"/>
                <w:color w:val="auto"/>
                <w:kern w:val="0"/>
                <w:sz w:val="24"/>
                <w:szCs w:val="21"/>
                <w:lang w:val="en-US" w:eastAsia="zh-CN"/>
              </w:rPr>
              <w:t>0.</w:t>
            </w:r>
            <w:r>
              <w:rPr>
                <w:rFonts w:hint="eastAsia" w:cs="Times New Roman"/>
                <w:color w:val="auto"/>
                <w:kern w:val="0"/>
                <w:sz w:val="24"/>
                <w:szCs w:val="21"/>
                <w:lang w:val="en-US" w:eastAsia="zh-CN"/>
              </w:rPr>
              <w:t>5</w:t>
            </w:r>
            <w:r>
              <w:rPr>
                <w:rFonts w:hint="default" w:ascii="Times New Roman" w:hAnsi="Times New Roman" w:cs="Times New Roman"/>
                <w:color w:val="auto"/>
                <w:kern w:val="0"/>
                <w:sz w:val="24"/>
                <w:szCs w:val="21"/>
              </w:rPr>
              <w:t>h，</w:t>
            </w:r>
            <w:r>
              <w:rPr>
                <w:rFonts w:hint="eastAsia" w:cs="Times New Roman"/>
                <w:color w:val="auto"/>
                <w:kern w:val="0"/>
                <w:sz w:val="24"/>
                <w:szCs w:val="21"/>
                <w:lang w:val="en-US" w:eastAsia="zh-CN"/>
              </w:rPr>
              <w:t>则油水分离器处理规模不小于</w:t>
            </w:r>
            <w:r>
              <w:rPr>
                <w:rFonts w:hint="eastAsia" w:cs="Times New Roman"/>
                <w:b w:val="0"/>
                <w:bCs w:val="0"/>
                <w:color w:val="auto"/>
                <w:sz w:val="24"/>
                <w:szCs w:val="24"/>
                <w:lang w:val="en-US" w:eastAsia="zh-CN"/>
              </w:rPr>
              <w:t>0.333m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/h，环评要求在食堂设置1个处理规模为0.5m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/h的油水分离器，故环评要求设置的油水分离器可行。</w:t>
            </w:r>
          </w:p>
          <w:p w14:paraId="2BA7AEF5">
            <w:pPr>
              <w:adjustRightInd w:val="0"/>
              <w:snapToGrid w:val="0"/>
              <w:spacing w:line="360" w:lineRule="auto"/>
              <w:ind w:firstLine="482" w:firstLineChars="200"/>
              <w:rPr>
                <w:rFonts w:hint="default" w:ascii="Times New Roman" w:hAnsi="Times New Roman" w:cs="Times New Roman"/>
                <w:color w:val="auto"/>
                <w:sz w:val="24"/>
                <w:szCs w:val="24"/>
                <w:lang w:eastAsia="zh-CN"/>
              </w:rPr>
            </w:pPr>
            <w:r>
              <w:rPr>
                <w:rFonts w:hint="eastAsia" w:cs="Times New Roman"/>
                <w:b/>
                <w:bCs/>
                <w:color w:val="auto"/>
                <w:sz w:val="24"/>
                <w:szCs w:val="24"/>
                <w:lang w:val="en-US" w:eastAsia="zh-CN"/>
              </w:rPr>
              <w:t>②</w:t>
            </w:r>
            <w:r>
              <w:rPr>
                <w:rFonts w:hint="default" w:ascii="Times New Roman" w:hAnsi="Times New Roman" w:cs="Times New Roman"/>
                <w:b/>
                <w:bCs/>
                <w:color w:val="auto"/>
                <w:sz w:val="24"/>
                <w:szCs w:val="24"/>
                <w:lang w:eastAsia="zh-CN"/>
              </w:rPr>
              <w:t>化粪池：</w:t>
            </w:r>
            <w:r>
              <w:rPr>
                <w:rFonts w:hint="default" w:ascii="Times New Roman" w:hAnsi="Times New Roman" w:cs="Times New Roman"/>
                <w:color w:val="auto"/>
                <w:sz w:val="24"/>
                <w:szCs w:val="24"/>
              </w:rPr>
              <w:t>根据</w:t>
            </w:r>
            <w:r>
              <w:rPr>
                <w:rFonts w:hint="eastAsia" w:cs="Times New Roman"/>
                <w:color w:val="auto"/>
                <w:sz w:val="24"/>
                <w:szCs w:val="24"/>
                <w:lang w:val="en-US" w:eastAsia="zh-CN"/>
              </w:rPr>
              <w:t>表4-4可知</w:t>
            </w:r>
            <w:r>
              <w:rPr>
                <w:rFonts w:hint="default" w:ascii="Times New Roman" w:hAnsi="Times New Roman" w:cs="Times New Roman"/>
                <w:color w:val="auto"/>
                <w:sz w:val="24"/>
                <w:szCs w:val="24"/>
              </w:rPr>
              <w:t>，</w:t>
            </w:r>
            <w:r>
              <w:rPr>
                <w:rFonts w:hint="eastAsia" w:cs="Times New Roman"/>
                <w:color w:val="auto"/>
                <w:sz w:val="24"/>
                <w:szCs w:val="24"/>
                <w:lang w:val="en-US" w:eastAsia="zh-CN"/>
              </w:rPr>
              <w:t>整个院区</w:t>
            </w:r>
            <w:r>
              <w:rPr>
                <w:rFonts w:hint="default" w:ascii="Times New Roman" w:hAnsi="Times New Roman" w:cs="Times New Roman"/>
                <w:color w:val="auto"/>
                <w:sz w:val="24"/>
                <w:szCs w:val="24"/>
                <w:lang w:val="en-US" w:eastAsia="zh-CN"/>
              </w:rPr>
              <w:t>污水</w:t>
            </w:r>
            <w:r>
              <w:rPr>
                <w:rFonts w:hint="default" w:ascii="Times New Roman" w:hAnsi="Times New Roman" w:cs="Times New Roman"/>
                <w:color w:val="auto"/>
                <w:sz w:val="24"/>
                <w:szCs w:val="24"/>
              </w:rPr>
              <w:t>产生量为</w:t>
            </w:r>
            <w:r>
              <w:rPr>
                <w:rFonts w:hint="eastAsia" w:cs="Times New Roman"/>
                <w:color w:val="auto"/>
                <w:sz w:val="24"/>
                <w:szCs w:val="24"/>
                <w:lang w:val="en-US" w:eastAsia="zh-CN"/>
              </w:rPr>
              <w:t>30.8367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/d，根据GB50015-2003《建筑给水排水设计规范》（2009版）4.8.6中，化粪池停留时间为12~24小时，本项目化粪池停留时间取24小时，安全系数取1.2，则环评要求项目化粪池的总容积不小于</w:t>
            </w:r>
            <w:r>
              <w:rPr>
                <w:rFonts w:hint="eastAsia" w:cs="Times New Roman"/>
                <w:color w:val="auto"/>
                <w:sz w:val="24"/>
                <w:szCs w:val="24"/>
                <w:lang w:val="en-US" w:eastAsia="zh-CN"/>
              </w:rPr>
              <w:t>34.84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，项目</w:t>
            </w:r>
            <w:r>
              <w:rPr>
                <w:rFonts w:hint="eastAsia" w:cs="Times New Roman"/>
                <w:color w:val="auto"/>
                <w:sz w:val="24"/>
                <w:szCs w:val="24"/>
                <w:lang w:val="en-US" w:eastAsia="zh-CN"/>
              </w:rPr>
              <w:t>依托租用场地内综合楼西侧的1个化粪池容积为25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eastAsia" w:ascii="Times New Roman" w:hAnsi="Times New Roman" w:cs="Times New Roman"/>
                <w:color w:val="auto"/>
                <w:sz w:val="24"/>
                <w:szCs w:val="24"/>
                <w:vertAlign w:val="baseline"/>
                <w:lang w:eastAsia="zh-CN"/>
              </w:rPr>
              <w:t>，</w:t>
            </w:r>
            <w:r>
              <w:rPr>
                <w:rFonts w:hint="eastAsia" w:ascii="Times New Roman" w:hAnsi="Times New Roman" w:cs="Times New Roman"/>
                <w:color w:val="auto"/>
                <w:sz w:val="24"/>
                <w:szCs w:val="24"/>
                <w:vertAlign w:val="baseline"/>
                <w:lang w:val="en-US" w:eastAsia="zh-CN"/>
              </w:rPr>
              <w:t>在活动区域北侧</w:t>
            </w:r>
            <w:r>
              <w:rPr>
                <w:rFonts w:hint="eastAsia" w:cs="Times New Roman"/>
                <w:color w:val="auto"/>
                <w:sz w:val="24"/>
                <w:szCs w:val="24"/>
                <w:lang w:val="en-US" w:eastAsia="zh-CN"/>
              </w:rPr>
              <w:t>新建1</w:t>
            </w:r>
            <w:r>
              <w:rPr>
                <w:rFonts w:hint="default" w:ascii="Times New Roman" w:hAnsi="Times New Roman" w:cs="Times New Roman"/>
                <w:color w:val="auto"/>
                <w:sz w:val="24"/>
                <w:szCs w:val="24"/>
              </w:rPr>
              <w:t>个化粪池，容积为</w:t>
            </w:r>
            <w:r>
              <w:rPr>
                <w:rFonts w:hint="eastAsia" w:cs="Times New Roman"/>
                <w:color w:val="auto"/>
                <w:sz w:val="24"/>
                <w:szCs w:val="24"/>
                <w:lang w:val="en-US" w:eastAsia="zh-CN"/>
              </w:rPr>
              <w:t>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cs="Times New Roman"/>
                <w:color w:val="auto"/>
                <w:sz w:val="24"/>
                <w:szCs w:val="24"/>
                <w:lang w:val="en-US" w:eastAsia="zh-CN"/>
              </w:rPr>
              <w:t>两个化粪池总容积为50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项目设置化粪池</w:t>
            </w:r>
            <w:r>
              <w:rPr>
                <w:rFonts w:hint="default" w:ascii="Times New Roman" w:hAnsi="Times New Roman" w:cs="Times New Roman"/>
                <w:color w:val="auto"/>
                <w:sz w:val="24"/>
                <w:szCs w:val="24"/>
              </w:rPr>
              <w:t>满足废水预处理要求</w:t>
            </w:r>
            <w:r>
              <w:rPr>
                <w:rFonts w:hint="default" w:ascii="Times New Roman" w:hAnsi="Times New Roman" w:cs="Times New Roman"/>
                <w:color w:val="auto"/>
                <w:sz w:val="24"/>
                <w:szCs w:val="24"/>
                <w:lang w:eastAsia="zh-CN"/>
              </w:rPr>
              <w:t>。</w:t>
            </w:r>
          </w:p>
          <w:p w14:paraId="004D67C6">
            <w:pPr>
              <w:pStyle w:val="1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③污水处理站</w:t>
            </w:r>
          </w:p>
          <w:p w14:paraId="3FE9753E">
            <w:pPr>
              <w:pStyle w:val="29"/>
              <w:keepNext w:val="0"/>
              <w:keepLines w:val="0"/>
              <w:pageBreakBefore w:val="0"/>
              <w:widowControl w:val="0"/>
              <w:numPr>
                <w:ilvl w:val="0"/>
                <w:numId w:val="0"/>
              </w:numPr>
              <w:kinsoku/>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b/>
                <w:bCs/>
                <w:i w:val="0"/>
                <w:iCs/>
                <w:color w:val="auto"/>
                <w:sz w:val="24"/>
                <w:szCs w:val="24"/>
                <w:lang w:val="en-US" w:eastAsia="zh-CN"/>
              </w:rPr>
            </w:pPr>
            <w:r>
              <w:rPr>
                <w:rFonts w:hint="eastAsia" w:ascii="Times New Roman" w:hAnsi="Times New Roman" w:eastAsia="宋体" w:cs="Times New Roman"/>
                <w:b/>
                <w:bCs/>
                <w:i w:val="0"/>
                <w:iCs/>
                <w:color w:val="auto"/>
                <w:sz w:val="24"/>
                <w:szCs w:val="24"/>
                <w:lang w:val="en-US" w:eastAsia="zh-CN"/>
              </w:rPr>
              <w:t>A.处理规模合理性</w:t>
            </w:r>
          </w:p>
          <w:p w14:paraId="5AE4CB9B">
            <w:pPr>
              <w:keepNext w:val="0"/>
              <w:keepLines w:val="0"/>
              <w:pageBreakBefore w:val="0"/>
              <w:kinsoku/>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highlight w:val="none"/>
                <w:lang w:val="en-US" w:eastAsia="zh-CN"/>
              </w:rPr>
              <w:t>建设单位增设1座50m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/d的污水处理站，其处理整个医院产生的废水，食堂产生的废水经油水分离器处理后进入化粪池，再由化粪池处理后进入污水处理站，院区</w:t>
            </w:r>
            <w:r>
              <w:rPr>
                <w:rFonts w:hint="default" w:ascii="Times New Roman" w:hAnsi="Times New Roman" w:cs="Times New Roman"/>
                <w:b w:val="0"/>
                <w:bCs w:val="0"/>
                <w:color w:val="auto"/>
                <w:sz w:val="24"/>
                <w:szCs w:val="24"/>
                <w:highlight w:val="none"/>
                <w:lang w:eastAsia="zh-CN"/>
              </w:rPr>
              <w:t>产生</w:t>
            </w:r>
            <w:r>
              <w:rPr>
                <w:rFonts w:hint="eastAsia" w:cs="Times New Roman"/>
                <w:b w:val="0"/>
                <w:bCs w:val="0"/>
                <w:color w:val="auto"/>
                <w:sz w:val="24"/>
                <w:szCs w:val="24"/>
                <w:highlight w:val="none"/>
                <w:lang w:val="en-US" w:eastAsia="zh-CN"/>
              </w:rPr>
              <w:t>的医疗废水、洗衣废水</w:t>
            </w:r>
            <w:r>
              <w:rPr>
                <w:rFonts w:hint="default" w:ascii="Times New Roman" w:hAnsi="Times New Roman" w:cs="Times New Roman"/>
                <w:color w:val="auto"/>
                <w:sz w:val="24"/>
                <w:szCs w:val="24"/>
                <w:highlight w:val="none"/>
              </w:rPr>
              <w:t>经化粪池处理后进入污水处理</w:t>
            </w:r>
            <w:r>
              <w:rPr>
                <w:rFonts w:hint="eastAsia" w:cs="Times New Roman"/>
                <w:color w:val="auto"/>
                <w:sz w:val="24"/>
                <w:szCs w:val="24"/>
                <w:highlight w:val="none"/>
                <w:lang w:val="en-US" w:eastAsia="zh-CN"/>
              </w:rPr>
              <w:t>站</w:t>
            </w:r>
            <w:r>
              <w:rPr>
                <w:rFonts w:hint="default" w:ascii="Times New Roman" w:hAnsi="Times New Roman" w:cs="Times New Roman"/>
                <w:color w:val="auto"/>
                <w:sz w:val="24"/>
                <w:szCs w:val="24"/>
                <w:highlight w:val="none"/>
              </w:rPr>
              <w:t>处理</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lang w:val="en-US" w:eastAsia="zh-CN"/>
              </w:rPr>
              <w:t>根据核算，整个院区</w:t>
            </w:r>
            <w:r>
              <w:rPr>
                <w:rFonts w:hint="default" w:ascii="Times New Roman" w:hAnsi="Times New Roman" w:cs="Times New Roman"/>
                <w:color w:val="auto"/>
                <w:sz w:val="24"/>
                <w:szCs w:val="24"/>
              </w:rPr>
              <w:t>废水产生量为</w:t>
            </w:r>
            <w:r>
              <w:rPr>
                <w:rFonts w:hint="eastAsia" w:cs="Times New Roman"/>
                <w:color w:val="auto"/>
                <w:sz w:val="24"/>
                <w:szCs w:val="24"/>
                <w:lang w:val="en-US" w:eastAsia="zh-CN"/>
              </w:rPr>
              <w:t>30.5293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/d，安全系数取1.2，</w:t>
            </w:r>
            <w:r>
              <w:rPr>
                <w:rFonts w:hint="default" w:ascii="Times New Roman" w:hAnsi="Times New Roman" w:cs="Times New Roman"/>
                <w:color w:val="auto"/>
                <w:sz w:val="24"/>
                <w:szCs w:val="24"/>
                <w:lang w:eastAsia="zh-CN"/>
              </w:rPr>
              <w:t>则项目</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lang w:eastAsia="zh-CN"/>
              </w:rPr>
              <w:t>处理能力</w:t>
            </w:r>
            <w:r>
              <w:rPr>
                <w:rFonts w:hint="default" w:ascii="Times New Roman" w:hAnsi="Times New Roman" w:cs="Times New Roman"/>
                <w:color w:val="auto"/>
                <w:sz w:val="24"/>
                <w:szCs w:val="24"/>
              </w:rPr>
              <w:t>不小于</w:t>
            </w:r>
            <w:r>
              <w:rPr>
                <w:rFonts w:hint="eastAsia" w:cs="Times New Roman"/>
                <w:color w:val="auto"/>
                <w:sz w:val="24"/>
                <w:szCs w:val="24"/>
                <w:lang w:val="en-US" w:eastAsia="zh-CN"/>
              </w:rPr>
              <w:t>34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val="en-US" w:eastAsia="zh-CN"/>
              </w:rPr>
              <w:t>/d，故项目污水处理站处理能力能满足</w:t>
            </w:r>
            <w:r>
              <w:rPr>
                <w:rFonts w:hint="eastAsia" w:cs="Times New Roman"/>
                <w:color w:val="auto"/>
                <w:sz w:val="24"/>
                <w:szCs w:val="24"/>
                <w:lang w:val="en-US" w:eastAsia="zh-CN"/>
              </w:rPr>
              <w:t>整个院区</w:t>
            </w:r>
            <w:r>
              <w:rPr>
                <w:rFonts w:hint="default" w:ascii="Times New Roman" w:hAnsi="Times New Roman" w:cs="Times New Roman"/>
                <w:color w:val="auto"/>
                <w:sz w:val="24"/>
                <w:szCs w:val="24"/>
                <w:lang w:val="en-US" w:eastAsia="zh-CN"/>
              </w:rPr>
              <w:t>废水处理</w:t>
            </w:r>
            <w:r>
              <w:rPr>
                <w:rFonts w:hint="eastAsia" w:ascii="Times New Roman" w:hAnsi="Times New Roman" w:cs="Times New Roman"/>
                <w:color w:val="auto"/>
                <w:sz w:val="24"/>
                <w:szCs w:val="24"/>
                <w:lang w:val="en-US" w:eastAsia="zh-CN"/>
              </w:rPr>
              <w:t>要求。</w:t>
            </w:r>
          </w:p>
          <w:p w14:paraId="09C10187">
            <w:pPr>
              <w:pStyle w:val="12"/>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B.</w:t>
            </w:r>
            <w:r>
              <w:rPr>
                <w:rFonts w:hint="default" w:ascii="Times New Roman" w:hAnsi="Times New Roman" w:eastAsia="宋体" w:cs="Times New Roman"/>
                <w:b/>
                <w:bCs/>
                <w:color w:val="auto"/>
                <w:lang w:val="en-US" w:eastAsia="zh-CN"/>
              </w:rPr>
              <w:t>污水处理工艺</w:t>
            </w:r>
          </w:p>
          <w:p w14:paraId="057534BC">
            <w:pPr>
              <w:pStyle w:val="33"/>
              <w:bidi w:val="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根据建设方提供资料，及相关水处理工艺运行的情况，</w:t>
            </w:r>
            <w:r>
              <w:rPr>
                <w:rFonts w:hint="default" w:ascii="Times New Roman" w:hAnsi="Times New Roman" w:cs="Times New Roman"/>
                <w:color w:val="auto"/>
                <w:sz w:val="24"/>
                <w:szCs w:val="24"/>
              </w:rPr>
              <w:t>医院污水处理工艺采用二级生化处理+消毒工艺，污水处理工艺选用生物接触氧化工艺，消毒</w:t>
            </w:r>
            <w:r>
              <w:rPr>
                <w:rFonts w:hint="eastAsia" w:eastAsia="宋体" w:cs="Times New Roman"/>
                <w:color w:val="auto"/>
                <w:sz w:val="24"/>
                <w:szCs w:val="24"/>
                <w:lang w:val="en-US" w:eastAsia="zh-CN"/>
              </w:rPr>
              <w:t>采用</w:t>
            </w:r>
            <w:r>
              <w:rPr>
                <w:rFonts w:hint="default" w:ascii="Times New Roman" w:hAnsi="Times New Roman" w:cs="Times New Roman"/>
                <w:color w:val="auto"/>
                <w:sz w:val="24"/>
                <w:szCs w:val="24"/>
              </w:rPr>
              <w:t>次氯酸钠消毒</w:t>
            </w:r>
            <w:r>
              <w:rPr>
                <w:rFonts w:hint="eastAsia" w:eastAsia="宋体" w:cs="Times New Roman"/>
                <w:color w:val="auto"/>
                <w:sz w:val="24"/>
                <w:szCs w:val="24"/>
                <w:lang w:eastAsia="zh-CN"/>
              </w:rPr>
              <w:t>，</w:t>
            </w:r>
            <w:r>
              <w:rPr>
                <w:rFonts w:hint="default" w:ascii="Times New Roman" w:hAnsi="Times New Roman" w:cs="Times New Roman"/>
                <w:color w:val="auto"/>
                <w:sz w:val="24"/>
                <w:szCs w:val="24"/>
              </w:rPr>
              <w:t>自动投加药剂，</w:t>
            </w:r>
            <w:r>
              <w:rPr>
                <w:rFonts w:hint="eastAsia" w:ascii="Times New Roman" w:hAnsi="Times New Roman" w:eastAsia="宋体" w:cs="Times New Roman"/>
                <w:color w:val="auto"/>
                <w:sz w:val="24"/>
                <w:szCs w:val="24"/>
                <w:lang w:val="en-US" w:eastAsia="zh-CN"/>
              </w:rPr>
              <w:t>拟建的</w:t>
            </w:r>
            <w:r>
              <w:rPr>
                <w:rFonts w:hint="default" w:ascii="Times New Roman" w:hAnsi="Times New Roman" w:cs="Times New Roman"/>
                <w:color w:val="auto"/>
                <w:sz w:val="24"/>
                <w:szCs w:val="24"/>
              </w:rPr>
              <w:t>污水处理站的处理规模为</w:t>
            </w:r>
            <w:r>
              <w:rPr>
                <w:rFonts w:hint="eastAsia" w:cs="Times New Roman"/>
                <w:color w:val="auto"/>
                <w:sz w:val="24"/>
                <w:szCs w:val="24"/>
                <w:lang w:val="en-US" w:eastAsia="zh-CN"/>
              </w:rPr>
              <w:t>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14:paraId="2227AE0D">
            <w:pPr>
              <w:pStyle w:val="33"/>
              <w:bidi w:val="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污水处理工艺如下：污水→格栅机/预曝调节池→</w:t>
            </w:r>
            <w:r>
              <w:rPr>
                <w:rFonts w:hint="eastAsia" w:cs="Times New Roman"/>
                <w:b w:val="0"/>
                <w:bCs w:val="0"/>
                <w:color w:val="auto"/>
                <w:sz w:val="24"/>
                <w:szCs w:val="24"/>
                <w:lang w:val="en-US" w:eastAsia="zh-CN"/>
              </w:rPr>
              <w:t>二段</w:t>
            </w:r>
            <w:r>
              <w:rPr>
                <w:rFonts w:hint="default" w:ascii="Times New Roman" w:hAnsi="Times New Roman" w:cs="Times New Roman"/>
                <w:b w:val="0"/>
                <w:bCs w:val="0"/>
                <w:color w:val="auto"/>
                <w:sz w:val="24"/>
                <w:szCs w:val="24"/>
                <w:vertAlign w:val="baseline"/>
                <w:lang w:val="en-US" w:eastAsia="zh-CN"/>
              </w:rPr>
              <w:t>生物</w:t>
            </w:r>
            <w:r>
              <w:rPr>
                <w:rFonts w:hint="eastAsia" w:cs="Times New Roman"/>
                <w:b w:val="0"/>
                <w:bCs w:val="0"/>
                <w:color w:val="auto"/>
                <w:sz w:val="24"/>
                <w:szCs w:val="24"/>
                <w:vertAlign w:val="baseline"/>
                <w:lang w:val="en-US" w:eastAsia="zh-CN"/>
              </w:rPr>
              <w:t>接触氧化</w:t>
            </w:r>
            <w:r>
              <w:rPr>
                <w:rFonts w:hint="default" w:ascii="Times New Roman" w:hAnsi="Times New Roman" w:cs="Times New Roman"/>
                <w:b w:val="0"/>
                <w:bCs w:val="0"/>
                <w:color w:val="auto"/>
                <w:sz w:val="24"/>
                <w:szCs w:val="24"/>
                <w:vertAlign w:val="baseline"/>
                <w:lang w:val="en-US" w:eastAsia="zh-CN"/>
              </w:rPr>
              <w:t>池</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斜管沉淀</w:t>
            </w:r>
            <w:r>
              <w:rPr>
                <w:rFonts w:hint="default" w:ascii="Times New Roman" w:hAnsi="Times New Roman" w:cs="Times New Roman"/>
                <w:b w:val="0"/>
                <w:bCs w:val="0"/>
                <w:color w:val="auto"/>
                <w:sz w:val="24"/>
                <w:szCs w:val="24"/>
                <w:lang w:val="en-US" w:eastAsia="zh-CN"/>
              </w:rPr>
              <w:t>池→</w:t>
            </w:r>
            <w:r>
              <w:rPr>
                <w:rFonts w:hint="eastAsia" w:cs="Times New Roman"/>
                <w:b w:val="0"/>
                <w:bCs w:val="0"/>
                <w:color w:val="auto"/>
                <w:sz w:val="24"/>
                <w:szCs w:val="24"/>
                <w:lang w:val="en-US" w:eastAsia="zh-CN"/>
              </w:rPr>
              <w:t>接触消毒池</w:t>
            </w:r>
            <w:r>
              <w:rPr>
                <w:rFonts w:hint="default" w:ascii="Times New Roman" w:hAnsi="Times New Roman" w:cs="Times New Roman"/>
                <w:b w:val="0"/>
                <w:bCs w:val="0"/>
                <w:color w:val="auto"/>
                <w:sz w:val="24"/>
                <w:szCs w:val="24"/>
                <w:lang w:val="en-US" w:eastAsia="zh-CN"/>
              </w:rPr>
              <w:t>→出水。</w:t>
            </w:r>
          </w:p>
          <w:p w14:paraId="21D0972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9" o:spt="75" type="#_x0000_t75" style="height:553.4pt;width:390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p>
          <w:p w14:paraId="01C62F13">
            <w:pPr>
              <w:pStyle w:val="33"/>
              <w:bidi w:val="0"/>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w:t>
            </w:r>
            <w:r>
              <w:rPr>
                <w:rFonts w:hint="eastAsia"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项目污水处理站工艺流程图</w:t>
            </w:r>
          </w:p>
          <w:p w14:paraId="06AD11EC">
            <w:pPr>
              <w:pStyle w:val="33"/>
              <w:bidi w:val="0"/>
              <w:rPr>
                <w:rFonts w:hint="default" w:ascii="Times New Roman" w:hAnsi="Times New Roman" w:cs="Times New Roman"/>
                <w:color w:val="auto"/>
                <w:sz w:val="24"/>
                <w:szCs w:val="24"/>
              </w:rPr>
            </w:pPr>
            <w:r>
              <w:rPr>
                <w:rFonts w:hint="eastAsia"/>
                <w:color w:val="auto"/>
                <w:sz w:val="24"/>
                <w:szCs w:val="24"/>
                <w:lang w:val="en-US" w:eastAsia="zh-CN"/>
              </w:rPr>
              <w:t>污水处理站工艺流程：</w:t>
            </w:r>
            <w:r>
              <w:rPr>
                <w:rFonts w:hint="default" w:ascii="Times New Roman" w:hAnsi="Times New Roman" w:cs="Times New Roman"/>
                <w:color w:val="auto"/>
                <w:sz w:val="24"/>
                <w:szCs w:val="24"/>
              </w:rPr>
              <w:t>污水经</w:t>
            </w:r>
            <w:r>
              <w:rPr>
                <w:rFonts w:hint="eastAsia" w:cs="Times New Roman"/>
                <w:color w:val="auto"/>
                <w:sz w:val="24"/>
                <w:szCs w:val="24"/>
                <w:lang w:val="en-US" w:eastAsia="zh-CN"/>
              </w:rPr>
              <w:t>油水分离器</w:t>
            </w:r>
            <w:r>
              <w:rPr>
                <w:rFonts w:hint="default" w:ascii="Times New Roman" w:hAnsi="Times New Roman" w:cs="Times New Roman"/>
                <w:color w:val="auto"/>
                <w:sz w:val="24"/>
                <w:szCs w:val="24"/>
              </w:rPr>
              <w:t>和化粪池进行初步处理后经过机械格栅，经</w:t>
            </w:r>
            <w:r>
              <w:rPr>
                <w:rFonts w:hint="eastAsia" w:cs="Times New Roman"/>
                <w:color w:val="auto"/>
                <w:sz w:val="24"/>
                <w:szCs w:val="24"/>
                <w:lang w:eastAsia="zh-CN"/>
              </w:rPr>
              <w:t>格栅拦截</w:t>
            </w:r>
            <w:r>
              <w:rPr>
                <w:rFonts w:hint="default" w:ascii="Times New Roman" w:hAnsi="Times New Roman" w:cs="Times New Roman"/>
                <w:color w:val="auto"/>
                <w:sz w:val="24"/>
                <w:szCs w:val="24"/>
              </w:rPr>
              <w:t>较大的悬浮物后进入预曝调节池。预曝调节池一是调节水质，二是对污水进行曝气处理，防止污泥沉淀。然后污水进入二段生物接触氧化池进行生物好氧处理。生物好氧处理首要功能是去除COD、BOD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rPr>
              <w:t>，第二功能是脱氮，第三功能是吸收磷。池中设置了生物填料，在此阶段，曝气系统向反应池内供氧，一方面满足了氧微生物对氧的需求，另一方面有利于活性污泥与有机物的混合与接触，从而使有机污染物被微生物氧化分解。同时，污水中的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-N也通过微生物的硝化作用转化为NOx-N。</w:t>
            </w:r>
          </w:p>
          <w:p w14:paraId="5FD9E946">
            <w:pPr>
              <w:pStyle w:val="33"/>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二段生物接触氧化池采用溢流出水方式，出水进入斜管沉淀池，对水中悬浮物和脱硫生物膜进行进一步沉淀处理。沉淀污泥通过污泥泵泵入污泥浓缩池收集，投加石灰进行脱水处理。最后污水进入</w:t>
            </w:r>
            <w:r>
              <w:rPr>
                <w:rFonts w:hint="eastAsia" w:eastAsia="宋体" w:cs="Times New Roman"/>
                <w:color w:val="auto"/>
                <w:sz w:val="24"/>
                <w:szCs w:val="24"/>
                <w:lang w:eastAsia="zh-CN"/>
              </w:rPr>
              <w:t>接触</w:t>
            </w:r>
            <w:r>
              <w:rPr>
                <w:rFonts w:hint="default" w:ascii="Times New Roman" w:hAnsi="Times New Roman" w:cs="Times New Roman"/>
                <w:color w:val="auto"/>
                <w:sz w:val="24"/>
                <w:szCs w:val="24"/>
              </w:rPr>
              <w:t>消毒池，通过计量泵投加成品次氯酸钠消毒溶液进行消毒，接触消毒时间1小时后达标外排。栅渣、沉淀池沉渣和二段生活</w:t>
            </w:r>
            <w:r>
              <w:rPr>
                <w:rFonts w:hint="eastAsia" w:eastAsia="宋体" w:cs="Times New Roman"/>
                <w:color w:val="auto"/>
                <w:sz w:val="24"/>
                <w:szCs w:val="24"/>
                <w:lang w:eastAsia="zh-CN"/>
              </w:rPr>
              <w:t>接触</w:t>
            </w:r>
            <w:r>
              <w:rPr>
                <w:rFonts w:hint="default" w:ascii="Times New Roman" w:hAnsi="Times New Roman" w:cs="Times New Roman"/>
                <w:color w:val="auto"/>
                <w:sz w:val="24"/>
                <w:szCs w:val="24"/>
              </w:rPr>
              <w:t>氧化池污泥投加生石灰进行消毒后</w:t>
            </w:r>
            <w:r>
              <w:rPr>
                <w:rFonts w:hint="default" w:ascii="Times New Roman" w:hAnsi="Times New Roman" w:eastAsia="宋体" w:cs="Times New Roman"/>
                <w:color w:val="auto"/>
                <w:sz w:val="24"/>
                <w:szCs w:val="24"/>
                <w:lang w:val="en-US" w:eastAsia="zh-CN"/>
              </w:rPr>
              <w:t>委托</w:t>
            </w:r>
            <w:r>
              <w:rPr>
                <w:rFonts w:hint="eastAsia" w:cs="Times New Roman"/>
                <w:color w:val="auto"/>
                <w:sz w:val="24"/>
                <w:szCs w:val="24"/>
                <w:lang w:val="en-US" w:eastAsia="zh-CN"/>
              </w:rPr>
              <w:t>有资质单位</w:t>
            </w:r>
            <w:r>
              <w:rPr>
                <w:rFonts w:hint="default" w:ascii="Times New Roman" w:hAnsi="Times New Roman" w:eastAsia="宋体" w:cs="Times New Roman"/>
                <w:color w:val="auto"/>
                <w:sz w:val="24"/>
                <w:szCs w:val="24"/>
                <w:lang w:val="en-US" w:eastAsia="zh-CN"/>
              </w:rPr>
              <w:t>清掏</w:t>
            </w:r>
            <w:r>
              <w:rPr>
                <w:rFonts w:hint="default" w:ascii="Times New Roman" w:hAnsi="Times New Roman" w:cs="Times New Roman"/>
                <w:color w:val="auto"/>
                <w:sz w:val="24"/>
                <w:szCs w:val="24"/>
              </w:rPr>
              <w:t>处理。</w:t>
            </w:r>
          </w:p>
          <w:p w14:paraId="2C61196D">
            <w:pPr>
              <w:pStyle w:val="33"/>
              <w:bidi w:val="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污水处理站处理工</w:t>
            </w:r>
            <w:r>
              <w:rPr>
                <w:rFonts w:hint="default" w:ascii="Times New Roman" w:hAnsi="Times New Roman" w:cs="Times New Roman"/>
                <w:color w:val="auto"/>
                <w:sz w:val="24"/>
                <w:szCs w:val="24"/>
              </w:rPr>
              <w:t>艺符合《医院污水处理工程技术规范》</w:t>
            </w:r>
            <w:r>
              <w:rPr>
                <w:rFonts w:hint="eastAsia" w:eastAsia="宋体" w:cs="Times New Roman"/>
                <w:color w:val="auto"/>
                <w:sz w:val="24"/>
                <w:szCs w:val="24"/>
                <w:lang w:eastAsia="zh-CN"/>
              </w:rPr>
              <w:t>（</w:t>
            </w:r>
            <w:r>
              <w:rPr>
                <w:rFonts w:hint="default" w:ascii="Times New Roman" w:hAnsi="Times New Roman" w:cs="Times New Roman"/>
                <w:color w:val="auto"/>
                <w:sz w:val="24"/>
                <w:szCs w:val="24"/>
              </w:rPr>
              <w:t>HJ2029-2013</w:t>
            </w:r>
            <w:r>
              <w:rPr>
                <w:rFonts w:hint="eastAsia" w:eastAsia="宋体" w:cs="Times New Roman"/>
                <w:color w:val="auto"/>
                <w:sz w:val="24"/>
                <w:szCs w:val="24"/>
                <w:lang w:eastAsia="zh-CN"/>
              </w:rPr>
              <w:t>）</w:t>
            </w:r>
            <w:r>
              <w:rPr>
                <w:rFonts w:hint="default" w:ascii="Times New Roman" w:hAnsi="Times New Roman" w:cs="Times New Roman"/>
                <w:b w:val="0"/>
                <w:bCs w:val="0"/>
                <w:color w:val="auto"/>
                <w:sz w:val="24"/>
                <w:szCs w:val="24"/>
                <w:lang w:val="en-US" w:eastAsia="zh-CN"/>
              </w:rPr>
              <w:t>。</w:t>
            </w:r>
            <w:r>
              <w:rPr>
                <w:rFonts w:hint="eastAsia" w:cs="Times New Roman"/>
                <w:color w:val="auto"/>
                <w:sz w:val="24"/>
                <w:szCs w:val="24"/>
                <w:lang w:val="en-US" w:eastAsia="zh-CN"/>
              </w:rPr>
              <w:t>据表4-3，项目处理后的污染物排放浓度可以达到</w:t>
            </w:r>
            <w:r>
              <w:rPr>
                <w:rFonts w:hint="default" w:ascii="Times New Roman" w:hAnsi="Times New Roman" w:cs="Times New Roman"/>
                <w:color w:val="auto"/>
                <w:sz w:val="24"/>
                <w:szCs w:val="24"/>
              </w:rPr>
              <w:t>《医疗机构水污染物排放标准》（GB18466-2005）预处理标准</w:t>
            </w:r>
            <w:r>
              <w:rPr>
                <w:rFonts w:hint="eastAsia" w:cs="Times New Roman"/>
                <w:color w:val="auto"/>
                <w:sz w:val="24"/>
                <w:szCs w:val="24"/>
                <w:lang w:eastAsia="zh-CN"/>
              </w:rPr>
              <w:t>，</w:t>
            </w:r>
            <w:r>
              <w:rPr>
                <w:rFonts w:hint="eastAsia" w:cs="Times New Roman"/>
                <w:color w:val="auto"/>
                <w:sz w:val="24"/>
                <w:szCs w:val="24"/>
                <w:lang w:val="en-US" w:eastAsia="zh-CN"/>
              </w:rPr>
              <w:t>所以项目污水处理站采取工艺是可行的</w:t>
            </w:r>
            <w:r>
              <w:rPr>
                <w:rFonts w:hint="default" w:ascii="Times New Roman" w:hAnsi="Times New Roman" w:cs="Times New Roman"/>
                <w:color w:val="auto"/>
                <w:sz w:val="24"/>
                <w:szCs w:val="24"/>
              </w:rPr>
              <w:t>。</w:t>
            </w:r>
          </w:p>
          <w:p w14:paraId="6B8C14B8">
            <w:pPr>
              <w:keepNext w:val="0"/>
              <w:keepLines w:val="0"/>
              <w:pageBreakBefore w:val="0"/>
              <w:numPr>
                <w:ilvl w:val="0"/>
                <w:numId w:val="0"/>
              </w:numPr>
              <w:kinsoku/>
              <w:wordWrap w:val="0"/>
              <w:overflowPunct/>
              <w:topLinePunct/>
              <w:autoSpaceDE/>
              <w:autoSpaceDN/>
              <w:bidi w:val="0"/>
              <w:adjustRightInd w:val="0"/>
              <w:snapToGrid w:val="0"/>
              <w:spacing w:line="360" w:lineRule="auto"/>
              <w:ind w:left="0" w:leftChars="0" w:right="0" w:rightChars="0" w:firstLine="482" w:firstLineChars="200"/>
              <w:jc w:val="both"/>
              <w:textAlignment w:val="auto"/>
              <w:rPr>
                <w:rFonts w:hint="eastAsia" w:ascii="宋体" w:hAnsi="宋体" w:cs="宋体"/>
                <w:b/>
                <w:bCs w:val="0"/>
                <w:color w:val="auto"/>
                <w:spacing w:val="0"/>
                <w:sz w:val="21"/>
                <w:szCs w:val="21"/>
                <w:lang w:val="en-US" w:eastAsia="zh-CN"/>
              </w:rPr>
            </w:pPr>
            <w:r>
              <w:rPr>
                <w:rFonts w:hint="eastAsia" w:ascii="宋体" w:hAnsi="宋体" w:cs="宋体"/>
                <w:b/>
                <w:bCs w:val="0"/>
                <w:color w:val="auto"/>
                <w:spacing w:val="0"/>
                <w:sz w:val="24"/>
                <w:szCs w:val="24"/>
                <w:lang w:val="en-US" w:eastAsia="zh-CN"/>
              </w:rPr>
              <w:t>C.废水</w:t>
            </w:r>
            <w:r>
              <w:rPr>
                <w:b/>
                <w:bCs/>
                <w:color w:val="auto"/>
                <w:sz w:val="24"/>
              </w:rPr>
              <w:t>达标排放可行性分析</w:t>
            </w:r>
          </w:p>
          <w:p w14:paraId="17103A73">
            <w:pPr>
              <w:keepNext w:val="0"/>
              <w:keepLines w:val="0"/>
              <w:pageBreakBefore w:val="0"/>
              <w:numPr>
                <w:ilvl w:val="0"/>
                <w:numId w:val="0"/>
              </w:numPr>
              <w:kinsoku/>
              <w:wordWrap w:val="0"/>
              <w:overflowPunct/>
              <w:topLinePunct/>
              <w:autoSpaceDE/>
              <w:autoSpaceDN/>
              <w:bidi w:val="0"/>
              <w:adjustRightInd w:val="0"/>
              <w:snapToGrid w:val="0"/>
              <w:spacing w:line="360" w:lineRule="auto"/>
              <w:ind w:right="0" w:righ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对比《排污许可证申请与核发技术规范  医疗机构》（HJ1105-2020）中附录A，表A.2，医疗机构排污单位污水治理可行技术参照表，项目废水治理措施可行情况如下表：</w:t>
            </w:r>
          </w:p>
          <w:p w14:paraId="57F482C6">
            <w:pPr>
              <w:spacing w:line="360" w:lineRule="auto"/>
              <w:jc w:val="center"/>
              <w:rPr>
                <w:rFonts w:hint="default"/>
                <w:b/>
                <w:bCs/>
                <w:color w:val="auto"/>
                <w:lang w:val="en-US" w:eastAsia="zh-CN"/>
              </w:rPr>
            </w:pPr>
            <w:r>
              <w:rPr>
                <w:rFonts w:hint="eastAsia"/>
                <w:b/>
                <w:bCs/>
                <w:color w:val="auto"/>
                <w:lang w:val="en-US" w:eastAsia="zh-CN"/>
              </w:rPr>
              <w:t>表4-5  项目治理废水治理措施可行性分析</w:t>
            </w:r>
          </w:p>
          <w:tbl>
            <w:tblPr>
              <w:tblStyle w:val="2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2066"/>
              <w:gridCol w:w="1234"/>
              <w:gridCol w:w="2901"/>
              <w:gridCol w:w="1009"/>
              <w:gridCol w:w="685"/>
            </w:tblGrid>
            <w:tr w14:paraId="48C4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59" w:type="pct"/>
                  <w:noWrap w:val="0"/>
                  <w:vAlign w:val="center"/>
                </w:tcPr>
                <w:p w14:paraId="16B354EC">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废水类别</w:t>
                  </w:r>
                </w:p>
              </w:tc>
              <w:tc>
                <w:tcPr>
                  <w:tcW w:w="1240" w:type="pct"/>
                  <w:noWrap w:val="0"/>
                  <w:vAlign w:val="center"/>
                </w:tcPr>
                <w:p w14:paraId="0A2CAEC4">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污染物种类</w:t>
                  </w:r>
                </w:p>
              </w:tc>
              <w:tc>
                <w:tcPr>
                  <w:tcW w:w="740" w:type="pct"/>
                  <w:noWrap w:val="0"/>
                  <w:vAlign w:val="center"/>
                </w:tcPr>
                <w:p w14:paraId="3688A00B">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排放去向</w:t>
                  </w:r>
                </w:p>
              </w:tc>
              <w:tc>
                <w:tcPr>
                  <w:tcW w:w="1741" w:type="pct"/>
                  <w:noWrap w:val="0"/>
                  <w:vAlign w:val="center"/>
                </w:tcPr>
                <w:p w14:paraId="31F95721">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可行技术</w:t>
                  </w:r>
                </w:p>
              </w:tc>
              <w:tc>
                <w:tcPr>
                  <w:tcW w:w="605" w:type="pct"/>
                  <w:noWrap w:val="0"/>
                  <w:vAlign w:val="center"/>
                </w:tcPr>
                <w:p w14:paraId="0DFFABDE">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本项目工艺</w:t>
                  </w:r>
                </w:p>
              </w:tc>
              <w:tc>
                <w:tcPr>
                  <w:tcW w:w="411" w:type="pct"/>
                  <w:noWrap w:val="0"/>
                  <w:vAlign w:val="center"/>
                </w:tcPr>
                <w:p w14:paraId="2D5315CE">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是否可行</w:t>
                  </w:r>
                </w:p>
              </w:tc>
            </w:tr>
            <w:tr w14:paraId="6F21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9" w:type="pct"/>
                  <w:noWrap w:val="0"/>
                  <w:vAlign w:val="center"/>
                </w:tcPr>
                <w:p w14:paraId="79CB157E">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医疗废水</w:t>
                  </w:r>
                </w:p>
              </w:tc>
              <w:tc>
                <w:tcPr>
                  <w:tcW w:w="1240" w:type="pct"/>
                  <w:noWrap w:val="0"/>
                  <w:vAlign w:val="center"/>
                </w:tcPr>
                <w:p w14:paraId="5193B125">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粪大肠菌群数、肠道致病菌、肠道病毒、COD、氨氮、pH值、悬浮物、BOD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vertAlign w:val="baseline"/>
                      <w:lang w:val="en-US" w:eastAsia="zh-CN"/>
                    </w:rPr>
                    <w:t>、动植物油、石油类、阴离子表面活性剂、挥发酚、总氰化物、总余氯</w:t>
                  </w:r>
                </w:p>
              </w:tc>
              <w:tc>
                <w:tcPr>
                  <w:tcW w:w="740" w:type="pct"/>
                  <w:vMerge w:val="restart"/>
                  <w:shd w:val="clear" w:color="auto" w:fill="auto"/>
                  <w:noWrap w:val="0"/>
                  <w:vAlign w:val="center"/>
                </w:tcPr>
                <w:p w14:paraId="09BB5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本次评价要求项目在倘甸镇污水处理厂投运之前不得投运。待倘甸镇污水处理厂投入运行且项目至污水处理厂的管网接通后，医院废水经自建污水处理站处理达到《医疗机构水污染物排放标准》（GB18466-2005）表2预处理标准后排入市政污水管网，最终排入倘甸镇污水处理厂。</w:t>
                  </w:r>
                </w:p>
              </w:tc>
              <w:tc>
                <w:tcPr>
                  <w:tcW w:w="1741" w:type="pct"/>
                  <w:noWrap w:val="0"/>
                  <w:vAlign w:val="center"/>
                </w:tcPr>
                <w:p w14:paraId="29151C87">
                  <w:pPr>
                    <w:spacing w:line="240" w:lineRule="auto"/>
                    <w:jc w:val="both"/>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一级处理/一级强化处理+消毒工艺。</w:t>
                  </w:r>
                </w:p>
                <w:p w14:paraId="61A0AA82">
                  <w:pPr>
                    <w:pStyle w:val="10"/>
                    <w:spacing w:line="240" w:lineRule="auto"/>
                    <w:ind w:left="0" w:leftChars="0" w:firstLine="0" w:firstLineChars="0"/>
                    <w:rPr>
                      <w:rFonts w:hint="eastAsia"/>
                      <w:color w:val="auto"/>
                      <w:sz w:val="21"/>
                      <w:szCs w:val="21"/>
                      <w:lang w:val="en-US" w:eastAsia="zh-CN"/>
                    </w:rPr>
                  </w:pPr>
                  <w:r>
                    <w:rPr>
                      <w:rFonts w:hint="eastAsia"/>
                      <w:color w:val="auto"/>
                      <w:sz w:val="21"/>
                      <w:szCs w:val="21"/>
                      <w:lang w:val="en-US" w:eastAsia="zh-CN"/>
                    </w:rPr>
                    <w:t>一级处理包括：筛滤法；沉淀法；气浮法；预曝气法。</w:t>
                  </w:r>
                </w:p>
                <w:p w14:paraId="13878919">
                  <w:pPr>
                    <w:spacing w:line="240" w:lineRule="auto"/>
                    <w:rPr>
                      <w:rFonts w:hint="eastAsia"/>
                      <w:color w:val="auto"/>
                      <w:sz w:val="21"/>
                      <w:szCs w:val="21"/>
                      <w:lang w:val="en-US" w:eastAsia="zh-CN"/>
                    </w:rPr>
                  </w:pPr>
                  <w:r>
                    <w:rPr>
                      <w:rFonts w:hint="eastAsia"/>
                      <w:color w:val="auto"/>
                      <w:sz w:val="21"/>
                      <w:szCs w:val="21"/>
                      <w:lang w:val="en-US" w:eastAsia="zh-CN"/>
                    </w:rPr>
                    <w:t>一级强化处理包括：化学混凝处理、机械过滤或不完全生物处理。</w:t>
                  </w:r>
                </w:p>
                <w:p w14:paraId="3609F5EB">
                  <w:pPr>
                    <w:pStyle w:val="10"/>
                    <w:spacing w:line="240" w:lineRule="auto"/>
                    <w:ind w:left="0" w:leftChars="0" w:firstLine="0" w:firstLineChars="0"/>
                    <w:rPr>
                      <w:rFonts w:hint="default"/>
                      <w:color w:val="auto"/>
                      <w:lang w:val="en-US" w:eastAsia="zh-CN"/>
                    </w:rPr>
                  </w:pPr>
                  <w:r>
                    <w:rPr>
                      <w:rFonts w:hint="eastAsia"/>
                      <w:color w:val="auto"/>
                      <w:sz w:val="21"/>
                      <w:szCs w:val="21"/>
                      <w:lang w:val="en-US" w:eastAsia="zh-CN"/>
                    </w:rPr>
                    <w:t>消毒工艺：加氯消毒、臭氧法消毒、次氯酸钠法、二氧化氯法消毒、紫外线消毒等。</w:t>
                  </w:r>
                </w:p>
              </w:tc>
              <w:tc>
                <w:tcPr>
                  <w:tcW w:w="605" w:type="pct"/>
                  <w:noWrap w:val="0"/>
                  <w:vAlign w:val="center"/>
                </w:tcPr>
                <w:p w14:paraId="53E8322B">
                  <w:pPr>
                    <w:pStyle w:val="10"/>
                    <w:spacing w:line="240" w:lineRule="auto"/>
                    <w:ind w:left="0" w:leftChars="0" w:firstLine="0" w:firstLineChars="0"/>
                    <w:rPr>
                      <w:rFonts w:hint="default"/>
                      <w:color w:val="auto"/>
                      <w:sz w:val="21"/>
                      <w:szCs w:val="21"/>
                      <w:lang w:val="en-US" w:eastAsia="zh-CN"/>
                    </w:rPr>
                  </w:pPr>
                  <w:r>
                    <w:rPr>
                      <w:rFonts w:hint="eastAsia"/>
                      <w:color w:val="auto"/>
                      <w:sz w:val="21"/>
                      <w:szCs w:val="21"/>
                      <w:lang w:val="en-US" w:eastAsia="zh-CN"/>
                    </w:rPr>
                    <w:t>化粪池+</w:t>
                  </w:r>
                  <w:r>
                    <w:rPr>
                      <w:rFonts w:hint="default" w:ascii="Times New Roman" w:hAnsi="Times New Roman" w:cs="Times New Roman"/>
                      <w:color w:val="auto"/>
                      <w:sz w:val="21"/>
                      <w:szCs w:val="21"/>
                    </w:rPr>
                    <w:t>二级生化处理+消毒工艺</w:t>
                  </w:r>
                </w:p>
              </w:tc>
              <w:tc>
                <w:tcPr>
                  <w:tcW w:w="411" w:type="pct"/>
                  <w:noWrap w:val="0"/>
                  <w:vAlign w:val="center"/>
                </w:tcPr>
                <w:p w14:paraId="0F8ECE3A">
                  <w:pPr>
                    <w:pStyle w:val="10"/>
                    <w:spacing w:line="240" w:lineRule="auto"/>
                    <w:ind w:left="0" w:leftChars="0" w:firstLine="0" w:firstLineChars="0"/>
                    <w:rPr>
                      <w:rFonts w:hint="default"/>
                      <w:color w:val="auto"/>
                      <w:sz w:val="21"/>
                      <w:szCs w:val="21"/>
                      <w:lang w:val="en-US" w:eastAsia="zh-CN"/>
                    </w:rPr>
                  </w:pPr>
                  <w:r>
                    <w:rPr>
                      <w:rFonts w:hint="eastAsia"/>
                      <w:color w:val="auto"/>
                      <w:sz w:val="21"/>
                      <w:szCs w:val="21"/>
                      <w:lang w:val="en-US" w:eastAsia="zh-CN"/>
                    </w:rPr>
                    <w:t>可行</w:t>
                  </w:r>
                </w:p>
              </w:tc>
            </w:tr>
            <w:tr w14:paraId="573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59" w:type="pct"/>
                  <w:noWrap w:val="0"/>
                  <w:vAlign w:val="center"/>
                </w:tcPr>
                <w:p w14:paraId="56781A4A">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生活污水</w:t>
                  </w:r>
                </w:p>
              </w:tc>
              <w:tc>
                <w:tcPr>
                  <w:tcW w:w="1240" w:type="pct"/>
                  <w:noWrap w:val="0"/>
                  <w:vAlign w:val="center"/>
                </w:tcPr>
                <w:p w14:paraId="113359C3">
                  <w:pPr>
                    <w:spacing w:line="240" w:lineRule="auto"/>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COD、氨氮、pH值、悬浮物、BOD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vertAlign w:val="baseline"/>
                      <w:lang w:val="en-US" w:eastAsia="zh-CN"/>
                    </w:rPr>
                    <w:t>、动植物油</w:t>
                  </w:r>
                </w:p>
              </w:tc>
              <w:tc>
                <w:tcPr>
                  <w:tcW w:w="740" w:type="pct"/>
                  <w:vMerge w:val="continue"/>
                  <w:noWrap w:val="0"/>
                  <w:vAlign w:val="center"/>
                </w:tcPr>
                <w:p w14:paraId="4E713C14">
                  <w:pPr>
                    <w:spacing w:line="240" w:lineRule="auto"/>
                    <w:jc w:val="center"/>
                    <w:rPr>
                      <w:rFonts w:hint="eastAsia" w:ascii="Times New Roman" w:hAnsi="Times New Roman" w:cs="Times New Roman"/>
                      <w:color w:val="auto"/>
                      <w:sz w:val="21"/>
                      <w:szCs w:val="21"/>
                      <w:vertAlign w:val="baseline"/>
                      <w:lang w:eastAsia="zh-CN"/>
                    </w:rPr>
                  </w:pPr>
                </w:p>
              </w:tc>
              <w:tc>
                <w:tcPr>
                  <w:tcW w:w="1741" w:type="pct"/>
                  <w:noWrap w:val="0"/>
                  <w:vAlign w:val="center"/>
                </w:tcPr>
                <w:p w14:paraId="72ABB13B">
                  <w:pPr>
                    <w:spacing w:line="240" w:lineRule="auto"/>
                    <w:rPr>
                      <w:rFonts w:hint="eastAsia" w:ascii="Times New Roman" w:hAnsi="Times New Roman" w:cs="Times New Roman"/>
                      <w:color w:val="auto"/>
                      <w:sz w:val="21"/>
                      <w:szCs w:val="21"/>
                      <w:vertAlign w:val="baseline"/>
                      <w:lang w:eastAsia="zh-CN"/>
                    </w:rPr>
                  </w:pPr>
                  <w:r>
                    <w:rPr>
                      <w:rFonts w:hint="eastAsia"/>
                      <w:color w:val="auto"/>
                      <w:sz w:val="21"/>
                      <w:szCs w:val="21"/>
                      <w:lang w:val="en-US" w:eastAsia="zh-CN"/>
                    </w:rPr>
                    <w:t>/</w:t>
                  </w:r>
                </w:p>
              </w:tc>
              <w:tc>
                <w:tcPr>
                  <w:tcW w:w="605" w:type="pct"/>
                  <w:noWrap w:val="0"/>
                  <w:vAlign w:val="center"/>
                </w:tcPr>
                <w:p w14:paraId="17104EFD">
                  <w:pPr>
                    <w:spacing w:line="240" w:lineRule="auto"/>
                    <w:rPr>
                      <w:rFonts w:hint="eastAsia"/>
                      <w:color w:val="auto"/>
                      <w:sz w:val="21"/>
                      <w:szCs w:val="21"/>
                      <w:lang w:val="en-US" w:eastAsia="zh-CN"/>
                    </w:rPr>
                  </w:pPr>
                  <w:r>
                    <w:rPr>
                      <w:rFonts w:hint="eastAsia"/>
                      <w:color w:val="auto"/>
                      <w:sz w:val="21"/>
                      <w:szCs w:val="21"/>
                      <w:lang w:val="en-US" w:eastAsia="zh-CN"/>
                    </w:rPr>
                    <w:t>化粪池+</w:t>
                  </w:r>
                  <w:r>
                    <w:rPr>
                      <w:rFonts w:hint="default" w:ascii="Times New Roman" w:hAnsi="Times New Roman" w:cs="Times New Roman"/>
                      <w:color w:val="auto"/>
                      <w:sz w:val="21"/>
                      <w:szCs w:val="21"/>
                    </w:rPr>
                    <w:t>二级生化处理+消毒工艺</w:t>
                  </w:r>
                </w:p>
              </w:tc>
              <w:tc>
                <w:tcPr>
                  <w:tcW w:w="411" w:type="pct"/>
                  <w:noWrap w:val="0"/>
                  <w:vAlign w:val="center"/>
                </w:tcPr>
                <w:p w14:paraId="21AF638D">
                  <w:pPr>
                    <w:spacing w:line="240" w:lineRule="auto"/>
                    <w:rPr>
                      <w:rFonts w:hint="eastAsia"/>
                      <w:color w:val="auto"/>
                      <w:sz w:val="21"/>
                      <w:szCs w:val="21"/>
                      <w:lang w:val="en-US" w:eastAsia="zh-CN"/>
                    </w:rPr>
                  </w:pPr>
                  <w:r>
                    <w:rPr>
                      <w:rFonts w:hint="eastAsia"/>
                      <w:color w:val="auto"/>
                      <w:sz w:val="21"/>
                      <w:szCs w:val="21"/>
                      <w:lang w:val="en-US" w:eastAsia="zh-CN"/>
                    </w:rPr>
                    <w:t>可行</w:t>
                  </w:r>
                </w:p>
              </w:tc>
            </w:tr>
          </w:tbl>
          <w:p w14:paraId="751BBAE5">
            <w:pPr>
              <w:pStyle w:val="33"/>
              <w:bidi w:val="0"/>
              <w:rPr>
                <w:rFonts w:hint="default" w:ascii="Times New Roman" w:hAnsi="Times New Roman" w:cs="Times New Roman"/>
                <w:b w:val="0"/>
                <w:bCs w:val="0"/>
                <w:color w:val="auto"/>
                <w:sz w:val="24"/>
                <w:szCs w:val="24"/>
                <w:highlight w:val="yellow"/>
                <w:lang w:val="en-US" w:eastAsia="zh-CN"/>
              </w:rPr>
            </w:pPr>
            <w:r>
              <w:rPr>
                <w:rFonts w:hint="default" w:ascii="Times New Roman" w:hAnsi="Times New Roman" w:cs="Times New Roman"/>
                <w:b w:val="0"/>
                <w:bCs w:val="0"/>
                <w:color w:val="auto"/>
                <w:sz w:val="24"/>
                <w:szCs w:val="24"/>
                <w:highlight w:val="none"/>
                <w:lang w:val="en-US" w:eastAsia="zh-CN"/>
              </w:rPr>
              <w:t>综上所述，项目食堂废水经隔油处理后与其他废水一起进入项目自建的化粪池及一体化污水处理站处理后</w:t>
            </w:r>
            <w:r>
              <w:rPr>
                <w:rFonts w:hint="eastAsia" w:cs="Times New Roman"/>
                <w:b w:val="0"/>
                <w:bCs w:val="0"/>
                <w:color w:val="auto"/>
                <w:sz w:val="24"/>
                <w:szCs w:val="24"/>
                <w:highlight w:val="none"/>
                <w:lang w:val="en-US" w:eastAsia="zh-CN"/>
              </w:rPr>
              <w:t>可以达到</w:t>
            </w:r>
            <w:r>
              <w:rPr>
                <w:rFonts w:hint="default" w:ascii="Times New Roman" w:hAnsi="Times New Roman" w:cs="Times New Roman"/>
                <w:color w:val="auto"/>
                <w:sz w:val="24"/>
                <w:szCs w:val="24"/>
                <w:highlight w:val="none"/>
              </w:rPr>
              <w:t>《医疗机构水污染物排放标准》（GB18466-2005）</w:t>
            </w:r>
            <w:r>
              <w:rPr>
                <w:rFonts w:hint="default" w:ascii="Times New Roman" w:hAnsi="Times New Roman" w:cs="Times New Roman"/>
                <w:color w:val="auto"/>
                <w:sz w:val="24"/>
                <w:szCs w:val="24"/>
                <w:highlight w:val="none"/>
                <w:lang w:eastAsia="zh-CN"/>
              </w:rPr>
              <w:t>表2</w:t>
            </w:r>
            <w:r>
              <w:rPr>
                <w:rFonts w:hint="eastAsia" w:cs="Times New Roman"/>
                <w:color w:val="auto"/>
                <w:sz w:val="24"/>
                <w:szCs w:val="24"/>
                <w:highlight w:val="none"/>
                <w:lang w:val="en-US" w:eastAsia="zh-CN"/>
              </w:rPr>
              <w:t>预处理</w:t>
            </w:r>
            <w:r>
              <w:rPr>
                <w:rFonts w:hint="default" w:ascii="Times New Roman" w:hAnsi="Times New Roman" w:cs="Times New Roman"/>
                <w:color w:val="auto"/>
                <w:sz w:val="24"/>
                <w:szCs w:val="24"/>
                <w:highlight w:val="none"/>
                <w:lang w:eastAsia="zh-CN"/>
              </w:rPr>
              <w:t>标准</w:t>
            </w:r>
            <w:r>
              <w:rPr>
                <w:rFonts w:hint="eastAsia" w:ascii="Times New Roman" w:hAnsi="Times New Roman" w:cs="Times New Roman"/>
                <w:b w:val="0"/>
                <w:bCs w:val="0"/>
                <w:color w:val="auto"/>
                <w:sz w:val="24"/>
                <w:szCs w:val="24"/>
                <w:highlight w:val="none"/>
                <w:lang w:val="en-US" w:eastAsia="zh-CN"/>
              </w:rPr>
              <w:t>处理达标后</w:t>
            </w:r>
            <w:r>
              <w:rPr>
                <w:rFonts w:hint="eastAsia" w:cs="Times New Roman"/>
                <w:b w:val="0"/>
                <w:bCs w:val="0"/>
                <w:color w:val="auto"/>
                <w:sz w:val="24"/>
                <w:szCs w:val="24"/>
                <w:highlight w:val="none"/>
                <w:lang w:val="en-US" w:eastAsia="zh-CN"/>
              </w:rPr>
              <w:t>，进入污水市政管网，最终由倘甸镇污水处理厂处理。</w:t>
            </w:r>
          </w:p>
          <w:p w14:paraId="173864F5">
            <w:pPr>
              <w:pStyle w:val="35"/>
              <w:bidi w:val="0"/>
              <w:ind w:left="0" w:leftChars="0" w:firstLine="482" w:firstLineChars="200"/>
              <w:rPr>
                <w:rFonts w:hint="default"/>
                <w:b/>
                <w:bCs/>
                <w:color w:val="auto"/>
                <w:lang w:val="en-US"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lang w:val="en-US" w:eastAsia="zh-CN"/>
              </w:rPr>
              <w:t>项</w:t>
            </w:r>
            <w:r>
              <w:rPr>
                <w:rFonts w:hint="eastAsia"/>
                <w:b/>
                <w:bCs/>
                <w:color w:val="auto"/>
                <w:lang w:val="en-US" w:eastAsia="zh-CN"/>
              </w:rPr>
              <w:t>目废水进入倘甸污水处理厂可行性分析</w:t>
            </w:r>
          </w:p>
          <w:p w14:paraId="5B287D23">
            <w:pPr>
              <w:pStyle w:val="35"/>
              <w:bidi w:val="0"/>
              <w:rPr>
                <w:rFonts w:hint="eastAsia"/>
                <w:color w:val="auto"/>
                <w:lang w:val="en-US" w:eastAsia="zh-CN"/>
              </w:rPr>
            </w:pPr>
            <w:r>
              <w:rPr>
                <w:rFonts w:hint="eastAsia"/>
                <w:color w:val="auto"/>
                <w:lang w:val="en-US" w:eastAsia="zh-CN"/>
              </w:rPr>
              <w:t>倘甸污水处理厂于2018年11月15日竣工，</w:t>
            </w:r>
            <w:r>
              <w:rPr>
                <w:color w:val="auto"/>
              </w:rPr>
              <w:t>位于倘甸镇德著村下甸尾村小组</w:t>
            </w:r>
            <w:r>
              <w:rPr>
                <w:rFonts w:hint="eastAsia"/>
                <w:color w:val="auto"/>
                <w:lang w:eastAsia="zh-CN"/>
              </w:rPr>
              <w:t>。</w:t>
            </w:r>
            <w:r>
              <w:rPr>
                <w:rFonts w:hint="eastAsia"/>
                <w:color w:val="auto"/>
              </w:rPr>
              <w:t>污水处理厂近期规模1.0万m</w:t>
            </w:r>
            <w:r>
              <w:rPr>
                <w:rFonts w:hint="eastAsia"/>
                <w:color w:val="auto"/>
                <w:vertAlign w:val="superscript"/>
              </w:rPr>
              <w:t>3</w:t>
            </w:r>
            <w:r>
              <w:rPr>
                <w:rFonts w:hint="eastAsia"/>
                <w:color w:val="auto"/>
              </w:rPr>
              <w:t>/d，含预处理、二级处理、深度处理，征地面积150亩（含远期预留用地）。</w:t>
            </w:r>
            <w:r>
              <w:rPr>
                <w:color w:val="auto"/>
              </w:rPr>
              <w:t>项目建成后，将满足园区服务范围内污水收集及处理需求，污水收集率达到90%以上，改善中心城区环境，提高居民生活质量。</w:t>
            </w:r>
            <w:r>
              <w:rPr>
                <w:rFonts w:hint="eastAsia"/>
                <w:color w:val="auto"/>
                <w:lang w:val="en-US" w:eastAsia="zh-CN"/>
              </w:rPr>
              <w:t>倘甸污水处理厂目前已建成但未投入运营，待污水处理厂投入运营后，本项目在其纳污范围内，项目废水水质满足其接管要求，可以进入该污水处理厂进行处理。</w:t>
            </w:r>
          </w:p>
          <w:p w14:paraId="7AA22F3C">
            <w:pPr>
              <w:pStyle w:val="35"/>
              <w:bidi w:val="0"/>
              <w:rPr>
                <w:rFonts w:hint="default"/>
                <w:color w:val="auto"/>
                <w:lang w:val="en-US" w:eastAsia="zh-CN"/>
              </w:rPr>
            </w:pPr>
            <w:r>
              <w:rPr>
                <w:rFonts w:hint="eastAsia" w:cs="Times New Roman"/>
                <w:color w:val="auto"/>
                <w:sz w:val="24"/>
                <w:szCs w:val="24"/>
                <w:lang w:val="en-US" w:eastAsia="zh-CN"/>
              </w:rPr>
              <w:t>本次评价要求项目在倘甸镇污水处理厂投运之前不得投运。待倘甸镇污水处理厂投入运行且项目至污水处理厂的管网接通后，医院</w:t>
            </w:r>
            <w:r>
              <w:rPr>
                <w:rFonts w:hint="default" w:ascii="Times New Roman" w:hAnsi="Times New Roman" w:cs="Times New Roman"/>
                <w:color w:val="auto"/>
                <w:sz w:val="24"/>
                <w:szCs w:val="24"/>
              </w:rPr>
              <w:t>废水</w:t>
            </w:r>
            <w:r>
              <w:rPr>
                <w:rFonts w:hint="eastAsia" w:ascii="Times New Roman" w:hAnsi="Times New Roman" w:cs="Times New Roman"/>
                <w:color w:val="auto"/>
                <w:sz w:val="24"/>
                <w:szCs w:val="24"/>
                <w:lang w:val="en-US" w:eastAsia="zh-CN"/>
              </w:rPr>
              <w:t>经自建污水处理站处理达到</w:t>
            </w:r>
            <w:r>
              <w:rPr>
                <w:rFonts w:hint="default" w:ascii="Times New Roman" w:hAnsi="Times New Roman" w:eastAsia="宋体" w:cs="Times New Roman"/>
                <w:color w:val="auto"/>
                <w:sz w:val="24"/>
                <w:szCs w:val="24"/>
              </w:rPr>
              <w:t>《医疗机构水污染物排放标准》（GB18466-2005）</w:t>
            </w:r>
            <w:r>
              <w:rPr>
                <w:rFonts w:hint="default" w:ascii="Times New Roman" w:hAnsi="Times New Roman" w:eastAsia="宋体" w:cs="Times New Roman"/>
                <w:color w:val="auto"/>
                <w:sz w:val="24"/>
                <w:szCs w:val="24"/>
                <w:lang w:val="en-US" w:eastAsia="zh-CN"/>
              </w:rPr>
              <w:t>表2</w:t>
            </w:r>
            <w:r>
              <w:rPr>
                <w:rFonts w:hint="default" w:ascii="Times New Roman" w:hAnsi="Times New Roman" w:eastAsia="宋体" w:cs="Times New Roman"/>
                <w:color w:val="auto"/>
                <w:sz w:val="24"/>
                <w:szCs w:val="24"/>
              </w:rPr>
              <w:t>预处理标准</w:t>
            </w:r>
            <w:r>
              <w:rPr>
                <w:rFonts w:hint="eastAsia" w:ascii="Times New Roman" w:hAnsi="Times New Roman" w:cs="Times New Roman"/>
                <w:color w:val="auto"/>
                <w:sz w:val="24"/>
                <w:szCs w:val="24"/>
                <w:lang w:val="en-US" w:eastAsia="zh-CN"/>
              </w:rPr>
              <w:t>后</w:t>
            </w:r>
            <w:r>
              <w:rPr>
                <w:rFonts w:hint="default" w:ascii="Times New Roman" w:hAnsi="Times New Roman" w:cs="Times New Roman"/>
                <w:color w:val="auto"/>
                <w:sz w:val="24"/>
                <w:szCs w:val="24"/>
              </w:rPr>
              <w:t>排入</w:t>
            </w:r>
            <w:r>
              <w:rPr>
                <w:rFonts w:hint="eastAsia" w:cs="Times New Roman"/>
                <w:color w:val="auto"/>
                <w:sz w:val="24"/>
                <w:szCs w:val="24"/>
                <w:lang w:val="en-US" w:eastAsia="zh-CN"/>
              </w:rPr>
              <w:t>市政污水管网，最终排入倘甸镇污水处理厂</w:t>
            </w:r>
            <w:r>
              <w:rPr>
                <w:rFonts w:hint="eastAsia"/>
                <w:color w:val="auto"/>
                <w:lang w:val="en-US" w:eastAsia="zh-CN"/>
              </w:rPr>
              <w:t>。</w:t>
            </w:r>
          </w:p>
          <w:p w14:paraId="0F193627">
            <w:pPr>
              <w:spacing w:line="360" w:lineRule="auto"/>
              <w:ind w:firstLine="482" w:firstLineChars="200"/>
              <w:rPr>
                <w:rFonts w:ascii="Times New Roman" w:hAnsi="Times New Roman" w:cs="Times New Roman"/>
                <w:b/>
                <w:bCs w:val="0"/>
                <w:color w:val="auto"/>
                <w:kern w:val="0"/>
                <w:sz w:val="24"/>
                <w:szCs w:val="24"/>
                <w:lang w:bidi="ar"/>
              </w:rPr>
            </w:pPr>
            <w:r>
              <w:rPr>
                <w:rFonts w:hint="eastAsia" w:cs="Times New Roman"/>
                <w:b/>
                <w:bCs w:val="0"/>
                <w:color w:val="auto"/>
                <w:sz w:val="24"/>
                <w:szCs w:val="24"/>
                <w:lang w:val="en-US" w:eastAsia="zh-CN"/>
              </w:rPr>
              <w:t>4</w:t>
            </w:r>
            <w:r>
              <w:rPr>
                <w:rFonts w:hint="eastAsia" w:ascii="Times New Roman" w:hAnsi="Times New Roman" w:cs="Times New Roman"/>
                <w:b/>
                <w:bCs w:val="0"/>
                <w:color w:val="auto"/>
                <w:sz w:val="24"/>
                <w:szCs w:val="24"/>
                <w:lang w:val="en-US" w:eastAsia="zh-CN"/>
              </w:rPr>
              <w:t>、</w:t>
            </w:r>
            <w:r>
              <w:rPr>
                <w:rFonts w:hint="eastAsia" w:ascii="Times New Roman" w:hAnsi="Times New Roman" w:cs="Times New Roman"/>
                <w:b/>
                <w:bCs w:val="0"/>
                <w:color w:val="auto"/>
                <w:sz w:val="24"/>
                <w:szCs w:val="24"/>
              </w:rPr>
              <w:t>污水处理站事故防范措施</w:t>
            </w:r>
          </w:p>
          <w:p w14:paraId="69AC3E1D">
            <w:pPr>
              <w:spacing w:line="360" w:lineRule="auto"/>
              <w:ind w:firstLine="420"/>
              <w:rPr>
                <w:rFonts w:ascii="Times New Roman" w:hAnsi="Times New Roman" w:cs="Times New Roman"/>
                <w:b w:val="0"/>
                <w:bCs/>
                <w:color w:val="auto"/>
                <w:kern w:val="0"/>
                <w:sz w:val="24"/>
                <w:szCs w:val="24"/>
                <w:lang w:bidi="ar"/>
              </w:rPr>
            </w:pPr>
            <w:r>
              <w:rPr>
                <w:rFonts w:hint="eastAsia" w:ascii="Times New Roman" w:hAnsi="Times New Roman" w:cs="Times New Roman"/>
                <w:b w:val="0"/>
                <w:bCs/>
                <w:color w:val="auto"/>
                <w:kern w:val="0"/>
                <w:sz w:val="24"/>
                <w:szCs w:val="24"/>
                <w:lang w:bidi="ar"/>
              </w:rPr>
              <w:t>污水处理站运营过程可能会出现故障或者事故，导致无法处理废水，</w:t>
            </w:r>
            <w:r>
              <w:rPr>
                <w:rFonts w:hint="eastAsia" w:cs="Times New Roman"/>
                <w:b w:val="0"/>
                <w:bCs/>
                <w:color w:val="auto"/>
                <w:kern w:val="0"/>
                <w:sz w:val="24"/>
                <w:szCs w:val="24"/>
                <w:lang w:eastAsia="zh-CN" w:bidi="ar"/>
              </w:rPr>
              <w:t>这时</w:t>
            </w:r>
            <w:r>
              <w:rPr>
                <w:rFonts w:hint="eastAsia" w:ascii="Times New Roman" w:hAnsi="Times New Roman" w:cs="Times New Roman"/>
                <w:b w:val="0"/>
                <w:bCs/>
                <w:color w:val="auto"/>
                <w:kern w:val="0"/>
                <w:sz w:val="24"/>
                <w:szCs w:val="24"/>
                <w:lang w:bidi="ar"/>
              </w:rPr>
              <w:t>应及时检修，并将污水排入事故池中暂存，以免污水</w:t>
            </w:r>
            <w:r>
              <w:rPr>
                <w:rFonts w:hint="eastAsia" w:cs="Times New Roman"/>
                <w:b w:val="0"/>
                <w:bCs/>
                <w:color w:val="auto"/>
                <w:kern w:val="0"/>
                <w:sz w:val="24"/>
                <w:szCs w:val="24"/>
                <w:lang w:eastAsia="zh-CN" w:bidi="ar"/>
              </w:rPr>
              <w:t>泄漏</w:t>
            </w:r>
            <w:r>
              <w:rPr>
                <w:rFonts w:hint="eastAsia" w:ascii="Times New Roman" w:hAnsi="Times New Roman" w:cs="Times New Roman"/>
                <w:b w:val="0"/>
                <w:bCs/>
                <w:color w:val="auto"/>
                <w:kern w:val="0"/>
                <w:sz w:val="24"/>
                <w:szCs w:val="24"/>
                <w:lang w:bidi="ar"/>
              </w:rPr>
              <w:t>或未经处理排入</w:t>
            </w:r>
            <w:r>
              <w:rPr>
                <w:rFonts w:hint="eastAsia"/>
                <w:color w:val="auto"/>
                <w:sz w:val="24"/>
                <w:szCs w:val="24"/>
                <w:lang w:val="en-US" w:eastAsia="zh-CN"/>
              </w:rPr>
              <w:t>项目周边</w:t>
            </w:r>
            <w:r>
              <w:rPr>
                <w:rFonts w:hint="eastAsia" w:cs="Times New Roman"/>
                <w:b w:val="0"/>
                <w:bCs/>
                <w:color w:val="auto"/>
                <w:kern w:val="0"/>
                <w:sz w:val="24"/>
                <w:szCs w:val="24"/>
                <w:lang w:val="en-US" w:eastAsia="zh-CN" w:bidi="ar"/>
              </w:rPr>
              <w:t>环境</w:t>
            </w:r>
            <w:r>
              <w:rPr>
                <w:rFonts w:hint="eastAsia" w:ascii="Times New Roman" w:hAnsi="Times New Roman" w:cs="Times New Roman"/>
                <w:b w:val="0"/>
                <w:bCs/>
                <w:color w:val="auto"/>
                <w:kern w:val="0"/>
                <w:sz w:val="24"/>
                <w:szCs w:val="24"/>
                <w:lang w:bidi="ar"/>
              </w:rPr>
              <w:t>，对周边地表水以及地下水造成不利影响。</w:t>
            </w:r>
          </w:p>
          <w:p w14:paraId="4D989C43">
            <w:pPr>
              <w:spacing w:line="360" w:lineRule="auto"/>
              <w:ind w:firstLine="480" w:firstLineChars="200"/>
              <w:rPr>
                <w:rFonts w:hint="eastAsia" w:ascii="Times New Roman" w:hAnsi="Times New Roman" w:cs="Times New Roman"/>
                <w:b w:val="0"/>
                <w:bCs/>
                <w:color w:val="auto"/>
                <w:kern w:val="0"/>
                <w:sz w:val="24"/>
                <w:szCs w:val="24"/>
                <w:lang w:bidi="ar"/>
              </w:rPr>
            </w:pPr>
            <w:r>
              <w:rPr>
                <w:rFonts w:hint="eastAsia" w:ascii="Times New Roman" w:hAnsi="Times New Roman" w:cs="Times New Roman"/>
                <w:b w:val="0"/>
                <w:bCs/>
                <w:color w:val="auto"/>
                <w:kern w:val="0"/>
                <w:sz w:val="24"/>
                <w:szCs w:val="24"/>
                <w:lang w:bidi="ar"/>
              </w:rPr>
              <w:t>根据</w:t>
            </w:r>
            <w:r>
              <w:rPr>
                <w:rFonts w:ascii="Times New Roman" w:hAnsi="Times New Roman" w:cs="Times New Roman"/>
                <w:b w:val="0"/>
                <w:bCs/>
                <w:color w:val="auto"/>
                <w:kern w:val="0"/>
                <w:sz w:val="24"/>
                <w:szCs w:val="24"/>
                <w:lang w:bidi="ar"/>
              </w:rPr>
              <w:t>《医院污水处理工程技术规范》</w:t>
            </w:r>
            <w:r>
              <w:rPr>
                <w:rFonts w:hint="eastAsia" w:ascii="Times New Roman" w:hAnsi="Times New Roman" w:cs="Times New Roman"/>
                <w:b w:val="0"/>
                <w:bCs/>
                <w:color w:val="auto"/>
                <w:kern w:val="0"/>
                <w:sz w:val="24"/>
                <w:szCs w:val="24"/>
                <w:lang w:bidi="ar"/>
              </w:rPr>
              <w:t>（HJ2029-2013）</w:t>
            </w:r>
            <w:r>
              <w:rPr>
                <w:rFonts w:hint="eastAsia" w:cs="Times New Roman"/>
                <w:b w:val="0"/>
                <w:bCs/>
                <w:color w:val="auto"/>
                <w:kern w:val="0"/>
                <w:sz w:val="24"/>
                <w:szCs w:val="24"/>
                <w:lang w:eastAsia="zh-CN" w:bidi="ar"/>
              </w:rPr>
              <w:t>，其</w:t>
            </w:r>
            <w:r>
              <w:rPr>
                <w:rFonts w:hint="eastAsia" w:ascii="Times New Roman" w:hAnsi="Times New Roman" w:cs="Times New Roman"/>
                <w:b w:val="0"/>
                <w:bCs/>
                <w:color w:val="auto"/>
                <w:kern w:val="0"/>
                <w:sz w:val="24"/>
                <w:szCs w:val="24"/>
                <w:lang w:bidi="ar"/>
              </w:rPr>
              <w:t>中第12条“运行与维护”中要求，“医院污水处理工程应设应急事故池，以贮存处理系统事故或其它突发事件时医院污水，非传染病医院污水处理工程应急事故池容积不小于日排放量的30%”。</w:t>
            </w:r>
            <w:r>
              <w:rPr>
                <w:rFonts w:hint="eastAsia" w:ascii="Times New Roman" w:hAnsi="Times New Roman" w:cs="Times New Roman"/>
                <w:b w:val="0"/>
                <w:bCs/>
                <w:color w:val="auto"/>
                <w:kern w:val="0"/>
                <w:sz w:val="24"/>
                <w:szCs w:val="24"/>
                <w:lang w:val="en-US" w:eastAsia="zh-CN" w:bidi="ar"/>
              </w:rPr>
              <w:t>项目污水日排放量为</w:t>
            </w:r>
            <w:r>
              <w:rPr>
                <w:rFonts w:hint="eastAsia" w:cs="Times New Roman"/>
                <w:b w:val="0"/>
                <w:bCs/>
                <w:color w:val="auto"/>
                <w:kern w:val="0"/>
                <w:sz w:val="24"/>
                <w:szCs w:val="24"/>
                <w:lang w:val="en-US" w:eastAsia="zh-CN" w:bidi="ar"/>
              </w:rPr>
              <w:t>30.5593</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color w:val="auto"/>
                <w:sz w:val="24"/>
                <w:szCs w:val="24"/>
                <w:lang w:val="en-US" w:eastAsia="zh-CN"/>
              </w:rPr>
              <w:t>/d</w:t>
            </w:r>
            <w:r>
              <w:rPr>
                <w:rFonts w:hint="eastAsia" w:ascii="Times New Roman" w:hAnsi="Times New Roman" w:cs="Times New Roman"/>
                <w:b w:val="0"/>
                <w:bCs/>
                <w:color w:val="auto"/>
                <w:kern w:val="0"/>
                <w:sz w:val="24"/>
                <w:szCs w:val="24"/>
                <w:lang w:val="en-US" w:eastAsia="zh-CN" w:bidi="ar"/>
              </w:rPr>
              <w:t>，需建设</w:t>
            </w:r>
            <w:r>
              <w:rPr>
                <w:rFonts w:hint="eastAsia" w:cs="Times New Roman"/>
                <w:b w:val="0"/>
                <w:bCs/>
                <w:color w:val="auto"/>
                <w:kern w:val="0"/>
                <w:sz w:val="24"/>
                <w:szCs w:val="24"/>
                <w:lang w:val="en-US" w:eastAsia="zh-CN" w:bidi="ar"/>
              </w:rPr>
              <w:t>8.71</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ascii="Times New Roman" w:hAnsi="Times New Roman" w:cs="Times New Roman"/>
                <w:b w:val="0"/>
                <w:bCs/>
                <w:color w:val="auto"/>
                <w:kern w:val="0"/>
                <w:sz w:val="24"/>
                <w:szCs w:val="24"/>
                <w:vertAlign w:val="baseline"/>
                <w:lang w:val="en-US" w:eastAsia="zh-CN" w:bidi="ar"/>
              </w:rPr>
              <w:t>的事故池</w:t>
            </w:r>
            <w:r>
              <w:rPr>
                <w:rFonts w:hint="eastAsia" w:ascii="Times New Roman" w:hAnsi="Times New Roman" w:cs="Times New Roman"/>
                <w:b w:val="0"/>
                <w:bCs/>
                <w:color w:val="auto"/>
                <w:kern w:val="0"/>
                <w:sz w:val="24"/>
                <w:szCs w:val="24"/>
                <w:highlight w:val="none"/>
                <w:vertAlign w:val="baseline"/>
                <w:lang w:val="en-US" w:eastAsia="zh-CN" w:bidi="ar"/>
              </w:rPr>
              <w:t>，</w:t>
            </w:r>
            <w:r>
              <w:rPr>
                <w:rFonts w:hint="eastAsia" w:ascii="Times New Roman" w:hAnsi="Times New Roman" w:cs="Times New Roman"/>
                <w:b w:val="0"/>
                <w:bCs/>
                <w:color w:val="auto"/>
                <w:kern w:val="0"/>
                <w:sz w:val="24"/>
                <w:szCs w:val="24"/>
                <w:highlight w:val="none"/>
                <w:lang w:bidi="ar"/>
              </w:rPr>
              <w:t>项目</w:t>
            </w:r>
            <w:r>
              <w:rPr>
                <w:rFonts w:hint="eastAsia" w:cs="Times New Roman"/>
                <w:b w:val="0"/>
                <w:bCs/>
                <w:color w:val="auto"/>
                <w:kern w:val="0"/>
                <w:sz w:val="24"/>
                <w:szCs w:val="24"/>
                <w:highlight w:val="none"/>
                <w:lang w:val="en-US" w:eastAsia="zh-CN" w:bidi="ar"/>
              </w:rPr>
              <w:t>拟</w:t>
            </w:r>
            <w:r>
              <w:rPr>
                <w:rFonts w:hint="eastAsia" w:ascii="Times New Roman" w:hAnsi="Times New Roman" w:cs="Times New Roman"/>
                <w:b w:val="0"/>
                <w:bCs/>
                <w:color w:val="auto"/>
                <w:kern w:val="0"/>
                <w:sz w:val="24"/>
                <w:szCs w:val="24"/>
                <w:highlight w:val="none"/>
                <w:lang w:val="en-US" w:eastAsia="zh-CN" w:bidi="ar"/>
              </w:rPr>
              <w:t>建</w:t>
            </w:r>
            <w:r>
              <w:rPr>
                <w:rFonts w:hint="eastAsia" w:cs="Times New Roman"/>
                <w:b w:val="0"/>
                <w:bCs/>
                <w:color w:val="auto"/>
                <w:kern w:val="0"/>
                <w:sz w:val="24"/>
                <w:szCs w:val="24"/>
                <w:highlight w:val="none"/>
                <w:lang w:val="en-US" w:eastAsia="zh-CN" w:bidi="ar"/>
              </w:rPr>
              <w:t>设</w:t>
            </w:r>
            <w:r>
              <w:rPr>
                <w:rFonts w:hint="eastAsia" w:ascii="Times New Roman" w:hAnsi="Times New Roman" w:cs="Times New Roman"/>
                <w:b w:val="0"/>
                <w:bCs/>
                <w:color w:val="auto"/>
                <w:kern w:val="0"/>
                <w:sz w:val="24"/>
                <w:szCs w:val="24"/>
                <w:highlight w:val="none"/>
                <w:lang w:bidi="ar"/>
              </w:rPr>
              <w:t>事故池为</w:t>
            </w:r>
            <w:r>
              <w:rPr>
                <w:rFonts w:hint="eastAsia" w:cs="Times New Roman"/>
                <w:b w:val="0"/>
                <w:bCs/>
                <w:color w:val="auto"/>
                <w:kern w:val="0"/>
                <w:sz w:val="24"/>
                <w:szCs w:val="24"/>
                <w:highlight w:val="none"/>
                <w:lang w:val="en-US" w:eastAsia="zh-CN" w:bidi="ar"/>
              </w:rPr>
              <w:t>1</w:t>
            </w:r>
            <w:r>
              <w:rPr>
                <w:rFonts w:hint="eastAsia" w:ascii="Times New Roman" w:hAnsi="Times New Roman" w:cs="Times New Roman"/>
                <w:b w:val="0"/>
                <w:bCs/>
                <w:color w:val="auto"/>
                <w:kern w:val="0"/>
                <w:sz w:val="24"/>
                <w:szCs w:val="24"/>
                <w:highlight w:val="none"/>
                <w:lang w:val="en-US" w:eastAsia="zh-CN" w:bidi="ar"/>
              </w:rPr>
              <w:t>0</w:t>
            </w:r>
            <w:r>
              <w:rPr>
                <w:rFonts w:hint="eastAsia" w:ascii="Times New Roman" w:hAnsi="Times New Roman" w:cs="Times New Roman"/>
                <w:b w:val="0"/>
                <w:bCs/>
                <w:color w:val="auto"/>
                <w:kern w:val="0"/>
                <w:sz w:val="24"/>
                <w:szCs w:val="24"/>
                <w:highlight w:val="none"/>
                <w:lang w:bidi="ar"/>
              </w:rPr>
              <w:t>m</w:t>
            </w:r>
            <w:r>
              <w:rPr>
                <w:rFonts w:hint="eastAsia" w:ascii="Times New Roman" w:hAnsi="Times New Roman" w:cs="Times New Roman"/>
                <w:b w:val="0"/>
                <w:bCs/>
                <w:color w:val="auto"/>
                <w:kern w:val="0"/>
                <w:sz w:val="24"/>
                <w:szCs w:val="24"/>
                <w:highlight w:val="none"/>
                <w:vertAlign w:val="superscript"/>
                <w:lang w:bidi="ar"/>
              </w:rPr>
              <w:t>3</w:t>
            </w:r>
            <w:r>
              <w:rPr>
                <w:rFonts w:hint="eastAsia" w:ascii="Times New Roman" w:hAnsi="Times New Roman" w:cs="Times New Roman"/>
                <w:b w:val="0"/>
                <w:bCs/>
                <w:color w:val="auto"/>
                <w:kern w:val="0"/>
                <w:sz w:val="24"/>
                <w:szCs w:val="24"/>
                <w:highlight w:val="none"/>
                <w:lang w:bidi="ar"/>
              </w:rPr>
              <w:t>，</w:t>
            </w:r>
            <w:r>
              <w:rPr>
                <w:rFonts w:hint="eastAsia" w:ascii="Times New Roman" w:hAnsi="Times New Roman" w:cs="Times New Roman"/>
                <w:b w:val="0"/>
                <w:bCs/>
                <w:color w:val="auto"/>
                <w:kern w:val="0"/>
                <w:sz w:val="24"/>
                <w:szCs w:val="24"/>
                <w:lang w:bidi="ar"/>
              </w:rPr>
              <w:t>能够满足相关要求以及日常使用。</w:t>
            </w:r>
          </w:p>
          <w:p w14:paraId="29E7DD24">
            <w:pPr>
              <w:pStyle w:val="30"/>
              <w:jc w:val="left"/>
              <w:rPr>
                <w:rFonts w:hint="default" w:eastAsia="宋体"/>
                <w:color w:val="auto"/>
                <w:lang w:val="en-US" w:eastAsia="zh-CN"/>
              </w:rPr>
            </w:pPr>
            <w:r>
              <w:rPr>
                <w:rFonts w:hint="eastAsia" w:hAnsi="Times New Roman" w:cs="Times New Roman"/>
                <w:b w:val="0"/>
                <w:bCs/>
                <w:color w:val="auto"/>
                <w:kern w:val="0"/>
                <w:sz w:val="24"/>
                <w:szCs w:val="24"/>
                <w:lang w:val="en-US" w:eastAsia="zh-CN" w:bidi="ar"/>
              </w:rPr>
              <w:t>项目设置100m³的废水收集池，用于储存污水处理站处理后的污水，项目日排水量为</w:t>
            </w:r>
            <w:r>
              <w:rPr>
                <w:rFonts w:hint="eastAsia" w:cs="Times New Roman"/>
                <w:b w:val="0"/>
                <w:bCs/>
                <w:color w:val="auto"/>
                <w:kern w:val="0"/>
                <w:sz w:val="24"/>
                <w:szCs w:val="24"/>
                <w:lang w:val="en-US" w:eastAsia="zh-CN" w:bidi="ar"/>
              </w:rPr>
              <w:t>30.5593</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color w:val="auto"/>
                <w:sz w:val="24"/>
                <w:szCs w:val="24"/>
                <w:lang w:val="en-US" w:eastAsia="zh-CN"/>
              </w:rPr>
              <w:t>/d，项目废水收集池100</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hAnsi="Times New Roman" w:cs="Times New Roman"/>
                <w:b w:val="0"/>
                <w:bCs/>
                <w:color w:val="auto"/>
                <w:kern w:val="0"/>
                <w:sz w:val="24"/>
                <w:szCs w:val="24"/>
                <w:vertAlign w:val="baseline"/>
                <w:lang w:val="en-US" w:eastAsia="zh-CN" w:bidi="ar"/>
              </w:rPr>
              <w:t>可满足三天的蓄水需求。建设单位应要求相关处置单位三天进行一次清运。</w:t>
            </w:r>
          </w:p>
          <w:p w14:paraId="369AB94C">
            <w:pPr>
              <w:pStyle w:val="12"/>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、排放口基本情况及监测要求</w:t>
            </w:r>
          </w:p>
          <w:p w14:paraId="34D7614D">
            <w:pPr>
              <w:pStyle w:val="1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生活污水、医疗废水经化粪池处理后排入院内污水处理站处理，处理后排入污水市政管网最终排入</w:t>
            </w:r>
            <w:r>
              <w:rPr>
                <w:rFonts w:hint="eastAsia" w:ascii="Times New Roman" w:hAnsi="Times New Roman" w:eastAsia="宋体" w:cs="Times New Roman"/>
                <w:color w:val="auto"/>
                <w:lang w:val="en-US" w:eastAsia="zh-CN"/>
              </w:rPr>
              <w:t>倘甸镇</w:t>
            </w:r>
            <w:r>
              <w:rPr>
                <w:rFonts w:hint="default" w:ascii="Times New Roman" w:hAnsi="Times New Roman" w:eastAsia="宋体" w:cs="Times New Roman"/>
                <w:color w:val="auto"/>
                <w:lang w:val="en-US" w:eastAsia="zh-CN"/>
              </w:rPr>
              <w:t>污水处理厂。本项目设置1个排放口，排放口基本情况如下表：</w:t>
            </w:r>
          </w:p>
          <w:p w14:paraId="610C1916">
            <w:pPr>
              <w:spacing w:line="360" w:lineRule="auto"/>
              <w:ind w:firstLine="48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表4-</w:t>
            </w:r>
            <w:r>
              <w:rPr>
                <w:rFonts w:hint="eastAsia" w:cs="Times New Roman"/>
                <w:b/>
                <w:bCs/>
                <w:color w:val="auto"/>
                <w:lang w:val="en-US" w:eastAsia="zh-CN"/>
              </w:rPr>
              <w:t>6</w:t>
            </w:r>
            <w:r>
              <w:rPr>
                <w:rFonts w:hint="eastAsia" w:ascii="Times New Roman" w:hAnsi="Times New Roman" w:cs="Times New Roman"/>
                <w:b/>
                <w:bCs/>
                <w:color w:val="auto"/>
                <w:lang w:val="en-US" w:eastAsia="zh-CN"/>
              </w:rPr>
              <w:t xml:space="preserve">  废水排放口基本情况一览表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150"/>
              <w:gridCol w:w="1472"/>
              <w:gridCol w:w="1255"/>
              <w:gridCol w:w="1961"/>
            </w:tblGrid>
            <w:tr w14:paraId="7506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96" w:type="pct"/>
                  <w:noWrap w:val="0"/>
                  <w:vAlign w:val="center"/>
                </w:tcPr>
                <w:p w14:paraId="2D4CA13B">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名称及编码</w:t>
                  </w:r>
                </w:p>
              </w:tc>
              <w:tc>
                <w:tcPr>
                  <w:tcW w:w="1290" w:type="pct"/>
                  <w:noWrap w:val="0"/>
                  <w:vAlign w:val="center"/>
                </w:tcPr>
                <w:p w14:paraId="5FF4F6AD">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地理坐标</w:t>
                  </w:r>
                </w:p>
              </w:tc>
              <w:tc>
                <w:tcPr>
                  <w:tcW w:w="883" w:type="pct"/>
                  <w:noWrap w:val="0"/>
                  <w:vAlign w:val="center"/>
                </w:tcPr>
                <w:p w14:paraId="200F1961">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类型</w:t>
                  </w:r>
                </w:p>
              </w:tc>
              <w:tc>
                <w:tcPr>
                  <w:tcW w:w="753" w:type="pct"/>
                  <w:noWrap w:val="0"/>
                  <w:vAlign w:val="center"/>
                </w:tcPr>
                <w:p w14:paraId="0163F6D9">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排放方式</w:t>
                  </w:r>
                </w:p>
              </w:tc>
              <w:tc>
                <w:tcPr>
                  <w:tcW w:w="1176" w:type="pct"/>
                  <w:noWrap w:val="0"/>
                  <w:vAlign w:val="center"/>
                </w:tcPr>
                <w:p w14:paraId="7AB3290A">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排放去向</w:t>
                  </w:r>
                </w:p>
              </w:tc>
            </w:tr>
            <w:tr w14:paraId="2E62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96" w:type="pct"/>
                  <w:noWrap w:val="0"/>
                  <w:vAlign w:val="center"/>
                </w:tcPr>
                <w:p w14:paraId="0A96E0B6">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医疗废水总排放口（DW001）</w:t>
                  </w:r>
                </w:p>
              </w:tc>
              <w:tc>
                <w:tcPr>
                  <w:tcW w:w="1290" w:type="pct"/>
                  <w:noWrap w:val="0"/>
                  <w:vAlign w:val="center"/>
                </w:tcPr>
                <w:p w14:paraId="60C7DDC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E：10</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55</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19.82796</w:t>
                  </w:r>
                  <w:r>
                    <w:rPr>
                      <w:rFonts w:hint="default" w:ascii="Times New Roman" w:hAnsi="Times New Roman" w:cs="Times New Roman"/>
                      <w:color w:val="auto"/>
                      <w:sz w:val="21"/>
                      <w:szCs w:val="21"/>
                      <w:vertAlign w:val="baseline"/>
                      <w:lang w:val="en-US" w:eastAsia="zh-CN"/>
                    </w:rPr>
                    <w:t>″，</w:t>
                  </w:r>
                </w:p>
                <w:p w14:paraId="4A566890">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N：25°</w:t>
                  </w:r>
                  <w:r>
                    <w:rPr>
                      <w:rFonts w:hint="eastAsia" w:cs="Times New Roman"/>
                      <w:color w:val="auto"/>
                      <w:sz w:val="21"/>
                      <w:szCs w:val="21"/>
                      <w:vertAlign w:val="baseline"/>
                      <w:lang w:val="en-US" w:eastAsia="zh-CN"/>
                    </w:rPr>
                    <w:t>45</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52</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95613</w:t>
                  </w:r>
                  <w:r>
                    <w:rPr>
                      <w:rFonts w:hint="default" w:ascii="Times New Roman" w:hAnsi="Times New Roman" w:cs="Times New Roman"/>
                      <w:color w:val="auto"/>
                      <w:sz w:val="21"/>
                      <w:szCs w:val="21"/>
                      <w:vertAlign w:val="baseline"/>
                      <w:lang w:val="en-US" w:eastAsia="zh-CN"/>
                    </w:rPr>
                    <w:t>″</w:t>
                  </w:r>
                </w:p>
              </w:tc>
              <w:tc>
                <w:tcPr>
                  <w:tcW w:w="883" w:type="pct"/>
                  <w:noWrap w:val="0"/>
                  <w:vAlign w:val="center"/>
                </w:tcPr>
                <w:p w14:paraId="508ADAD3">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一般排放口</w:t>
                  </w:r>
                </w:p>
              </w:tc>
              <w:tc>
                <w:tcPr>
                  <w:tcW w:w="753" w:type="pct"/>
                  <w:noWrap w:val="0"/>
                  <w:vAlign w:val="center"/>
                </w:tcPr>
                <w:p w14:paraId="393FB290">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间接排放</w:t>
                  </w:r>
                </w:p>
              </w:tc>
              <w:tc>
                <w:tcPr>
                  <w:tcW w:w="1176" w:type="pct"/>
                  <w:noWrap w:val="0"/>
                  <w:vAlign w:val="center"/>
                </w:tcPr>
                <w:p w14:paraId="79E208E5">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排入污水市政管网最终排入倘甸镇污水处理厂</w:t>
                  </w:r>
                </w:p>
              </w:tc>
            </w:tr>
          </w:tbl>
          <w:p w14:paraId="664B265C">
            <w:pPr>
              <w:spacing w:line="360" w:lineRule="auto"/>
              <w:ind w:firstLine="480"/>
              <w:rPr>
                <w:rFonts w:hint="eastAsia"/>
                <w:color w:val="auto"/>
                <w:sz w:val="24"/>
                <w:szCs w:val="24"/>
                <w:lang w:val="en-US" w:eastAsia="zh-CN"/>
              </w:rPr>
            </w:pPr>
            <w:r>
              <w:rPr>
                <w:rFonts w:hint="eastAsia" w:ascii="Times New Roman" w:hAnsi="Times New Roman" w:cs="Times New Roman"/>
                <w:color w:val="auto"/>
                <w:sz w:val="24"/>
                <w:szCs w:val="24"/>
                <w:lang w:val="en-US" w:eastAsia="zh-CN"/>
              </w:rPr>
              <w:t>根据</w:t>
            </w:r>
            <w:r>
              <w:rPr>
                <w:rFonts w:hint="eastAsia"/>
                <w:color w:val="auto"/>
                <w:sz w:val="24"/>
                <w:szCs w:val="24"/>
                <w:lang w:val="en-US" w:eastAsia="zh-CN"/>
              </w:rPr>
              <w:t>《医疗机构水污染物排放标准》（GB18466-2005）及《排污许可证申请与核发技术规范 医疗机构》（HJ1105-2020），本项目废水污染物自行监测要求如下：</w:t>
            </w:r>
          </w:p>
          <w:p w14:paraId="77765DB7">
            <w:pPr>
              <w:spacing w:line="360" w:lineRule="auto"/>
              <w:jc w:val="center"/>
              <w:rPr>
                <w:rFonts w:hint="default"/>
                <w:b/>
                <w:bCs/>
                <w:color w:val="auto"/>
                <w:lang w:val="en-US" w:eastAsia="zh-CN"/>
              </w:rPr>
            </w:pPr>
            <w:r>
              <w:rPr>
                <w:rFonts w:hint="eastAsia"/>
                <w:b/>
                <w:bCs/>
                <w:color w:val="auto"/>
                <w:lang w:val="en-US" w:eastAsia="zh-CN"/>
              </w:rPr>
              <w:t>表4-7  废水排放口监测要求</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3944"/>
              <w:gridCol w:w="3394"/>
            </w:tblGrid>
            <w:tr w14:paraId="1485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14:paraId="7839FC7A">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2366" w:type="pct"/>
                  <w:noWrap w:val="0"/>
                  <w:vAlign w:val="center"/>
                </w:tcPr>
                <w:p w14:paraId="199140AF">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2036" w:type="pct"/>
                  <w:noWrap w:val="0"/>
                  <w:vAlign w:val="center"/>
                </w:tcPr>
                <w:p w14:paraId="270FCA39">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r>
            <w:tr w14:paraId="67B2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restart"/>
                  <w:noWrap w:val="0"/>
                  <w:vAlign w:val="center"/>
                </w:tcPr>
                <w:p w14:paraId="37B23B7C">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废水排放口</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DW001</w:t>
                  </w:r>
                  <w:r>
                    <w:rPr>
                      <w:rFonts w:hint="eastAsia" w:cs="Times New Roman"/>
                      <w:color w:val="auto"/>
                      <w:sz w:val="21"/>
                      <w:szCs w:val="21"/>
                      <w:vertAlign w:val="baseline"/>
                      <w:lang w:val="en-US" w:eastAsia="zh-CN"/>
                    </w:rPr>
                    <w:t>）</w:t>
                  </w:r>
                </w:p>
              </w:tc>
              <w:tc>
                <w:tcPr>
                  <w:tcW w:w="2366" w:type="pct"/>
                  <w:noWrap w:val="0"/>
                  <w:vAlign w:val="center"/>
                </w:tcPr>
                <w:p w14:paraId="4DE380E0">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流量</w:t>
                  </w:r>
                </w:p>
              </w:tc>
              <w:tc>
                <w:tcPr>
                  <w:tcW w:w="2036" w:type="pct"/>
                  <w:noWrap w:val="0"/>
                  <w:vAlign w:val="center"/>
                </w:tcPr>
                <w:p w14:paraId="229ACC1F">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自动监测</w:t>
                  </w:r>
                </w:p>
              </w:tc>
            </w:tr>
            <w:tr w14:paraId="62BC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53D032BD">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4E557115">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pH值、总余氯</w:t>
                  </w:r>
                </w:p>
              </w:tc>
              <w:tc>
                <w:tcPr>
                  <w:tcW w:w="2036" w:type="pct"/>
                  <w:noWrap w:val="0"/>
                  <w:vAlign w:val="center"/>
                </w:tcPr>
                <w:p w14:paraId="777A5919">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2次/日</w:t>
                  </w:r>
                </w:p>
              </w:tc>
            </w:tr>
            <w:tr w14:paraId="53D1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3ACB03B8">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06D774A5">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COD、SS</w:t>
                  </w:r>
                </w:p>
              </w:tc>
              <w:tc>
                <w:tcPr>
                  <w:tcW w:w="2036" w:type="pct"/>
                  <w:noWrap w:val="0"/>
                  <w:vAlign w:val="center"/>
                </w:tcPr>
                <w:p w14:paraId="65B5762E">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1次/周</w:t>
                  </w:r>
                </w:p>
              </w:tc>
            </w:tr>
            <w:tr w14:paraId="3186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695578ED">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3E073338">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粪大肠菌群数</w:t>
                  </w:r>
                </w:p>
              </w:tc>
              <w:tc>
                <w:tcPr>
                  <w:tcW w:w="2036" w:type="pct"/>
                  <w:noWrap w:val="0"/>
                  <w:vAlign w:val="center"/>
                </w:tcPr>
                <w:p w14:paraId="62DE983B">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1次/月</w:t>
                  </w:r>
                </w:p>
              </w:tc>
            </w:tr>
            <w:tr w14:paraId="0325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56E6E067">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5DC71CD1">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vertAlign w:val="baseline"/>
                      <w:lang w:val="en-US" w:eastAsia="zh-CN"/>
                    </w:rPr>
                    <w:t>、石油类、挥发酚、动植物油、阴离子表面活性剂、氨氮、石油类、色度、挥发酚、总氰化物</w:t>
                  </w:r>
                </w:p>
              </w:tc>
              <w:tc>
                <w:tcPr>
                  <w:tcW w:w="2036" w:type="pct"/>
                  <w:noWrap w:val="0"/>
                  <w:vAlign w:val="center"/>
                </w:tcPr>
                <w:p w14:paraId="43D804BA">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1次/季度</w:t>
                  </w:r>
                </w:p>
              </w:tc>
            </w:tr>
          </w:tbl>
          <w:p w14:paraId="0CD75050">
            <w:pPr>
              <w:pStyle w:val="32"/>
              <w:numPr>
                <w:ilvl w:val="0"/>
                <w:numId w:val="0"/>
              </w:numPr>
              <w:spacing w:line="360" w:lineRule="auto"/>
              <w:ind w:left="0" w:leftChars="0" w:firstLine="498" w:firstLineChars="200"/>
              <w:rPr>
                <w:rFonts w:hint="eastAsia" w:cs="Times New Roman"/>
                <w:b/>
                <w:bCs/>
                <w:color w:val="auto"/>
                <w:spacing w:val="4"/>
                <w:kern w:val="24"/>
                <w:sz w:val="24"/>
                <w:szCs w:val="24"/>
                <w:highlight w:val="none"/>
                <w:lang w:val="en-US" w:eastAsia="zh-CN" w:bidi="ar-SA"/>
              </w:rPr>
            </w:pPr>
          </w:p>
          <w:p w14:paraId="49BD284D">
            <w:pPr>
              <w:pStyle w:val="32"/>
              <w:numPr>
                <w:ilvl w:val="0"/>
                <w:numId w:val="0"/>
              </w:numPr>
              <w:spacing w:line="360" w:lineRule="auto"/>
              <w:ind w:left="0" w:leftChars="0" w:firstLine="498" w:firstLineChars="200"/>
              <w:rPr>
                <w:rFonts w:hint="eastAsia"/>
                <w:b/>
                <w:bCs/>
                <w:color w:val="auto"/>
                <w:sz w:val="24"/>
                <w:szCs w:val="24"/>
                <w:highlight w:val="none"/>
                <w:lang w:val="en-US" w:eastAsia="zh-CN"/>
              </w:rPr>
            </w:pPr>
            <w:r>
              <w:rPr>
                <w:rFonts w:hint="eastAsia" w:cs="Times New Roman"/>
                <w:b/>
                <w:bCs/>
                <w:color w:val="auto"/>
                <w:spacing w:val="4"/>
                <w:kern w:val="24"/>
                <w:sz w:val="24"/>
                <w:szCs w:val="24"/>
                <w:highlight w:val="none"/>
                <w:lang w:val="en-US" w:eastAsia="zh-CN" w:bidi="ar-SA"/>
              </w:rPr>
              <w:t>三</w:t>
            </w:r>
            <w:r>
              <w:rPr>
                <w:rFonts w:hint="eastAsia" w:ascii="Times New Roman" w:hAnsi="Times New Roman" w:eastAsia="宋体" w:cs="Times New Roman"/>
                <w:b/>
                <w:bCs/>
                <w:color w:val="auto"/>
                <w:spacing w:val="4"/>
                <w:kern w:val="24"/>
                <w:sz w:val="24"/>
                <w:szCs w:val="24"/>
                <w:highlight w:val="none"/>
                <w:lang w:val="en-US" w:eastAsia="zh-CN" w:bidi="ar-SA"/>
              </w:rPr>
              <w:t>、</w:t>
            </w:r>
            <w:r>
              <w:rPr>
                <w:rFonts w:hint="eastAsia"/>
                <w:b/>
                <w:bCs/>
                <w:color w:val="auto"/>
                <w:sz w:val="24"/>
                <w:szCs w:val="24"/>
                <w:highlight w:val="none"/>
                <w:lang w:val="en-US" w:eastAsia="zh-CN"/>
              </w:rPr>
              <w:t>噪声影响分析</w:t>
            </w:r>
          </w:p>
          <w:p w14:paraId="5B56189C">
            <w:pPr>
              <w:pStyle w:val="43"/>
              <w:keepNext w:val="0"/>
              <w:keepLines w:val="0"/>
              <w:pageBreakBefore w:val="0"/>
              <w:widowControl/>
              <w:kinsoku/>
              <w:wordWrap w:val="0"/>
              <w:overflowPunct/>
              <w:topLinePunct/>
              <w:autoSpaceDE/>
              <w:autoSpaceDN/>
              <w:bidi w:val="0"/>
              <w:adjustRightInd w:val="0"/>
              <w:snapToGrid w:val="0"/>
              <w:spacing w:line="360" w:lineRule="auto"/>
              <w:ind w:right="0" w:firstLine="466" w:firstLineChars="200"/>
              <w:jc w:val="both"/>
              <w:textAlignment w:val="baseline"/>
              <w:rPr>
                <w:color w:val="auto"/>
                <w:szCs w:val="24"/>
                <w:highlight w:val="none"/>
              </w:rPr>
            </w:pPr>
            <w:r>
              <w:rPr>
                <w:rFonts w:hint="default" w:ascii="Times New Roman" w:hAnsi="Times New Roman" w:cs="Times New Roman"/>
                <w:b/>
                <w:bCs/>
                <w:color w:val="auto"/>
                <w:spacing w:val="-4"/>
                <w:sz w:val="24"/>
                <w:szCs w:val="24"/>
                <w:highlight w:val="none"/>
                <w:lang w:val="en-US" w:eastAsia="zh-CN"/>
              </w:rPr>
              <w:t>1、噪声源强分析</w:t>
            </w:r>
          </w:p>
          <w:p w14:paraId="75E623B5">
            <w:pPr>
              <w:spacing w:line="360" w:lineRule="auto"/>
              <w:ind w:firstLine="480" w:firstLineChars="200"/>
              <w:jc w:val="both"/>
              <w:rPr>
                <w:rFonts w:hint="eastAsia" w:ascii="Times New Roman" w:hAnsi="Times New Roman" w:cs="Times New Roman"/>
                <w:color w:val="auto"/>
                <w:sz w:val="24"/>
                <w:szCs w:val="24"/>
                <w:highlight w:val="yellow"/>
                <w:lang w:val="en-US" w:eastAsia="zh-CN"/>
              </w:rPr>
            </w:pPr>
            <w:r>
              <w:rPr>
                <w:color w:val="auto"/>
                <w:sz w:val="24"/>
                <w:szCs w:val="24"/>
                <w:highlight w:val="none"/>
              </w:rPr>
              <w:t>本项目运营期间，本项目噪声源主要为污水处理设施、水泵及医疗设备运行噪声、来自门诊病人及陪护人员产生的社会生活噪声。</w:t>
            </w:r>
            <w:r>
              <w:rPr>
                <w:rFonts w:hint="eastAsia" w:ascii="宋体" w:hAnsi="宋体" w:eastAsia="宋体" w:cs="宋体"/>
                <w:color w:val="auto"/>
                <w:sz w:val="24"/>
                <w:szCs w:val="24"/>
                <w:highlight w:val="none"/>
                <w:lang w:val="en-US" w:eastAsia="zh-CN"/>
              </w:rPr>
              <w:t>本项目</w:t>
            </w:r>
            <w:r>
              <w:rPr>
                <w:rFonts w:hint="eastAsia" w:ascii="Times New Roman" w:hAnsi="Times New Roman" w:cs="Times New Roman"/>
                <w:color w:val="auto"/>
                <w:sz w:val="24"/>
                <w:szCs w:val="24"/>
                <w:highlight w:val="none"/>
                <w:lang w:val="en-US" w:eastAsia="zh-CN"/>
              </w:rPr>
              <w:t>医用设备，运营噪声较小，同时这些设备均</w:t>
            </w:r>
            <w:r>
              <w:rPr>
                <w:rFonts w:hint="eastAsia" w:cs="Times New Roman"/>
                <w:color w:val="auto"/>
                <w:sz w:val="24"/>
                <w:szCs w:val="24"/>
                <w:highlight w:val="none"/>
                <w:lang w:val="en-US" w:eastAsia="zh-CN"/>
              </w:rPr>
              <w:t>安放</w:t>
            </w:r>
            <w:r>
              <w:rPr>
                <w:rFonts w:hint="eastAsia" w:ascii="Times New Roman" w:hAnsi="Times New Roman" w:cs="Times New Roman"/>
                <w:color w:val="auto"/>
                <w:sz w:val="24"/>
                <w:szCs w:val="24"/>
                <w:highlight w:val="none"/>
                <w:lang w:val="en-US" w:eastAsia="zh-CN"/>
              </w:rPr>
              <w:t>至房间内，对周围保护目标的影响较小。相比产生较大噪声的设备主要包括水泵、风机等，具体噪声源强详见表4-</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w:t>
            </w:r>
          </w:p>
          <w:p w14:paraId="5617B5AF">
            <w:pPr>
              <w:pStyle w:val="30"/>
              <w:widowControl/>
              <w:wordWrap/>
              <w:topLinePunct w:val="0"/>
              <w:snapToGrid w:val="0"/>
              <w:ind w:firstLine="0"/>
              <w:textAlignment w:val="auto"/>
              <w:rPr>
                <w:rFonts w:hAnsi="Times New Roman" w:cs="Times New Roman"/>
                <w:color w:val="auto"/>
              </w:rPr>
            </w:pPr>
            <w:r>
              <w:rPr>
                <w:rFonts w:hAnsi="Times New Roman" w:cs="Times New Roman"/>
                <w:b/>
                <w:bCs/>
                <w:color w:val="auto"/>
                <w:szCs w:val="21"/>
              </w:rPr>
              <w:t>表4-</w:t>
            </w:r>
            <w:r>
              <w:rPr>
                <w:rFonts w:hint="eastAsia" w:hAnsi="Times New Roman" w:cs="Times New Roman"/>
                <w:b/>
                <w:bCs/>
                <w:color w:val="auto"/>
                <w:szCs w:val="21"/>
                <w:lang w:val="en-US" w:eastAsia="zh-CN"/>
              </w:rPr>
              <w:t>8</w:t>
            </w:r>
            <w:r>
              <w:rPr>
                <w:rFonts w:hAnsi="Times New Roman" w:cs="Times New Roman"/>
                <w:b/>
                <w:bCs/>
                <w:color w:val="auto"/>
                <w:szCs w:val="21"/>
              </w:rPr>
              <w:t xml:space="preserve">  各噪声源强声值一览表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251"/>
              <w:gridCol w:w="340"/>
              <w:gridCol w:w="658"/>
              <w:gridCol w:w="531"/>
              <w:gridCol w:w="532"/>
              <w:gridCol w:w="612"/>
              <w:gridCol w:w="567"/>
              <w:gridCol w:w="627"/>
              <w:gridCol w:w="575"/>
              <w:gridCol w:w="547"/>
              <w:gridCol w:w="614"/>
              <w:gridCol w:w="540"/>
              <w:gridCol w:w="614"/>
              <w:gridCol w:w="725"/>
              <w:gridCol w:w="597"/>
            </w:tblGrid>
            <w:tr w14:paraId="4EA8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50" w:type="pct"/>
                  <w:vMerge w:val="restart"/>
                  <w:noWrap w:val="0"/>
                  <w:vAlign w:val="center"/>
                </w:tcPr>
                <w:p w14:paraId="691C3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04" w:type="pct"/>
                  <w:vMerge w:val="restart"/>
                  <w:noWrap w:val="0"/>
                  <w:vAlign w:val="center"/>
                </w:tcPr>
                <w:p w14:paraId="345F1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构筑物名称</w:t>
                  </w:r>
                </w:p>
              </w:tc>
              <w:tc>
                <w:tcPr>
                  <w:tcW w:w="394" w:type="pct"/>
                  <w:vMerge w:val="restart"/>
                  <w:noWrap w:val="0"/>
                  <w:vAlign w:val="center"/>
                </w:tcPr>
                <w:p w14:paraId="5FB10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声源名称</w:t>
                  </w:r>
                </w:p>
              </w:tc>
              <w:tc>
                <w:tcPr>
                  <w:tcW w:w="318" w:type="pct"/>
                  <w:vMerge w:val="restart"/>
                  <w:noWrap w:val="0"/>
                  <w:vAlign w:val="center"/>
                </w:tcPr>
                <w:p w14:paraId="7F99B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设备数量（台）</w:t>
                  </w:r>
                </w:p>
              </w:tc>
              <w:tc>
                <w:tcPr>
                  <w:tcW w:w="319" w:type="pct"/>
                  <w:vMerge w:val="restart"/>
                  <w:noWrap w:val="0"/>
                  <w:vAlign w:val="center"/>
                </w:tcPr>
                <w:p w14:paraId="6805B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单台噪声源强dB（A）</w:t>
                  </w:r>
                </w:p>
              </w:tc>
              <w:tc>
                <w:tcPr>
                  <w:tcW w:w="367" w:type="pct"/>
                  <w:vMerge w:val="restart"/>
                  <w:noWrap w:val="0"/>
                  <w:vAlign w:val="center"/>
                </w:tcPr>
                <w:p w14:paraId="61B29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声源控制措施</w:t>
                  </w:r>
                </w:p>
              </w:tc>
              <w:tc>
                <w:tcPr>
                  <w:tcW w:w="1061" w:type="pct"/>
                  <w:gridSpan w:val="3"/>
                  <w:noWrap w:val="0"/>
                  <w:vAlign w:val="center"/>
                </w:tcPr>
                <w:p w14:paraId="2AE05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空间相对位置/m</w:t>
                  </w:r>
                </w:p>
              </w:tc>
              <w:tc>
                <w:tcPr>
                  <w:tcW w:w="328" w:type="pct"/>
                  <w:vMerge w:val="restart"/>
                  <w:noWrap w:val="0"/>
                  <w:vAlign w:val="center"/>
                </w:tcPr>
                <w:p w14:paraId="2316F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距室内边界距离/m</w:t>
                  </w:r>
                </w:p>
              </w:tc>
              <w:tc>
                <w:tcPr>
                  <w:tcW w:w="368" w:type="pct"/>
                  <w:vMerge w:val="restart"/>
                  <w:noWrap w:val="0"/>
                  <w:vAlign w:val="center"/>
                </w:tcPr>
                <w:p w14:paraId="46295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室内边界声级/dB（A）</w:t>
                  </w:r>
                </w:p>
              </w:tc>
              <w:tc>
                <w:tcPr>
                  <w:tcW w:w="324" w:type="pct"/>
                  <w:vMerge w:val="restart"/>
                  <w:noWrap w:val="0"/>
                  <w:vAlign w:val="center"/>
                </w:tcPr>
                <w:p w14:paraId="41036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运行时段</w:t>
                  </w:r>
                </w:p>
              </w:tc>
              <w:tc>
                <w:tcPr>
                  <w:tcW w:w="368" w:type="pct"/>
                  <w:vMerge w:val="restart"/>
                  <w:noWrap w:val="0"/>
                  <w:vAlign w:val="center"/>
                </w:tcPr>
                <w:p w14:paraId="0A8DF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建筑物插入损失/dB（A）</w:t>
                  </w:r>
                </w:p>
              </w:tc>
              <w:tc>
                <w:tcPr>
                  <w:tcW w:w="793" w:type="pct"/>
                  <w:gridSpan w:val="2"/>
                  <w:noWrap w:val="0"/>
                  <w:vAlign w:val="center"/>
                </w:tcPr>
                <w:p w14:paraId="52AAC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建筑物外噪声</w:t>
                  </w:r>
                </w:p>
              </w:tc>
            </w:tr>
            <w:tr w14:paraId="5EA9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50" w:type="pct"/>
                  <w:vMerge w:val="continue"/>
                  <w:noWrap w:val="0"/>
                  <w:vAlign w:val="center"/>
                </w:tcPr>
                <w:p w14:paraId="716C2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204" w:type="pct"/>
                  <w:vMerge w:val="continue"/>
                  <w:noWrap w:val="0"/>
                  <w:vAlign w:val="center"/>
                </w:tcPr>
                <w:p w14:paraId="40345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94" w:type="pct"/>
                  <w:vMerge w:val="continue"/>
                  <w:noWrap w:val="0"/>
                  <w:vAlign w:val="center"/>
                </w:tcPr>
                <w:p w14:paraId="111AE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18" w:type="pct"/>
                  <w:vMerge w:val="continue"/>
                  <w:noWrap w:val="0"/>
                  <w:vAlign w:val="center"/>
                </w:tcPr>
                <w:p w14:paraId="1CDA2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19" w:type="pct"/>
                  <w:vMerge w:val="continue"/>
                  <w:noWrap w:val="0"/>
                  <w:vAlign w:val="center"/>
                </w:tcPr>
                <w:p w14:paraId="2FB95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67" w:type="pct"/>
                  <w:vMerge w:val="continue"/>
                  <w:noWrap w:val="0"/>
                  <w:vAlign w:val="center"/>
                </w:tcPr>
                <w:p w14:paraId="6A48A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40" w:type="pct"/>
                  <w:noWrap w:val="0"/>
                  <w:vAlign w:val="center"/>
                </w:tcPr>
                <w:p w14:paraId="27A55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X</w:t>
                  </w:r>
                </w:p>
              </w:tc>
              <w:tc>
                <w:tcPr>
                  <w:tcW w:w="376" w:type="pct"/>
                  <w:noWrap w:val="0"/>
                  <w:vAlign w:val="center"/>
                </w:tcPr>
                <w:p w14:paraId="45F2A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Y</w:t>
                  </w:r>
                </w:p>
              </w:tc>
              <w:tc>
                <w:tcPr>
                  <w:tcW w:w="345" w:type="pct"/>
                  <w:noWrap w:val="0"/>
                  <w:vAlign w:val="center"/>
                </w:tcPr>
                <w:p w14:paraId="7F3D5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Z</w:t>
                  </w:r>
                </w:p>
              </w:tc>
              <w:tc>
                <w:tcPr>
                  <w:tcW w:w="328" w:type="pct"/>
                  <w:vMerge w:val="continue"/>
                  <w:noWrap w:val="0"/>
                  <w:vAlign w:val="center"/>
                </w:tcPr>
                <w:p w14:paraId="40525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68" w:type="pct"/>
                  <w:vMerge w:val="continue"/>
                  <w:noWrap w:val="0"/>
                  <w:vAlign w:val="center"/>
                </w:tcPr>
                <w:p w14:paraId="375F6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24" w:type="pct"/>
                  <w:vMerge w:val="continue"/>
                  <w:noWrap w:val="0"/>
                  <w:vAlign w:val="center"/>
                </w:tcPr>
                <w:p w14:paraId="29175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68" w:type="pct"/>
                  <w:vMerge w:val="continue"/>
                  <w:noWrap w:val="0"/>
                  <w:vAlign w:val="center"/>
                </w:tcPr>
                <w:p w14:paraId="52EFA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435" w:type="pct"/>
                  <w:noWrap w:val="0"/>
                  <w:vAlign w:val="center"/>
                </w:tcPr>
                <w:p w14:paraId="62EFF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声压级/dB（A）</w:t>
                  </w:r>
                </w:p>
              </w:tc>
              <w:tc>
                <w:tcPr>
                  <w:tcW w:w="358" w:type="pct"/>
                  <w:noWrap w:val="0"/>
                  <w:vAlign w:val="center"/>
                </w:tcPr>
                <w:p w14:paraId="0480C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建筑物外距离/m</w:t>
                  </w:r>
                </w:p>
              </w:tc>
            </w:tr>
            <w:tr w14:paraId="0190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899" w:hRule="atLeast"/>
                <w:jc w:val="center"/>
              </w:trPr>
              <w:tc>
                <w:tcPr>
                  <w:tcW w:w="150" w:type="pct"/>
                  <w:noWrap w:val="0"/>
                  <w:vAlign w:val="center"/>
                </w:tcPr>
                <w:p w14:paraId="36DB5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04" w:type="pct"/>
                  <w:noWrap w:val="0"/>
                  <w:vAlign w:val="center"/>
                </w:tcPr>
                <w:p w14:paraId="1A8BD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配电室</w:t>
                  </w:r>
                </w:p>
              </w:tc>
              <w:tc>
                <w:tcPr>
                  <w:tcW w:w="394" w:type="pct"/>
                  <w:noWrap w:val="0"/>
                  <w:vAlign w:val="center"/>
                </w:tcPr>
                <w:p w14:paraId="2FC5457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配电设备</w:t>
                  </w:r>
                </w:p>
              </w:tc>
              <w:tc>
                <w:tcPr>
                  <w:tcW w:w="318" w:type="pct"/>
                  <w:noWrap w:val="0"/>
                  <w:vAlign w:val="center"/>
                </w:tcPr>
                <w:p w14:paraId="2598FA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601338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67" w:type="pct"/>
                  <w:vMerge w:val="restart"/>
                  <w:noWrap w:val="0"/>
                  <w:vAlign w:val="center"/>
                </w:tcPr>
                <w:p w14:paraId="55CF9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墙体隔声、基础减震</w:t>
                  </w:r>
                </w:p>
              </w:tc>
              <w:tc>
                <w:tcPr>
                  <w:tcW w:w="340" w:type="pct"/>
                  <w:noWrap w:val="0"/>
                  <w:vAlign w:val="center"/>
                </w:tcPr>
                <w:p w14:paraId="49BF7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w:t>
                  </w:r>
                </w:p>
              </w:tc>
              <w:tc>
                <w:tcPr>
                  <w:tcW w:w="376" w:type="pct"/>
                  <w:noWrap w:val="0"/>
                  <w:vAlign w:val="center"/>
                </w:tcPr>
                <w:p w14:paraId="5A5DA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-19.23</w:t>
                  </w:r>
                </w:p>
              </w:tc>
              <w:tc>
                <w:tcPr>
                  <w:tcW w:w="345" w:type="pct"/>
                  <w:noWrap w:val="0"/>
                  <w:vAlign w:val="center"/>
                </w:tcPr>
                <w:p w14:paraId="2AAAA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28" w:type="pct"/>
                  <w:noWrap w:val="0"/>
                  <w:vAlign w:val="center"/>
                </w:tcPr>
                <w:p w14:paraId="07B76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368" w:type="pct"/>
                  <w:noWrap w:val="0"/>
                  <w:vAlign w:val="center"/>
                </w:tcPr>
                <w:p w14:paraId="4FA84E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70.13</w:t>
                  </w:r>
                </w:p>
              </w:tc>
              <w:tc>
                <w:tcPr>
                  <w:tcW w:w="324" w:type="pct"/>
                  <w:vMerge w:val="restart"/>
                  <w:noWrap w:val="0"/>
                  <w:vAlign w:val="center"/>
                </w:tcPr>
                <w:p w14:paraId="446AA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昼夜</w:t>
                  </w:r>
                </w:p>
              </w:tc>
              <w:tc>
                <w:tcPr>
                  <w:tcW w:w="368" w:type="pct"/>
                  <w:noWrap w:val="0"/>
                  <w:vAlign w:val="center"/>
                </w:tcPr>
                <w:p w14:paraId="33160A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p>
              </w:tc>
              <w:tc>
                <w:tcPr>
                  <w:tcW w:w="435" w:type="pct"/>
                  <w:shd w:val="clear" w:color="auto" w:fill="auto"/>
                  <w:noWrap w:val="0"/>
                  <w:vAlign w:val="center"/>
                </w:tcPr>
                <w:p w14:paraId="21751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33.1</w:t>
                  </w:r>
                </w:p>
              </w:tc>
              <w:tc>
                <w:tcPr>
                  <w:tcW w:w="358" w:type="pct"/>
                  <w:noWrap w:val="0"/>
                  <w:vAlign w:val="center"/>
                </w:tcPr>
                <w:p w14:paraId="23CFD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C2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849" w:hRule="atLeast"/>
                <w:jc w:val="center"/>
              </w:trPr>
              <w:tc>
                <w:tcPr>
                  <w:tcW w:w="150" w:type="pct"/>
                  <w:noWrap w:val="0"/>
                  <w:vAlign w:val="center"/>
                </w:tcPr>
                <w:p w14:paraId="4448A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04" w:type="pct"/>
                  <w:vMerge w:val="restart"/>
                  <w:noWrap w:val="0"/>
                  <w:vAlign w:val="center"/>
                </w:tcPr>
                <w:p w14:paraId="16E98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污水站</w:t>
                  </w:r>
                </w:p>
              </w:tc>
              <w:tc>
                <w:tcPr>
                  <w:tcW w:w="394" w:type="pct"/>
                  <w:noWrap w:val="0"/>
                  <w:vAlign w:val="center"/>
                </w:tcPr>
                <w:p w14:paraId="6E1ECF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污水处理站水泵</w:t>
                  </w:r>
                </w:p>
              </w:tc>
              <w:tc>
                <w:tcPr>
                  <w:tcW w:w="318" w:type="pct"/>
                  <w:noWrap w:val="0"/>
                  <w:vAlign w:val="center"/>
                </w:tcPr>
                <w:p w14:paraId="5237F5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5E355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67" w:type="pct"/>
                  <w:vMerge w:val="continue"/>
                  <w:noWrap w:val="0"/>
                  <w:vAlign w:val="center"/>
                </w:tcPr>
                <w:p w14:paraId="01983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0" w:type="pct"/>
                  <w:noWrap w:val="0"/>
                  <w:vAlign w:val="center"/>
                </w:tcPr>
                <w:p w14:paraId="3AF89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-33.02</w:t>
                  </w:r>
                </w:p>
              </w:tc>
              <w:tc>
                <w:tcPr>
                  <w:tcW w:w="376" w:type="pct"/>
                  <w:noWrap w:val="0"/>
                  <w:vAlign w:val="center"/>
                </w:tcPr>
                <w:p w14:paraId="27B51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w:t>
                  </w:r>
                </w:p>
              </w:tc>
              <w:tc>
                <w:tcPr>
                  <w:tcW w:w="345" w:type="pct"/>
                  <w:noWrap w:val="0"/>
                  <w:vAlign w:val="center"/>
                </w:tcPr>
                <w:p w14:paraId="1BEB7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28" w:type="pct"/>
                  <w:noWrap w:val="0"/>
                  <w:vAlign w:val="center"/>
                </w:tcPr>
                <w:p w14:paraId="6D1B7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368" w:type="pct"/>
                  <w:noWrap w:val="0"/>
                  <w:vAlign w:val="center"/>
                </w:tcPr>
                <w:p w14:paraId="35A6F6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70.13</w:t>
                  </w:r>
                </w:p>
              </w:tc>
              <w:tc>
                <w:tcPr>
                  <w:tcW w:w="324" w:type="pct"/>
                  <w:vMerge w:val="continue"/>
                  <w:noWrap w:val="0"/>
                  <w:vAlign w:val="center"/>
                </w:tcPr>
                <w:p w14:paraId="59F9F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68" w:type="pct"/>
                  <w:noWrap w:val="0"/>
                  <w:vAlign w:val="center"/>
                </w:tcPr>
                <w:p w14:paraId="62339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p>
              </w:tc>
              <w:tc>
                <w:tcPr>
                  <w:tcW w:w="435" w:type="pct"/>
                  <w:shd w:val="clear" w:color="auto" w:fill="auto"/>
                  <w:noWrap w:val="0"/>
                  <w:vAlign w:val="center"/>
                </w:tcPr>
                <w:p w14:paraId="2B71B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33.1</w:t>
                  </w:r>
                </w:p>
              </w:tc>
              <w:tc>
                <w:tcPr>
                  <w:tcW w:w="358" w:type="pct"/>
                  <w:noWrap w:val="0"/>
                  <w:vAlign w:val="center"/>
                </w:tcPr>
                <w:p w14:paraId="20E8B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3E77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647" w:hRule="atLeast"/>
                <w:jc w:val="center"/>
              </w:trPr>
              <w:tc>
                <w:tcPr>
                  <w:tcW w:w="150" w:type="pct"/>
                  <w:noWrap w:val="0"/>
                  <w:vAlign w:val="center"/>
                </w:tcPr>
                <w:p w14:paraId="298A9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04" w:type="pct"/>
                  <w:vMerge w:val="continue"/>
                  <w:noWrap w:val="0"/>
                  <w:vAlign w:val="center"/>
                </w:tcPr>
                <w:p w14:paraId="176EF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4" w:type="pct"/>
                  <w:noWrap w:val="0"/>
                  <w:vAlign w:val="center"/>
                </w:tcPr>
                <w:p w14:paraId="4EF41E9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污水处理站风机</w:t>
                  </w:r>
                </w:p>
              </w:tc>
              <w:tc>
                <w:tcPr>
                  <w:tcW w:w="318" w:type="pct"/>
                  <w:noWrap w:val="0"/>
                  <w:vAlign w:val="center"/>
                </w:tcPr>
                <w:p w14:paraId="4E198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2C460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367" w:type="pct"/>
                  <w:vMerge w:val="continue"/>
                  <w:noWrap w:val="0"/>
                  <w:vAlign w:val="center"/>
                </w:tcPr>
                <w:p w14:paraId="450E1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0" w:type="pct"/>
                  <w:noWrap w:val="0"/>
                  <w:vAlign w:val="center"/>
                </w:tcPr>
                <w:p w14:paraId="5412B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-28.33</w:t>
                  </w:r>
                </w:p>
              </w:tc>
              <w:tc>
                <w:tcPr>
                  <w:tcW w:w="376" w:type="pct"/>
                  <w:noWrap w:val="0"/>
                  <w:vAlign w:val="center"/>
                </w:tcPr>
                <w:p w14:paraId="72015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-14.06</w:t>
                  </w:r>
                </w:p>
              </w:tc>
              <w:tc>
                <w:tcPr>
                  <w:tcW w:w="345" w:type="pct"/>
                  <w:noWrap w:val="0"/>
                  <w:vAlign w:val="center"/>
                </w:tcPr>
                <w:p w14:paraId="71882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28" w:type="pct"/>
                  <w:noWrap w:val="0"/>
                  <w:vAlign w:val="center"/>
                </w:tcPr>
                <w:p w14:paraId="56057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368" w:type="pct"/>
                  <w:noWrap w:val="0"/>
                  <w:vAlign w:val="center"/>
                </w:tcPr>
                <w:p w14:paraId="7C618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75.13</w:t>
                  </w:r>
                </w:p>
              </w:tc>
              <w:tc>
                <w:tcPr>
                  <w:tcW w:w="324" w:type="pct"/>
                  <w:vMerge w:val="continue"/>
                  <w:noWrap w:val="0"/>
                  <w:vAlign w:val="center"/>
                </w:tcPr>
                <w:p w14:paraId="33071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68" w:type="pct"/>
                  <w:noWrap w:val="0"/>
                  <w:vAlign w:val="center"/>
                </w:tcPr>
                <w:p w14:paraId="5FB81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p>
              </w:tc>
              <w:tc>
                <w:tcPr>
                  <w:tcW w:w="435" w:type="pct"/>
                  <w:shd w:val="clear" w:color="auto" w:fill="auto"/>
                  <w:noWrap w:val="0"/>
                  <w:vAlign w:val="center"/>
                </w:tcPr>
                <w:p w14:paraId="00DC0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w:t>
                  </w:r>
                  <w:r>
                    <w:rPr>
                      <w:rFonts w:hint="eastAsia" w:ascii="Times New Roman" w:hAnsi="Times New Roman" w:eastAsia="宋体" w:cs="Times New Roman"/>
                      <w:bCs/>
                      <w:color w:val="auto"/>
                      <w:kern w:val="2"/>
                      <w:sz w:val="21"/>
                      <w:szCs w:val="21"/>
                      <w:highlight w:val="none"/>
                      <w:lang w:val="en-US" w:eastAsia="zh-CN" w:bidi="ar-SA"/>
                    </w:rPr>
                    <w:t>8.1</w:t>
                  </w:r>
                </w:p>
              </w:tc>
              <w:tc>
                <w:tcPr>
                  <w:tcW w:w="358" w:type="pct"/>
                  <w:noWrap w:val="0"/>
                  <w:vAlign w:val="center"/>
                </w:tcPr>
                <w:p w14:paraId="03222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0B7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90" w:hRule="atLeast"/>
                <w:jc w:val="center"/>
              </w:trPr>
              <w:tc>
                <w:tcPr>
                  <w:tcW w:w="150" w:type="pct"/>
                  <w:noWrap w:val="0"/>
                  <w:vAlign w:val="center"/>
                </w:tcPr>
                <w:p w14:paraId="06757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04" w:type="pct"/>
                  <w:noWrap w:val="0"/>
                  <w:vAlign w:val="center"/>
                </w:tcPr>
                <w:p w14:paraId="790C3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394" w:type="pct"/>
                  <w:noWrap w:val="0"/>
                  <w:vAlign w:val="center"/>
                </w:tcPr>
                <w:p w14:paraId="1A2F3B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油烟净化器风机</w:t>
                  </w:r>
                </w:p>
              </w:tc>
              <w:tc>
                <w:tcPr>
                  <w:tcW w:w="318" w:type="pct"/>
                  <w:noWrap w:val="0"/>
                  <w:vAlign w:val="center"/>
                </w:tcPr>
                <w:p w14:paraId="624A30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74EBEA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367" w:type="pct"/>
                  <w:vMerge w:val="continue"/>
                  <w:noWrap w:val="0"/>
                  <w:vAlign w:val="center"/>
                </w:tcPr>
                <w:p w14:paraId="679CE7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40" w:type="pct"/>
                  <w:noWrap w:val="0"/>
                  <w:vAlign w:val="center"/>
                </w:tcPr>
                <w:p w14:paraId="76001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c>
                <w:tcPr>
                  <w:tcW w:w="376" w:type="pct"/>
                  <w:noWrap w:val="0"/>
                  <w:vAlign w:val="center"/>
                </w:tcPr>
                <w:p w14:paraId="70556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9.29</w:t>
                  </w:r>
                </w:p>
              </w:tc>
              <w:tc>
                <w:tcPr>
                  <w:tcW w:w="345" w:type="pct"/>
                  <w:noWrap w:val="0"/>
                  <w:vAlign w:val="center"/>
                </w:tcPr>
                <w:p w14:paraId="62C01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28" w:type="pct"/>
                  <w:noWrap w:val="0"/>
                  <w:vAlign w:val="center"/>
                </w:tcPr>
                <w:p w14:paraId="782E2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368" w:type="pct"/>
                  <w:noWrap w:val="0"/>
                  <w:vAlign w:val="center"/>
                </w:tcPr>
                <w:p w14:paraId="234E4E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r>
                    <w:rPr>
                      <w:rFonts w:hint="eastAsia" w:ascii="Times New Roman" w:hAnsi="Times New Roman" w:eastAsia="宋体" w:cs="Times New Roman"/>
                      <w:color w:val="auto"/>
                      <w:kern w:val="2"/>
                      <w:sz w:val="21"/>
                      <w:szCs w:val="21"/>
                      <w:lang w:val="en-US" w:eastAsia="zh-CN" w:bidi="ar-SA"/>
                    </w:rPr>
                    <w:t>5.13</w:t>
                  </w:r>
                </w:p>
              </w:tc>
              <w:tc>
                <w:tcPr>
                  <w:tcW w:w="324" w:type="pct"/>
                  <w:noWrap w:val="0"/>
                  <w:vAlign w:val="center"/>
                </w:tcPr>
                <w:p w14:paraId="4D12A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间断</w:t>
                  </w:r>
                </w:p>
              </w:tc>
              <w:tc>
                <w:tcPr>
                  <w:tcW w:w="368" w:type="pct"/>
                  <w:noWrap w:val="0"/>
                  <w:vAlign w:val="center"/>
                </w:tcPr>
                <w:p w14:paraId="424E0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p>
              </w:tc>
              <w:tc>
                <w:tcPr>
                  <w:tcW w:w="435" w:type="pct"/>
                  <w:shd w:val="clear" w:color="auto" w:fill="auto"/>
                  <w:noWrap w:val="0"/>
                  <w:vAlign w:val="center"/>
                </w:tcPr>
                <w:p w14:paraId="452EF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w:t>
                  </w:r>
                  <w:r>
                    <w:rPr>
                      <w:rFonts w:hint="eastAsia" w:ascii="Times New Roman" w:hAnsi="Times New Roman" w:eastAsia="宋体" w:cs="Times New Roman"/>
                      <w:bCs/>
                      <w:color w:val="auto"/>
                      <w:kern w:val="2"/>
                      <w:sz w:val="21"/>
                      <w:szCs w:val="21"/>
                      <w:highlight w:val="none"/>
                      <w:lang w:val="en-US" w:eastAsia="zh-CN" w:bidi="ar-SA"/>
                    </w:rPr>
                    <w:t>8.1</w:t>
                  </w:r>
                </w:p>
              </w:tc>
              <w:tc>
                <w:tcPr>
                  <w:tcW w:w="358" w:type="pct"/>
                  <w:noWrap w:val="0"/>
                  <w:vAlign w:val="center"/>
                </w:tcPr>
                <w:p w14:paraId="124E1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14:paraId="21DEAB7E">
            <w:pPr>
              <w:keepNext w:val="0"/>
              <w:keepLines w:val="0"/>
              <w:suppressLineNumbers w:val="0"/>
              <w:kinsoku/>
              <w:wordWrap w:val="0"/>
              <w:overflowPunct/>
              <w:topLinePunct/>
              <w:autoSpaceDE/>
              <w:bidi w:val="0"/>
              <w:adjustRightInd w:val="0"/>
              <w:spacing w:before="0" w:beforeAutospacing="0" w:after="0" w:afterAutospacing="0" w:line="360" w:lineRule="auto"/>
              <w:ind w:right="0" w:firstLine="482" w:firstLineChars="200"/>
              <w:jc w:val="left"/>
              <w:rPr>
                <w:rFonts w:hint="default" w:ascii="Times New Roman" w:hAnsi="Times New Roman" w:cs="Times New Roman"/>
                <w:bCs/>
                <w:color w:val="auto"/>
                <w:sz w:val="24"/>
              </w:rPr>
            </w:pPr>
            <w:r>
              <w:rPr>
                <w:rFonts w:hint="eastAsia" w:ascii="Times New Roman" w:hAnsi="Times New Roman" w:cs="Times New Roman"/>
                <w:b/>
                <w:bCs w:val="0"/>
                <w:color w:val="auto"/>
                <w:sz w:val="24"/>
                <w:lang w:val="en-US" w:eastAsia="zh-CN"/>
              </w:rPr>
              <w:t>2、</w:t>
            </w:r>
            <w:r>
              <w:rPr>
                <w:rFonts w:hint="default" w:ascii="Times New Roman" w:hAnsi="Times New Roman" w:cs="Times New Roman"/>
                <w:b/>
                <w:bCs w:val="0"/>
                <w:color w:val="auto"/>
                <w:sz w:val="24"/>
              </w:rPr>
              <w:t>项目噪声影响及达标情况分析</w:t>
            </w:r>
          </w:p>
          <w:p w14:paraId="2248BEA4">
            <w:pPr>
              <w:keepNext w:val="0"/>
              <w:keepLines w:val="0"/>
              <w:suppressLineNumbers w:val="0"/>
              <w:kinsoku/>
              <w:wordWrap w:val="0"/>
              <w:overflowPunct/>
              <w:topLinePunct/>
              <w:autoSpaceDE/>
              <w:bidi w:val="0"/>
              <w:adjustRightIn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本次评价根据《环境影响评价技术导则</w:t>
            </w:r>
            <w:r>
              <w:rPr>
                <w:rFonts w:hint="eastAsia" w:ascii="Times New Roman" w:hAnsi="Times New Roman" w:cs="Times New Roman"/>
                <w:bCs/>
                <w:color w:val="auto"/>
                <w:sz w:val="24"/>
                <w:lang w:val="en-US" w:eastAsia="zh-CN"/>
              </w:rPr>
              <w:t xml:space="preserve"> </w:t>
            </w:r>
            <w:r>
              <w:rPr>
                <w:rFonts w:hint="default" w:ascii="Times New Roman" w:hAnsi="Times New Roman" w:cs="Times New Roman"/>
                <w:bCs/>
                <w:color w:val="auto"/>
                <w:sz w:val="24"/>
              </w:rPr>
              <w:t>声环境》（HJ2.4-2021）中的预测模式对厂界达标情况进行分析。</w:t>
            </w:r>
          </w:p>
          <w:p w14:paraId="7927DF76">
            <w:pPr>
              <w:keepNext w:val="0"/>
              <w:keepLines w:val="0"/>
              <w:suppressLineNumbers w:val="0"/>
              <w:kinsoku/>
              <w:wordWrap w:val="0"/>
              <w:overflowPunct/>
              <w:topLinePunct/>
              <w:autoSpaceDE/>
              <w:bidi w:val="0"/>
              <w:adjustRightIn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①本项目噪声源均为室内声源，则室内等效至室外的源强按如下公式进行预测</w:t>
            </w:r>
            <w:r>
              <w:rPr>
                <w:rFonts w:hint="default" w:ascii="Times New Roman" w:hAnsi="Times New Roman" w:cs="Times New Roman"/>
                <w:bCs/>
                <w:color w:val="auto"/>
                <w:sz w:val="24"/>
                <w:lang w:eastAsia="zh-CN"/>
              </w:rPr>
              <w:t>：</w:t>
            </w:r>
          </w:p>
          <w:p w14:paraId="25122128">
            <w:pPr>
              <w:keepNext w:val="0"/>
              <w:keepLines w:val="0"/>
              <w:widowControl/>
              <w:suppressLineNumbers w:val="0"/>
              <w:kinsoku/>
              <w:wordWrap w:val="0"/>
              <w:overflowPunct/>
              <w:topLinePunct/>
              <w:autoSpaceDE/>
              <w:bidi w:val="0"/>
              <w:spacing w:before="0" w:beforeAutospacing="0" w:after="0" w:afterAutospacing="0" w:line="360" w:lineRule="auto"/>
              <w:ind w:left="0" w:right="0"/>
              <w:jc w:val="center"/>
              <w:rPr>
                <w:rFonts w:hAnsi="Cambria Math" w:eastAsia="宋体" w:cs="Times New Roman"/>
                <w:i/>
                <w:color w:val="auto"/>
                <w:kern w:val="0"/>
                <w:sz w:val="30"/>
                <w:szCs w:val="30"/>
                <w:lang w:val="en-US" w:eastAsia="zh-CN" w:bidi="ar"/>
              </w:rPr>
            </w:pPr>
            <w:r>
              <w:rPr>
                <w:rFonts w:hint="eastAsia" w:hAnsi="Cambria Math" w:cs="Times New Roman"/>
                <w:i w:val="0"/>
                <w:color w:val="auto"/>
                <w:kern w:val="0"/>
                <w:sz w:val="30"/>
                <w:szCs w:val="30"/>
                <w:lang w:val="en-US" w:eastAsia="zh-CN" w:bidi="ar"/>
              </w:rPr>
              <w:t>L</w:t>
            </w:r>
            <w:r>
              <w:rPr>
                <w:rFonts w:hint="eastAsia" w:hAnsi="Cambria Math" w:cs="Times New Roman"/>
                <w:i w:val="0"/>
                <w:color w:val="auto"/>
                <w:kern w:val="0"/>
                <w:sz w:val="30"/>
                <w:szCs w:val="30"/>
                <w:vertAlign w:val="subscript"/>
                <w:lang w:val="en-US" w:eastAsia="zh-CN" w:bidi="ar"/>
              </w:rPr>
              <w:t>P2=</w:t>
            </w:r>
            <w:r>
              <w:rPr>
                <w:rFonts w:hint="eastAsia" w:hAnsi="Cambria Math" w:cs="Times New Roman"/>
                <w:i w:val="0"/>
                <w:color w:val="auto"/>
                <w:kern w:val="0"/>
                <w:sz w:val="30"/>
                <w:szCs w:val="30"/>
                <w:lang w:val="en-US" w:eastAsia="zh-CN" w:bidi="ar"/>
              </w:rPr>
              <w:t>L</w:t>
            </w:r>
            <w:r>
              <w:rPr>
                <w:rFonts w:hint="eastAsia" w:hAnsi="Cambria Math" w:cs="Times New Roman"/>
                <w:i w:val="0"/>
                <w:color w:val="auto"/>
                <w:kern w:val="0"/>
                <w:sz w:val="30"/>
                <w:szCs w:val="30"/>
                <w:vertAlign w:val="subscript"/>
                <w:lang w:val="en-US" w:eastAsia="zh-CN" w:bidi="ar"/>
              </w:rPr>
              <w:t>P1</w:t>
            </w:r>
            <w:r>
              <w:rPr>
                <w:rFonts w:hint="eastAsia" w:hAnsi="Cambria Math" w:cs="Times New Roman"/>
                <w:i w:val="0"/>
                <w:color w:val="auto"/>
                <w:kern w:val="0"/>
                <w:sz w:val="30"/>
                <w:szCs w:val="30"/>
                <w:vertAlign w:val="baseline"/>
                <w:lang w:val="en-US" w:eastAsia="zh-CN" w:bidi="ar"/>
              </w:rPr>
              <w:t>-(TL+6)</w:t>
            </w:r>
          </w:p>
          <w:p w14:paraId="1BAAF5EC">
            <w:pPr>
              <w:keepNext w:val="0"/>
              <w:keepLines w:val="0"/>
              <w:suppressLineNumbers w:val="0"/>
              <w:kinsoku/>
              <w:wordWrap w:val="0"/>
              <w:overflowPunct/>
              <w:topLinePunct/>
              <w:autoSpaceDE/>
              <w:bidi w:val="0"/>
              <w:adjustRightInd w:val="0"/>
              <w:snapToGrid w:val="0"/>
              <w:spacing w:before="0" w:beforeAutospacing="0" w:after="0" w:afterAutospacing="0" w:line="360" w:lineRule="auto"/>
              <w:ind w:right="0" w:firstLine="1800" w:firstLineChars="600"/>
              <w:jc w:val="left"/>
              <w:rPr>
                <w:rFonts w:hint="eastAsia" w:ascii="Times New Roman" w:hAnsi="Times New Roman" w:eastAsia="宋体" w:cs="Times New Roman"/>
                <w:bCs/>
                <w:color w:val="auto"/>
                <w:sz w:val="24"/>
                <w:lang w:val="en-US" w:eastAsia="zh-CN"/>
              </w:rPr>
            </w:pPr>
            <w:r>
              <w:rPr>
                <w:rFonts w:hint="eastAsia" w:hAnsi="Cambria Math" w:cs="Times New Roman"/>
                <w:i w:val="0"/>
                <w:color w:val="auto"/>
                <w:kern w:val="0"/>
                <w:sz w:val="30"/>
                <w:szCs w:val="30"/>
                <w:lang w:val="en-US" w:eastAsia="zh-CN" w:bidi="ar"/>
              </w:rPr>
              <w:t>L</w:t>
            </w:r>
            <w:r>
              <w:rPr>
                <w:rFonts w:hint="eastAsia" w:hAnsi="Cambria Math" w:cs="Times New Roman"/>
                <w:i w:val="0"/>
                <w:color w:val="auto"/>
                <w:kern w:val="0"/>
                <w:sz w:val="30"/>
                <w:szCs w:val="30"/>
                <w:vertAlign w:val="subscript"/>
                <w:lang w:val="en-US" w:eastAsia="zh-CN" w:bidi="ar"/>
              </w:rPr>
              <w:t>P1</w:t>
            </w:r>
            <w:r>
              <w:rPr>
                <w:rFonts w:hint="eastAsia" w:hAnsi="Cambria Math" w:cs="Times New Roman"/>
                <w:i w:val="0"/>
                <w:color w:val="auto"/>
                <w:kern w:val="0"/>
                <w:sz w:val="24"/>
                <w:szCs w:val="24"/>
                <w:vertAlign w:val="baseline"/>
                <w:lang w:val="en-US" w:eastAsia="zh-CN" w:bidi="ar"/>
              </w:rPr>
              <w:t>：</w:t>
            </w:r>
            <w:r>
              <w:rPr>
                <w:rFonts w:hint="eastAsia" w:ascii="宋体" w:hAnsi="宋体" w:eastAsia="宋体" w:cs="宋体"/>
                <w:i w:val="0"/>
                <w:color w:val="auto"/>
                <w:kern w:val="0"/>
                <w:sz w:val="24"/>
                <w:szCs w:val="24"/>
                <w:vertAlign w:val="baseline"/>
                <w:lang w:val="en-US" w:eastAsia="zh-CN" w:bidi="ar"/>
              </w:rPr>
              <w:t>─</w:t>
            </w:r>
            <w:r>
              <w:rPr>
                <w:rFonts w:hint="eastAsia" w:hAnsi="Cambria Math" w:cs="Times New Roman"/>
                <w:i w:val="0"/>
                <w:color w:val="auto"/>
                <w:kern w:val="0"/>
                <w:sz w:val="24"/>
                <w:szCs w:val="24"/>
                <w:vertAlign w:val="baseline"/>
                <w:lang w:val="en-US" w:eastAsia="zh-CN" w:bidi="ar"/>
              </w:rPr>
              <w:t>声</w:t>
            </w:r>
            <w:r>
              <w:rPr>
                <w:rFonts w:hint="eastAsia" w:ascii="Times New Roman" w:hAnsi="Times New Roman" w:eastAsia="宋体" w:cs="Times New Roman"/>
                <w:bCs/>
                <w:color w:val="auto"/>
                <w:sz w:val="24"/>
                <w:lang w:val="en-US" w:eastAsia="zh-CN"/>
              </w:rPr>
              <w:t>源室内声压级，dB(A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w:t>
            </w:r>
          </w:p>
          <w:p w14:paraId="7BBCD55E">
            <w:pPr>
              <w:keepNext w:val="0"/>
              <w:keepLines w:val="0"/>
              <w:suppressLineNumbers w:val="0"/>
              <w:kinsoku/>
              <w:wordWrap w:val="0"/>
              <w:overflowPunct/>
              <w:topLinePunct/>
              <w:autoSpaceDE/>
              <w:bidi w:val="0"/>
              <w:adjustRightInd w:val="0"/>
              <w:snapToGrid w:val="0"/>
              <w:spacing w:before="0" w:beforeAutospacing="0" w:after="0" w:afterAutospacing="0" w:line="360" w:lineRule="auto"/>
              <w:ind w:right="0" w:firstLine="1800" w:firstLineChars="600"/>
              <w:jc w:val="left"/>
              <w:rPr>
                <w:rFonts w:hint="default" w:ascii="Times New Roman" w:hAnsi="Times New Roman" w:eastAsia="宋体" w:cs="Times New Roman"/>
                <w:bCs/>
                <w:color w:val="auto"/>
                <w:sz w:val="24"/>
                <w:lang w:val="en-US" w:eastAsia="zh-CN"/>
              </w:rPr>
            </w:pPr>
            <w:r>
              <w:rPr>
                <w:rFonts w:hint="eastAsia" w:hAnsi="Cambria Math" w:cs="Times New Roman"/>
                <w:i w:val="0"/>
                <w:color w:val="auto"/>
                <w:kern w:val="0"/>
                <w:sz w:val="30"/>
                <w:szCs w:val="30"/>
                <w:lang w:val="en-US" w:eastAsia="zh-CN" w:bidi="ar"/>
              </w:rPr>
              <w:t>L</w:t>
            </w:r>
            <w:r>
              <w:rPr>
                <w:rFonts w:hint="eastAsia" w:ascii="Times New Roman" w:hAnsi="Times New Roman" w:eastAsia="宋体" w:cs="Times New Roman"/>
                <w:bCs/>
                <w:color w:val="auto"/>
                <w:sz w:val="24"/>
                <w:lang w:val="en-US" w:eastAsia="zh-CN"/>
              </w:rPr>
              <w:t>P2：─等效室外声压级，dB(A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w:t>
            </w:r>
          </w:p>
          <w:p w14:paraId="3599DEAE">
            <w:pPr>
              <w:keepNext w:val="0"/>
              <w:keepLines w:val="0"/>
              <w:suppressLineNumbers w:val="0"/>
              <w:kinsoku/>
              <w:wordWrap w:val="0"/>
              <w:overflowPunct/>
              <w:topLinePunct/>
              <w:autoSpaceDE/>
              <w:bidi w:val="0"/>
              <w:adjustRightInd w:val="0"/>
              <w:snapToGrid w:val="0"/>
              <w:spacing w:before="0" w:beforeAutospacing="0" w:after="0" w:afterAutospacing="0" w:line="360" w:lineRule="auto"/>
              <w:ind w:right="0" w:firstLine="480" w:firstLineChars="200"/>
              <w:jc w:val="left"/>
              <w:rPr>
                <w:rFonts w:hint="default"/>
                <w:color w:val="auto"/>
                <w:lang w:val="en-US"/>
              </w:rPr>
            </w:pPr>
            <w:r>
              <w:rPr>
                <w:rFonts w:hint="eastAsia" w:ascii="Times New Roman" w:hAnsi="Times New Roman" w:eastAsia="宋体" w:cs="Times New Roman"/>
                <w:bCs/>
                <w:color w:val="auto"/>
                <w:sz w:val="24"/>
                <w:lang w:val="en-US" w:eastAsia="zh-CN"/>
              </w:rPr>
              <w:t>TL─隔墙</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窗</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倍频带的</w:t>
            </w:r>
            <w:r>
              <w:rPr>
                <w:rFonts w:hint="eastAsia" w:ascii="宋体" w:hAnsi="宋体" w:eastAsia="宋体" w:cs="宋体"/>
                <w:i w:val="0"/>
                <w:color w:val="auto"/>
                <w:kern w:val="0"/>
                <w:sz w:val="24"/>
                <w:szCs w:val="24"/>
                <w:vertAlign w:val="baseline"/>
                <w:lang w:val="en-US" w:eastAsia="zh-CN" w:bidi="ar"/>
              </w:rPr>
              <w:t>隔声量，项目污水处理站在围墙内，取15</w:t>
            </w:r>
            <w:r>
              <w:rPr>
                <w:rFonts w:hint="eastAsia" w:ascii="Times New Roman" w:hAnsi="Cambria Math" w:eastAsia="宋体" w:cs="Times New Roman"/>
                <w:i w:val="0"/>
                <w:color w:val="auto"/>
                <w:kern w:val="0"/>
                <w:sz w:val="24"/>
                <w:szCs w:val="24"/>
                <w:vertAlign w:val="baseline"/>
                <w:lang w:val="en-US" w:eastAsia="zh-CN" w:bidi="ar"/>
              </w:rPr>
              <w:t>dB(A</w:t>
            </w:r>
            <w:r>
              <w:rPr>
                <w:rFonts w:hint="eastAsia" w:hAnsi="Cambria Math" w:cs="Times New Roman"/>
                <w:i w:val="0"/>
                <w:color w:val="auto"/>
                <w:kern w:val="0"/>
                <w:sz w:val="24"/>
                <w:szCs w:val="24"/>
                <w:vertAlign w:val="baseline"/>
                <w:lang w:val="en-US" w:eastAsia="zh-CN" w:bidi="ar"/>
              </w:rPr>
              <w:t>）</w:t>
            </w:r>
            <w:r>
              <w:rPr>
                <w:rFonts w:hint="eastAsia" w:ascii="Times New Roman" w:hAnsi="Cambria Math" w:eastAsia="宋体" w:cs="Times New Roman"/>
                <w:i w:val="0"/>
                <w:color w:val="auto"/>
                <w:kern w:val="0"/>
                <w:sz w:val="24"/>
                <w:szCs w:val="24"/>
                <w:vertAlign w:val="baseline"/>
                <w:lang w:val="en-US" w:eastAsia="zh-CN" w:bidi="ar"/>
              </w:rPr>
              <w:t>；</w:t>
            </w:r>
          </w:p>
          <w:p w14:paraId="0BBD4C68">
            <w:pPr>
              <w:keepNext w:val="0"/>
              <w:keepLines w:val="0"/>
              <w:suppressLineNumbers w:val="0"/>
              <w:kinsoku/>
              <w:wordWrap w:val="0"/>
              <w:overflowPunct/>
              <w:topLinePunct/>
              <w:autoSpaceDE/>
              <w:bidi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②根据《环境影响评价技术导则声环境》（HJ2.4-2021），户外声传播衰减包括几何发散、大气吸收、地面效应、屏障屏蔽及其他多方面效应引起的衰减，本次室内噪声源等效至室外后的衰减仅考虑几何发散，则采用如下公式预测</w:t>
            </w:r>
            <w:r>
              <w:rPr>
                <w:rFonts w:hint="default" w:ascii="Times New Roman" w:hAnsi="Times New Roman" w:cs="Times New Roman"/>
                <w:bCs/>
                <w:color w:val="auto"/>
                <w:sz w:val="24"/>
                <w:lang w:eastAsia="zh-CN"/>
              </w:rPr>
              <w:t>：</w:t>
            </w:r>
          </w:p>
          <w:p w14:paraId="058464DB">
            <w:pPr>
              <w:keepNext w:val="0"/>
              <w:keepLines w:val="0"/>
              <w:suppressLineNumbers w:val="0"/>
              <w:kinsoku/>
              <w:wordWrap w:val="0"/>
              <w:overflowPunct/>
              <w:topLinePunct/>
              <w:autoSpaceDE/>
              <w:bidi w:val="0"/>
              <w:adjustRightInd w:val="0"/>
              <w:snapToGrid w:val="0"/>
              <w:spacing w:before="0" w:beforeAutospacing="0" w:after="0" w:afterAutospacing="0" w:line="360" w:lineRule="auto"/>
              <w:ind w:left="0" w:right="0" w:firstLine="480" w:firstLineChars="200"/>
              <w:jc w:val="center"/>
              <w:rPr>
                <w:rFonts w:hint="default" w:ascii="Times New Roman" w:hAnsi="Times New Roman" w:cs="Times New Roman"/>
                <w:b/>
                <w:color w:val="auto"/>
                <w:sz w:val="24"/>
              </w:rPr>
            </w:pPr>
            <w:r>
              <w:rPr>
                <w:rFonts w:hint="default" w:ascii="Times New Roman" w:hAnsi="Times New Roman" w:cs="Times New Roman"/>
                <w:color w:val="auto"/>
                <w:sz w:val="24"/>
              </w:rPr>
              <w:drawing>
                <wp:inline distT="0" distB="0" distL="114300" distR="114300">
                  <wp:extent cx="4088130" cy="924560"/>
                  <wp:effectExtent l="0" t="0" r="7620" b="8890"/>
                  <wp:docPr id="3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6"/>
                          <pic:cNvPicPr>
                            <a:picLocks noChangeAspect="1"/>
                          </pic:cNvPicPr>
                        </pic:nvPicPr>
                        <pic:blipFill>
                          <a:blip r:embed="rId21"/>
                          <a:stretch>
                            <a:fillRect/>
                          </a:stretch>
                        </pic:blipFill>
                        <pic:spPr>
                          <a:xfrm>
                            <a:off x="0" y="0"/>
                            <a:ext cx="4088130" cy="924560"/>
                          </a:xfrm>
                          <a:prstGeom prst="rect">
                            <a:avLst/>
                          </a:prstGeom>
                          <a:noFill/>
                          <a:ln>
                            <a:noFill/>
                          </a:ln>
                        </pic:spPr>
                      </pic:pic>
                    </a:graphicData>
                  </a:graphic>
                </wp:inline>
              </w:drawing>
            </w:r>
          </w:p>
          <w:p w14:paraId="3E306092">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360" w:lineRule="auto"/>
              <w:ind w:right="0" w:firstLine="480" w:firstLineChars="200"/>
              <w:jc w:val="left"/>
              <w:textAlignment w:val="baseline"/>
              <w:rPr>
                <w:rFonts w:hint="default" w:ascii="Times New Roman" w:hAnsi="Times New Roman" w:cs="Times New Roman"/>
                <w:bCs/>
                <w:color w:val="auto"/>
                <w:sz w:val="24"/>
              </w:rPr>
            </w:pPr>
            <w:r>
              <w:rPr>
                <w:rFonts w:hint="default" w:ascii="Times New Roman" w:hAnsi="Times New Roman" w:cs="Times New Roman"/>
                <w:bCs/>
                <w:color w:val="auto"/>
                <w:sz w:val="24"/>
              </w:rPr>
              <w:t>本项目各声源均简化为无指向性点声源进行预测，则几何发散衰减公式如下</w:t>
            </w:r>
            <w:r>
              <w:rPr>
                <w:rFonts w:hint="default" w:ascii="Times New Roman" w:hAnsi="Times New Roman" w:cs="Times New Roman"/>
                <w:bCs/>
                <w:color w:val="auto"/>
                <w:sz w:val="24"/>
                <w:lang w:eastAsia="zh-CN"/>
              </w:rPr>
              <w:t>：</w:t>
            </w:r>
          </w:p>
          <w:p w14:paraId="5F3AD284">
            <w:pPr>
              <w:keepNext w:val="0"/>
              <w:keepLines w:val="0"/>
              <w:widowControl/>
              <w:suppressLineNumbers w:val="0"/>
              <w:kinsoku/>
              <w:wordWrap w:val="0"/>
              <w:overflowPunct/>
              <w:topLinePunct/>
              <w:autoSpaceDE/>
              <w:bidi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color w:val="auto"/>
                <w:kern w:val="0"/>
                <w:sz w:val="24"/>
              </w:rPr>
              <w:drawing>
                <wp:inline distT="0" distB="0" distL="114300" distR="114300">
                  <wp:extent cx="3580130" cy="981075"/>
                  <wp:effectExtent l="0" t="0" r="1270" b="9525"/>
                  <wp:docPr id="3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IMG_256"/>
                          <pic:cNvPicPr>
                            <a:picLocks noChangeAspect="1"/>
                          </pic:cNvPicPr>
                        </pic:nvPicPr>
                        <pic:blipFill>
                          <a:blip r:embed="rId22"/>
                          <a:stretch>
                            <a:fillRect/>
                          </a:stretch>
                        </pic:blipFill>
                        <pic:spPr>
                          <a:xfrm>
                            <a:off x="0" y="0"/>
                            <a:ext cx="3580130" cy="981075"/>
                          </a:xfrm>
                          <a:prstGeom prst="rect">
                            <a:avLst/>
                          </a:prstGeom>
                          <a:noFill/>
                          <a:ln>
                            <a:noFill/>
                          </a:ln>
                        </pic:spPr>
                      </pic:pic>
                    </a:graphicData>
                  </a:graphic>
                </wp:inline>
              </w:drawing>
            </w:r>
          </w:p>
          <w:p w14:paraId="44BCF522">
            <w:pPr>
              <w:keepNext w:val="0"/>
              <w:keepLines w:val="0"/>
              <w:suppressLineNumbers w:val="0"/>
              <w:kinsoku/>
              <w:wordWrap w:val="0"/>
              <w:overflowPunct/>
              <w:topLinePunct/>
              <w:autoSpaceDE/>
              <w:bidi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③本项目运营期涉及多个点声源，预测时考虑最不利情况，即当所有点声源同时运行时的影响。根据《环境影响评价技术导则声环境》（HJ2.4-2021），室外多个声源在各厂界处</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预测点</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的贡献值由如下公式进行预测，即</w:t>
            </w:r>
            <w:r>
              <w:rPr>
                <w:rFonts w:hint="default" w:ascii="Times New Roman" w:hAnsi="Times New Roman" w:cs="Times New Roman"/>
                <w:bCs/>
                <w:color w:val="auto"/>
                <w:sz w:val="24"/>
                <w:lang w:eastAsia="zh-CN"/>
              </w:rPr>
              <w:t>：</w:t>
            </w:r>
          </w:p>
          <w:p w14:paraId="7665DD3E">
            <w:pPr>
              <w:keepNext w:val="0"/>
              <w:keepLines w:val="0"/>
              <w:widowControl/>
              <w:suppressLineNumbers w:val="0"/>
              <w:kinsoku/>
              <w:wordWrap w:val="0"/>
              <w:overflowPunct/>
              <w:topLinePunct/>
              <w:autoSpaceDE/>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kern w:val="0"/>
                <w:sz w:val="24"/>
              </w:rPr>
              <w:drawing>
                <wp:inline distT="0" distB="0" distL="114300" distR="114300">
                  <wp:extent cx="4588510" cy="2083435"/>
                  <wp:effectExtent l="0" t="0" r="2540" b="12065"/>
                  <wp:docPr id="3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56"/>
                          <pic:cNvPicPr>
                            <a:picLocks noChangeAspect="1"/>
                          </pic:cNvPicPr>
                        </pic:nvPicPr>
                        <pic:blipFill>
                          <a:blip r:embed="rId23"/>
                          <a:stretch>
                            <a:fillRect/>
                          </a:stretch>
                        </pic:blipFill>
                        <pic:spPr>
                          <a:xfrm>
                            <a:off x="0" y="0"/>
                            <a:ext cx="4588510" cy="2083435"/>
                          </a:xfrm>
                          <a:prstGeom prst="rect">
                            <a:avLst/>
                          </a:prstGeom>
                          <a:noFill/>
                          <a:ln>
                            <a:noFill/>
                          </a:ln>
                        </pic:spPr>
                      </pic:pic>
                    </a:graphicData>
                  </a:graphic>
                </wp:inline>
              </w:drawing>
            </w:r>
          </w:p>
          <w:p w14:paraId="1EC9D5A4">
            <w:pPr>
              <w:keepNext w:val="0"/>
              <w:keepLines w:val="0"/>
              <w:suppressLineNumbers w:val="0"/>
              <w:kinsoku/>
              <w:wordWrap w:val="0"/>
              <w:overflowPunct/>
              <w:topLinePunct/>
              <w:autoSpaceDE/>
              <w:bidi w:val="0"/>
              <w:spacing w:before="0" w:beforeAutospacing="0" w:after="0" w:afterAutospacing="0" w:line="360" w:lineRule="auto"/>
              <w:ind w:left="0" w:right="0" w:firstLine="240" w:firstLineChars="100"/>
              <w:jc w:val="left"/>
              <w:rPr>
                <w:rFonts w:hint="default" w:ascii="Times New Roman" w:hAnsi="Times New Roman" w:cs="Times New Roman"/>
                <w:b/>
                <w:bCs/>
                <w:color w:val="auto"/>
                <w:sz w:val="24"/>
              </w:rPr>
            </w:pPr>
            <w:r>
              <w:rPr>
                <w:rFonts w:hint="default" w:ascii="Times New Roman" w:hAnsi="Times New Roman" w:cs="Times New Roman"/>
                <w:bCs/>
                <w:color w:val="auto"/>
                <w:sz w:val="24"/>
              </w:rPr>
              <w:t>④预测结果及评价</w:t>
            </w:r>
          </w:p>
          <w:p w14:paraId="601A0F4D">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b w:val="0"/>
                <w:bCs w:val="0"/>
                <w:color w:val="auto"/>
                <w:kern w:val="0"/>
                <w:sz w:val="24"/>
                <w:lang w:val="en-US" w:eastAsia="zh-CN" w:bidi="ar"/>
              </w:rPr>
              <w:t>本项目采用“环安科技4.0版”软件</w:t>
            </w:r>
            <w:r>
              <w:rPr>
                <w:rFonts w:hint="default" w:ascii="Times New Roman" w:hAnsi="Times New Roman" w:eastAsia="宋体" w:cs="Times New Roman"/>
                <w:b w:val="0"/>
                <w:bCs w:val="0"/>
                <w:color w:val="auto"/>
                <w:kern w:val="0"/>
                <w:sz w:val="24"/>
                <w:lang w:val="en-US" w:eastAsia="zh-CN" w:bidi="ar"/>
              </w:rPr>
              <w:t>【源文件符合《环境影响评价技术导则声环境》（HJ.2.4-2021）】对场地固定噪声源</w:t>
            </w:r>
            <w:r>
              <w:rPr>
                <w:rFonts w:hint="default" w:ascii="Times New Roman" w:hAnsi="Times New Roman" w:cs="Times New Roman"/>
                <w:b w:val="0"/>
                <w:bCs w:val="0"/>
                <w:color w:val="auto"/>
                <w:kern w:val="0"/>
                <w:sz w:val="24"/>
                <w:lang w:val="en-US" w:eastAsia="zh-CN" w:bidi="ar"/>
              </w:rPr>
              <w:t>进行</w:t>
            </w:r>
            <w:r>
              <w:rPr>
                <w:rFonts w:hint="default" w:ascii="Times New Roman" w:hAnsi="Times New Roman" w:eastAsia="宋体" w:cs="Times New Roman"/>
                <w:b w:val="0"/>
                <w:bCs w:val="0"/>
                <w:color w:val="auto"/>
                <w:kern w:val="0"/>
                <w:sz w:val="24"/>
                <w:lang w:val="en-US" w:eastAsia="zh-CN" w:bidi="ar"/>
              </w:rPr>
              <w:t>预测</w:t>
            </w:r>
            <w:r>
              <w:rPr>
                <w:rFonts w:hint="default" w:ascii="Times New Roman" w:hAnsi="Times New Roman" w:cs="Times New Roman"/>
                <w:b w:val="0"/>
                <w:bCs w:val="0"/>
                <w:color w:val="auto"/>
                <w:kern w:val="0"/>
                <w:sz w:val="24"/>
                <w:lang w:val="en-US" w:eastAsia="zh-CN" w:bidi="ar"/>
              </w:rPr>
              <w:t>，</w:t>
            </w:r>
            <w:r>
              <w:rPr>
                <w:rFonts w:hint="default" w:ascii="Times New Roman" w:hAnsi="Times New Roman" w:eastAsia="宋体" w:cs="Times New Roman"/>
                <w:color w:val="auto"/>
                <w:kern w:val="0"/>
                <w:sz w:val="24"/>
                <w:szCs w:val="24"/>
                <w:lang w:val="en-US" w:eastAsia="zh-CN" w:bidi="ar"/>
              </w:rPr>
              <w:t>根据项目工作制，对昼间</w:t>
            </w:r>
            <w:r>
              <w:rPr>
                <w:rFonts w:hint="eastAsia" w:ascii="Times New Roman" w:hAnsi="Times New Roman" w:eastAsia="宋体" w:cs="Times New Roman"/>
                <w:color w:val="auto"/>
                <w:kern w:val="0"/>
                <w:sz w:val="24"/>
                <w:szCs w:val="24"/>
                <w:lang w:val="en-US" w:eastAsia="zh-CN" w:bidi="ar"/>
              </w:rPr>
              <w:t>夜间</w:t>
            </w:r>
            <w:r>
              <w:rPr>
                <w:rFonts w:hint="default" w:ascii="Times New Roman" w:hAnsi="Times New Roman" w:eastAsia="宋体" w:cs="Times New Roman"/>
                <w:color w:val="auto"/>
                <w:kern w:val="0"/>
                <w:sz w:val="24"/>
                <w:szCs w:val="24"/>
                <w:lang w:val="en-US" w:eastAsia="zh-CN" w:bidi="ar"/>
              </w:rPr>
              <w:t>进行预测。项目昼</w:t>
            </w:r>
            <w:r>
              <w:rPr>
                <w:rFonts w:hint="eastAsia" w:ascii="Times New Roman" w:hAnsi="Times New Roman" w:eastAsia="宋体" w:cs="Times New Roman"/>
                <w:color w:val="auto"/>
                <w:kern w:val="0"/>
                <w:sz w:val="24"/>
                <w:szCs w:val="24"/>
                <w:lang w:val="en-US" w:eastAsia="zh-CN" w:bidi="ar"/>
              </w:rPr>
              <w:t>夜</w:t>
            </w:r>
            <w:r>
              <w:rPr>
                <w:rFonts w:hint="default" w:ascii="Times New Roman" w:hAnsi="Times New Roman" w:eastAsia="宋体" w:cs="Times New Roman"/>
                <w:color w:val="auto"/>
                <w:kern w:val="0"/>
                <w:sz w:val="24"/>
                <w:szCs w:val="24"/>
                <w:lang w:val="en-US" w:eastAsia="zh-CN" w:bidi="ar"/>
              </w:rPr>
              <w:t>噪声预测贡献值等值线图见下图4-</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p>
          <w:tbl>
            <w:tblPr>
              <w:tblStyle w:val="2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93"/>
            </w:tblGrid>
            <w:tr w14:paraId="396E5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93" w:type="dxa"/>
                </w:tcPr>
                <w:p w14:paraId="40837A73">
                  <w:pPr>
                    <w:pStyle w:val="32"/>
                    <w:numPr>
                      <w:ilvl w:val="0"/>
                      <w:numId w:val="0"/>
                    </w:numPr>
                    <w:spacing w:line="360" w:lineRule="auto"/>
                    <w:rPr>
                      <w:rFonts w:hint="default"/>
                      <w:b/>
                      <w:bCs/>
                      <w:color w:val="auto"/>
                      <w:sz w:val="24"/>
                      <w:szCs w:val="24"/>
                      <w:highlight w:val="yellow"/>
                      <w:vertAlign w:val="baseline"/>
                      <w:lang w:val="en-US" w:eastAsia="zh-CN"/>
                    </w:rPr>
                  </w:pPr>
                  <w:r>
                    <w:rPr>
                      <w:rFonts w:hint="default"/>
                      <w:b/>
                      <w:bCs/>
                      <w:color w:val="auto"/>
                      <w:sz w:val="24"/>
                      <w:szCs w:val="24"/>
                      <w:highlight w:val="yellow"/>
                      <w:vertAlign w:val="baseline"/>
                      <w:lang w:val="en-US" w:eastAsia="zh-CN"/>
                    </w:rPr>
                    <w:drawing>
                      <wp:inline distT="0" distB="0" distL="114300" distR="114300">
                        <wp:extent cx="5182235" cy="3696335"/>
                        <wp:effectExtent l="0" t="0" r="18415" b="18415"/>
                        <wp:docPr id="3" name="图片 3" descr="13c6680e0775b409f1f6ef5975bfb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c6680e0775b409f1f6ef5975bfbf7e"/>
                                <pic:cNvPicPr>
                                  <a:picLocks noChangeAspect="1"/>
                                </pic:cNvPicPr>
                              </pic:nvPicPr>
                              <pic:blipFill>
                                <a:blip r:embed="rId24"/>
                                <a:stretch>
                                  <a:fillRect/>
                                </a:stretch>
                              </pic:blipFill>
                              <pic:spPr>
                                <a:xfrm>
                                  <a:off x="0" y="0"/>
                                  <a:ext cx="5182235" cy="3696335"/>
                                </a:xfrm>
                                <a:prstGeom prst="rect">
                                  <a:avLst/>
                                </a:prstGeom>
                              </pic:spPr>
                            </pic:pic>
                          </a:graphicData>
                        </a:graphic>
                      </wp:inline>
                    </w:drawing>
                  </w:r>
                </w:p>
              </w:tc>
            </w:tr>
          </w:tbl>
          <w:p w14:paraId="0EA75774">
            <w:pPr>
              <w:pStyle w:val="18"/>
              <w:keepLines w:val="0"/>
              <w:kinsoku/>
              <w:wordWrap w:val="0"/>
              <w:overflowPunct/>
              <w:topLinePunct/>
              <w:autoSpaceDE/>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图4-2</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噪声预测贡献值等值线图</w:t>
            </w:r>
          </w:p>
          <w:p w14:paraId="2410CD5D">
            <w:pPr>
              <w:keepNext w:val="0"/>
              <w:keepLines w:val="0"/>
              <w:suppressLineNumbers w:val="0"/>
              <w:kinsoku/>
              <w:wordWrap w:val="0"/>
              <w:overflowPunct/>
              <w:topLinePunct/>
              <w:autoSpaceDE/>
              <w:bidi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rPr>
              <w:t>按照预测模式及选取参数，计算项目噪声源对四周厂界</w:t>
            </w:r>
            <w:r>
              <w:rPr>
                <w:rFonts w:hint="eastAsia" w:ascii="Times New Roman" w:hAnsi="Times New Roman" w:cs="Times New Roman"/>
                <w:b w:val="0"/>
                <w:bCs w:val="0"/>
                <w:color w:val="auto"/>
                <w:sz w:val="24"/>
                <w:lang w:val="en-US" w:eastAsia="zh-CN"/>
              </w:rPr>
              <w:t>及敏感点</w:t>
            </w:r>
            <w:r>
              <w:rPr>
                <w:rFonts w:hint="default" w:ascii="Times New Roman" w:hAnsi="Times New Roman" w:cs="Times New Roman"/>
                <w:b w:val="0"/>
                <w:bCs w:val="0"/>
                <w:color w:val="auto"/>
                <w:sz w:val="24"/>
              </w:rPr>
              <w:t>的噪声贡献值，结果下表</w:t>
            </w:r>
            <w:r>
              <w:rPr>
                <w:rFonts w:hint="default" w:ascii="Times New Roman" w:hAnsi="Times New Roman" w:cs="Times New Roman"/>
                <w:b w:val="0"/>
                <w:bCs w:val="0"/>
                <w:color w:val="auto"/>
                <w:sz w:val="24"/>
                <w:lang w:eastAsia="zh-CN"/>
              </w:rPr>
              <w:t>：</w:t>
            </w:r>
          </w:p>
          <w:p w14:paraId="0FE667AA">
            <w:pPr>
              <w:keepNext w:val="0"/>
              <w:keepLines w:val="0"/>
              <w:suppressLineNumbers w:val="0"/>
              <w:kinsoku/>
              <w:wordWrap w:val="0"/>
              <w:overflowPunct/>
              <w:topLinePunct/>
              <w:autoSpaceDE/>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p>
          <w:p w14:paraId="57BF927B">
            <w:pPr>
              <w:keepNext w:val="0"/>
              <w:keepLines w:val="0"/>
              <w:suppressLineNumbers w:val="0"/>
              <w:kinsoku/>
              <w:wordWrap w:val="0"/>
              <w:overflowPunct/>
              <w:topLinePunct/>
              <w:autoSpaceDE/>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9</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各噪声源对厂界贡献值计算结果一览表</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单位dB（A）</w:t>
            </w:r>
          </w:p>
          <w:tbl>
            <w:tblPr>
              <w:tblStyle w:val="24"/>
              <w:tblW w:w="83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7"/>
              <w:gridCol w:w="1095"/>
              <w:gridCol w:w="986"/>
              <w:gridCol w:w="986"/>
              <w:gridCol w:w="981"/>
              <w:gridCol w:w="1296"/>
              <w:gridCol w:w="1370"/>
            </w:tblGrid>
            <w:tr w14:paraId="599C6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3" w:hRule="atLeast"/>
              </w:trPr>
              <w:tc>
                <w:tcPr>
                  <w:tcW w:w="975" w:type="pct"/>
                  <w:tcBorders>
                    <w:top w:val="single" w:color="000000" w:sz="4" w:space="0"/>
                    <w:left w:val="single" w:color="000000" w:sz="4" w:space="0"/>
                    <w:right w:val="single" w:color="000000" w:sz="4" w:space="0"/>
                  </w:tcBorders>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17A84FE">
                  <w:pPr>
                    <w:keepNext w:val="0"/>
                    <w:keepLines w:val="0"/>
                    <w:suppressLineNumbers w:val="0"/>
                    <w:kinsoku/>
                    <w:wordWrap w:val="0"/>
                    <w:overflowPunct/>
                    <w:topLinePunct/>
                    <w:autoSpaceDE/>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eastAsia="zh-CN"/>
                    </w:rPr>
                  </w:pPr>
                </w:p>
                <w:p w14:paraId="444CDD0B">
                  <w:pPr>
                    <w:keepNext w:val="0"/>
                    <w:keepLines w:val="0"/>
                    <w:suppressLineNumbers w:val="0"/>
                    <w:kinsoku/>
                    <w:wordWrap w:val="0"/>
                    <w:overflowPunct/>
                    <w:topLinePunct/>
                    <w:autoSpaceDE/>
                    <w:bidi w:val="0"/>
                    <w:snapToGrid w:val="0"/>
                    <w:spacing w:before="0" w:beforeAutospacing="0" w:after="0" w:afterAutospacing="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预测点</w:t>
                  </w:r>
                  <w:r>
                    <w:rPr>
                      <w:rFonts w:hint="eastAsia" w:ascii="Times New Roman" w:hAnsi="Times New Roman" w:eastAsia="宋体" w:cs="Times New Roman"/>
                      <w:b/>
                      <w:bCs/>
                      <w:color w:val="auto"/>
                      <w:sz w:val="21"/>
                      <w:szCs w:val="21"/>
                      <w:vertAlign w:val="baseline"/>
                      <w:lang w:val="en-US" w:eastAsia="zh-CN"/>
                    </w:rPr>
                    <w:t>位</w:t>
                  </w:r>
                </w:p>
                <w:p w14:paraId="29CCCAEB">
                  <w:pPr>
                    <w:keepNext w:val="0"/>
                    <w:keepLines w:val="0"/>
                    <w:suppressLineNumbers w:val="0"/>
                    <w:kinsoku/>
                    <w:wordWrap w:val="0"/>
                    <w:overflowPunct/>
                    <w:topLinePunct/>
                    <w:autoSpaceDE/>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eastAsia="zh-CN"/>
                    </w:rPr>
                    <w:t>类别</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258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r>
                    <w:rPr>
                      <w:rStyle w:val="44"/>
                      <w:rFonts w:hint="default" w:ascii="Times New Roman" w:hAnsi="Times New Roman" w:cs="Times New Roman"/>
                      <w:b/>
                      <w:bCs/>
                      <w:color w:val="auto"/>
                      <w:sz w:val="21"/>
                      <w:szCs w:val="21"/>
                      <w:lang w:val="en-US" w:eastAsia="zh-CN" w:bidi="ar"/>
                    </w:rPr>
                    <w:t>坐标（</w:t>
                  </w:r>
                  <w:r>
                    <w:rPr>
                      <w:rStyle w:val="45"/>
                      <w:rFonts w:hint="default" w:ascii="Times New Roman" w:hAnsi="Times New Roman" w:eastAsia="宋体" w:cs="Times New Roman"/>
                      <w:b/>
                      <w:bCs/>
                      <w:color w:val="auto"/>
                      <w:sz w:val="21"/>
                      <w:szCs w:val="21"/>
                      <w:lang w:val="en-US" w:eastAsia="zh-CN" w:bidi="ar"/>
                    </w:rPr>
                    <w:t>m</w:t>
                  </w:r>
                  <w:r>
                    <w:rPr>
                      <w:rStyle w:val="44"/>
                      <w:rFonts w:hint="default" w:ascii="Times New Roman" w:hAnsi="Times New Roman" w:cs="Times New Roman"/>
                      <w:b/>
                      <w:bCs/>
                      <w:color w:val="auto"/>
                      <w:sz w:val="21"/>
                      <w:szCs w:val="21"/>
                      <w:lang w:val="en-US" w:eastAsia="zh-CN" w:bidi="ar"/>
                    </w:rPr>
                    <w:t>）</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81C3">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r>
                    <w:rPr>
                      <w:rStyle w:val="44"/>
                      <w:rFonts w:hint="default" w:ascii="Times New Roman" w:hAnsi="Times New Roman" w:cs="Times New Roman"/>
                      <w:b/>
                      <w:bCs/>
                      <w:color w:val="auto"/>
                      <w:sz w:val="21"/>
                      <w:szCs w:val="21"/>
                      <w:lang w:val="en-US" w:eastAsia="zh-CN" w:bidi="ar"/>
                    </w:rPr>
                    <w:t>坐标（</w:t>
                  </w:r>
                  <w:r>
                    <w:rPr>
                      <w:rStyle w:val="45"/>
                      <w:rFonts w:hint="default" w:ascii="Times New Roman" w:hAnsi="Times New Roman" w:eastAsia="宋体" w:cs="Times New Roman"/>
                      <w:b/>
                      <w:bCs/>
                      <w:color w:val="auto"/>
                      <w:sz w:val="21"/>
                      <w:szCs w:val="21"/>
                      <w:lang w:val="en-US" w:eastAsia="zh-CN" w:bidi="ar"/>
                    </w:rPr>
                    <w:t>m</w:t>
                  </w:r>
                  <w:r>
                    <w:rPr>
                      <w:rStyle w:val="44"/>
                      <w:rFonts w:hint="default" w:ascii="Times New Roman" w:hAnsi="Times New Roman" w:cs="Times New Roman"/>
                      <w:b/>
                      <w:bCs/>
                      <w:color w:val="auto"/>
                      <w:sz w:val="21"/>
                      <w:szCs w:val="21"/>
                      <w:lang w:val="en-US" w:eastAsia="zh-CN" w:bidi="ar"/>
                    </w:rPr>
                    <w:t>）</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FD3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r>
                    <w:rPr>
                      <w:rStyle w:val="44"/>
                      <w:rFonts w:hint="default" w:ascii="Times New Roman" w:hAnsi="Times New Roman" w:cs="Times New Roman"/>
                      <w:b/>
                      <w:bCs/>
                      <w:color w:val="auto"/>
                      <w:sz w:val="21"/>
                      <w:szCs w:val="21"/>
                      <w:lang w:val="en-US" w:eastAsia="zh-CN" w:bidi="ar"/>
                    </w:rPr>
                    <w:t>坐标（</w:t>
                  </w:r>
                  <w:r>
                    <w:rPr>
                      <w:rStyle w:val="45"/>
                      <w:rFonts w:hint="default" w:ascii="Times New Roman" w:hAnsi="Times New Roman" w:eastAsia="宋体" w:cs="Times New Roman"/>
                      <w:b/>
                      <w:bCs/>
                      <w:color w:val="auto"/>
                      <w:sz w:val="21"/>
                      <w:szCs w:val="21"/>
                      <w:lang w:val="en-US" w:eastAsia="zh-CN" w:bidi="ar"/>
                    </w:rPr>
                    <w:t>m</w:t>
                  </w:r>
                  <w:r>
                    <w:rPr>
                      <w:rStyle w:val="44"/>
                      <w:rFonts w:hint="default" w:ascii="Times New Roman" w:hAnsi="Times New Roman" w:cs="Times New Roman"/>
                      <w:b/>
                      <w:bCs/>
                      <w:color w:val="auto"/>
                      <w:sz w:val="21"/>
                      <w:szCs w:val="21"/>
                      <w:lang w:val="en-US" w:eastAsia="zh-CN" w:bidi="ar"/>
                    </w:rPr>
                    <w:t>）</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1840">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w:t>
                  </w:r>
                </w:p>
              </w:tc>
              <w:tc>
                <w:tcPr>
                  <w:tcW w:w="776" w:type="pct"/>
                  <w:tcBorders>
                    <w:top w:val="single" w:color="000000" w:sz="4" w:space="0"/>
                    <w:left w:val="single" w:color="000000" w:sz="4" w:space="0"/>
                    <w:right w:val="single" w:color="000000" w:sz="4" w:space="0"/>
                  </w:tcBorders>
                  <w:shd w:val="clear" w:color="auto" w:fill="auto"/>
                  <w:noWrap/>
                  <w:vAlign w:val="center"/>
                </w:tcPr>
                <w:p w14:paraId="2F0F1EC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昼间执行标准</w:t>
                  </w:r>
                  <w:r>
                    <w:rPr>
                      <w:rFonts w:hint="default" w:ascii="Times New Roman" w:hAnsi="Times New Roman" w:eastAsia="宋体" w:cs="Times New Roman"/>
                      <w:b/>
                      <w:bCs/>
                      <w:color w:val="auto"/>
                      <w:sz w:val="21"/>
                      <w:szCs w:val="21"/>
                      <w:lang w:val="en-US" w:eastAsia="zh-CN"/>
                    </w:rPr>
                    <w:t>dB（A）</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115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夜间执行标准</w:t>
                  </w:r>
                  <w:r>
                    <w:rPr>
                      <w:rFonts w:hint="default" w:ascii="Times New Roman" w:hAnsi="Times New Roman" w:eastAsia="宋体" w:cs="Times New Roman"/>
                      <w:b/>
                      <w:bCs/>
                      <w:color w:val="auto"/>
                      <w:sz w:val="21"/>
                      <w:szCs w:val="21"/>
                      <w:lang w:val="en-US" w:eastAsia="zh-CN"/>
                    </w:rPr>
                    <w:t>dB（A）</w:t>
                  </w:r>
                </w:p>
              </w:tc>
            </w:tr>
            <w:tr w14:paraId="5ADCE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8129">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厂界东</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1A78">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30.25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D056">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45A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860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28.32</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3A4B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A80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12FB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5AD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厂界南</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01B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7B5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-29.59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71A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F1C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34.48</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9B2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8F0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7F9B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482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厂界西</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6F0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240C">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537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3F2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39.29</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153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E0E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2A711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AF1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厂界北</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872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26.57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A168">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58.56</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55E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5E83">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22.92</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0A69">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AE8E">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67EE4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544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1C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4C5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C53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5AF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33.52</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FE6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770E">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0EA45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AB7A">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E9A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39.61</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2DB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-21.31</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200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9F7E">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32.43</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B17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2C8C">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5CD01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B9A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芭蕉树2#</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D2C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40.97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96D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4D6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3E46">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27.29</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6E4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6410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6F4D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B97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C18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27D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27.97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135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5F4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35.54</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902C">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B40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50</w:t>
                  </w:r>
                </w:p>
              </w:tc>
            </w:tr>
          </w:tbl>
          <w:p w14:paraId="11B937D0">
            <w:pPr>
              <w:pStyle w:val="10"/>
              <w:keepNext w:val="0"/>
              <w:keepLines w:val="0"/>
              <w:pageBreakBefore w:val="0"/>
              <w:widowControl/>
              <w:suppressLineNumbers w:val="0"/>
              <w:tabs>
                <w:tab w:val="left" w:pos="4648"/>
              </w:tabs>
              <w:kinsoku/>
              <w:wordWrap w:val="0"/>
              <w:overflowPunct/>
              <w:topLinePunct/>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由上述预测结果可知，项目最大噪声为</w:t>
            </w:r>
            <w:r>
              <w:rPr>
                <w:rFonts w:hint="eastAsia" w:ascii="Times New Roman" w:hAnsi="Times New Roman" w:eastAsia="宋体" w:cs="Times New Roman"/>
                <w:b w:val="0"/>
                <w:bCs w:val="0"/>
                <w:color w:val="auto"/>
                <w:sz w:val="24"/>
                <w:lang w:val="en-US" w:eastAsia="zh-CN"/>
              </w:rPr>
              <w:t>西厂界贡献值</w:t>
            </w:r>
            <w:r>
              <w:rPr>
                <w:rFonts w:hint="eastAsia" w:ascii="Times New Roman" w:hAnsi="Times New Roman" w:cs="Times New Roman"/>
                <w:b w:val="0"/>
                <w:bCs w:val="0"/>
                <w:color w:val="auto"/>
                <w:sz w:val="24"/>
                <w:lang w:val="en-US" w:eastAsia="zh-CN"/>
              </w:rPr>
              <w:t>39.29</w:t>
            </w:r>
            <w:r>
              <w:rPr>
                <w:rFonts w:hint="default" w:ascii="Times New Roman" w:hAnsi="Times New Roman" w:eastAsia="宋体" w:cs="Times New Roman"/>
                <w:b w:val="0"/>
                <w:bCs w:val="0"/>
                <w:color w:val="auto"/>
                <w:sz w:val="24"/>
                <w:lang w:eastAsia="zh-CN"/>
              </w:rPr>
              <w:t>dB（A）</w:t>
            </w:r>
            <w:r>
              <w:rPr>
                <w:rFonts w:hint="eastAsia" w:ascii="Times New Roman" w:hAnsi="Times New Roman" w:eastAsia="宋体" w:cs="Times New Roman"/>
                <w:b w:val="0"/>
                <w:bCs w:val="0"/>
                <w:color w:val="auto"/>
                <w:sz w:val="24"/>
                <w:lang w:val="en-US" w:eastAsia="zh-CN"/>
              </w:rPr>
              <w:t>满足</w:t>
            </w:r>
            <w:r>
              <w:rPr>
                <w:rFonts w:hint="default" w:ascii="Times New Roman" w:hAnsi="Times New Roman" w:eastAsia="宋体" w:cs="Times New Roman"/>
                <w:b w:val="0"/>
                <w:bCs w:val="0"/>
                <w:color w:val="auto"/>
                <w:sz w:val="24"/>
                <w:lang w:eastAsia="zh-CN"/>
              </w:rPr>
              <w:t>《工业企业厂界环境噪声排放标准》（GB12348-2008）中</w:t>
            </w:r>
            <w:r>
              <w:rPr>
                <w:rFonts w:hint="eastAsia" w:ascii="Times New Roman" w:hAnsi="Times New Roman" w:cs="Times New Roman"/>
                <w:b w:val="0"/>
                <w:bCs w:val="0"/>
                <w:color w:val="auto"/>
                <w:sz w:val="24"/>
                <w:lang w:val="en-US" w:eastAsia="zh-CN"/>
              </w:rPr>
              <w:t>2</w:t>
            </w:r>
            <w:r>
              <w:rPr>
                <w:rFonts w:hint="default" w:ascii="Times New Roman" w:hAnsi="Times New Roman" w:eastAsia="宋体" w:cs="Times New Roman"/>
                <w:b w:val="0"/>
                <w:bCs w:val="0"/>
                <w:color w:val="auto"/>
                <w:sz w:val="24"/>
                <w:lang w:eastAsia="zh-CN"/>
              </w:rPr>
              <w:t>类标准昼间≤</w:t>
            </w:r>
            <w:r>
              <w:rPr>
                <w:rFonts w:hint="eastAsia" w:ascii="Times New Roman" w:hAnsi="Times New Roman" w:eastAsia="宋体" w:cs="Times New Roman"/>
                <w:b w:val="0"/>
                <w:bCs w:val="0"/>
                <w:color w:val="auto"/>
                <w:sz w:val="24"/>
                <w:lang w:val="en-US" w:eastAsia="zh-CN"/>
              </w:rPr>
              <w:t>60</w:t>
            </w:r>
            <w:r>
              <w:rPr>
                <w:rFonts w:hint="default" w:ascii="Times New Roman" w:hAnsi="Times New Roman" w:eastAsia="宋体" w:cs="Times New Roman"/>
                <w:b w:val="0"/>
                <w:bCs w:val="0"/>
                <w:color w:val="auto"/>
                <w:sz w:val="24"/>
                <w:lang w:eastAsia="zh-CN"/>
              </w:rPr>
              <w:t>dB（A）</w:t>
            </w:r>
            <w:r>
              <w:rPr>
                <w:rFonts w:hint="eastAsia" w:ascii="Times New Roman" w:hAnsi="Times New Roman" w:eastAsia="宋体" w:cs="Times New Roman"/>
                <w:b w:val="0"/>
                <w:bCs w:val="0"/>
                <w:color w:val="auto"/>
                <w:sz w:val="24"/>
                <w:lang w:val="en-US" w:eastAsia="zh-CN"/>
              </w:rPr>
              <w:t>夜间</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50</w:t>
            </w:r>
            <w:r>
              <w:rPr>
                <w:rFonts w:hint="default" w:ascii="Times New Roman" w:hAnsi="Times New Roman" w:eastAsia="宋体" w:cs="Times New Roman"/>
                <w:b w:val="0"/>
                <w:bCs w:val="0"/>
                <w:color w:val="auto"/>
                <w:sz w:val="24"/>
                <w:lang w:eastAsia="zh-CN"/>
              </w:rPr>
              <w:t>dB（A）</w:t>
            </w:r>
            <w:r>
              <w:rPr>
                <w:rFonts w:hint="eastAsia" w:ascii="Times New Roman" w:hAnsi="Times New Roman" w:eastAsia="宋体" w:cs="Times New Roman"/>
                <w:b w:val="0"/>
                <w:bCs w:val="0"/>
                <w:color w:val="auto"/>
                <w:sz w:val="24"/>
                <w:lang w:val="en-US" w:eastAsia="zh-CN"/>
              </w:rPr>
              <w:t>要求，各</w:t>
            </w:r>
            <w:r>
              <w:rPr>
                <w:rFonts w:hint="default" w:ascii="Times New Roman" w:hAnsi="Times New Roman" w:cs="Times New Roman"/>
                <w:color w:val="auto"/>
                <w:kern w:val="0"/>
                <w:sz w:val="24"/>
                <w:lang w:val="en-US" w:eastAsia="zh-CN"/>
              </w:rPr>
              <w:t>敏感点声环境能够达到</w:t>
            </w:r>
            <w:r>
              <w:rPr>
                <w:rFonts w:hint="default" w:ascii="Times New Roman" w:hAnsi="Times New Roman" w:cs="Times New Roman"/>
                <w:color w:val="auto"/>
                <w:kern w:val="0"/>
                <w:sz w:val="24"/>
              </w:rPr>
              <w:t>《声环境质量标准》（GB3096-2008）2类标准</w:t>
            </w:r>
            <w:r>
              <w:rPr>
                <w:rFonts w:hint="default" w:ascii="Times New Roman" w:hAnsi="Times New Roman" w:cs="Times New Roman"/>
                <w:color w:val="auto"/>
                <w:kern w:val="0"/>
                <w:sz w:val="24"/>
                <w:lang w:eastAsia="zh-CN"/>
              </w:rPr>
              <w:t>限值</w:t>
            </w:r>
            <w:r>
              <w:rPr>
                <w:rFonts w:hint="default" w:ascii="Times New Roman" w:hAnsi="Times New Roman" w:cs="Times New Roman"/>
                <w:color w:val="auto"/>
                <w:kern w:val="0"/>
                <w:sz w:val="24"/>
              </w:rPr>
              <w:t>。</w:t>
            </w:r>
            <w:r>
              <w:rPr>
                <w:rFonts w:hint="default" w:ascii="Times New Roman" w:hAnsi="Times New Roman" w:eastAsia="宋体" w:cs="Times New Roman"/>
                <w:b w:val="0"/>
                <w:bCs w:val="0"/>
                <w:color w:val="auto"/>
                <w:sz w:val="24"/>
                <w:lang w:eastAsia="zh-CN"/>
              </w:rPr>
              <w:t>因此，项目运营期对周边声环境</w:t>
            </w:r>
            <w:r>
              <w:rPr>
                <w:rFonts w:hint="eastAsia" w:ascii="Times New Roman" w:hAnsi="Times New Roman" w:eastAsia="宋体" w:cs="Times New Roman"/>
                <w:b w:val="0"/>
                <w:bCs w:val="0"/>
                <w:color w:val="auto"/>
                <w:sz w:val="24"/>
                <w:lang w:val="en-US" w:eastAsia="zh-CN"/>
              </w:rPr>
              <w:t>及敏感点</w:t>
            </w:r>
            <w:r>
              <w:rPr>
                <w:rFonts w:hint="default" w:ascii="Times New Roman" w:hAnsi="Times New Roman" w:eastAsia="宋体" w:cs="Times New Roman"/>
                <w:b w:val="0"/>
                <w:bCs w:val="0"/>
                <w:color w:val="auto"/>
                <w:sz w:val="24"/>
                <w:lang w:eastAsia="zh-CN"/>
              </w:rPr>
              <w:t>影响较小。</w:t>
            </w:r>
          </w:p>
          <w:p w14:paraId="2FCF1FAE">
            <w:pPr>
              <w:pStyle w:val="32"/>
              <w:numPr>
                <w:ilvl w:val="0"/>
                <w:numId w:val="0"/>
              </w:numPr>
              <w:spacing w:line="360" w:lineRule="auto"/>
              <w:ind w:firstLine="498" w:firstLineChars="200"/>
              <w:rPr>
                <w:rFonts w:hint="eastAsia"/>
                <w:b/>
                <w:bCs/>
                <w:color w:val="auto"/>
                <w:sz w:val="24"/>
                <w:szCs w:val="24"/>
                <w:lang w:val="en-US" w:eastAsia="zh-CN"/>
              </w:rPr>
            </w:pPr>
            <w:r>
              <w:rPr>
                <w:rFonts w:hint="eastAsia" w:ascii="Times New Roman" w:hAnsi="Times New Roman" w:eastAsia="宋体" w:cs="Times New Roman"/>
                <w:b/>
                <w:bCs/>
                <w:color w:val="auto"/>
                <w:spacing w:val="4"/>
                <w:kern w:val="24"/>
                <w:sz w:val="24"/>
                <w:szCs w:val="24"/>
                <w:lang w:val="en-US" w:eastAsia="zh-CN" w:bidi="ar-SA"/>
              </w:rPr>
              <w:t>四、</w:t>
            </w:r>
            <w:r>
              <w:rPr>
                <w:rFonts w:hint="eastAsia"/>
                <w:b/>
                <w:bCs/>
                <w:color w:val="auto"/>
                <w:sz w:val="24"/>
                <w:szCs w:val="24"/>
                <w:lang w:val="en-US" w:eastAsia="zh-CN"/>
              </w:rPr>
              <w:t>固体废物</w:t>
            </w:r>
          </w:p>
          <w:p w14:paraId="1224F14C">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1、源强核算</w:t>
            </w:r>
          </w:p>
          <w:p w14:paraId="4056D1D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项目运营期固体废弃物主要包括医疗废弃物、生活垃圾以及</w:t>
            </w:r>
            <w:r>
              <w:rPr>
                <w:rFonts w:hint="default" w:ascii="Times New Roman" w:hAnsi="Times New Roman" w:cs="Times New Roman"/>
                <w:color w:val="auto"/>
                <w:sz w:val="24"/>
                <w:szCs w:val="24"/>
                <w:lang w:val="en-US" w:eastAsia="zh-CN"/>
              </w:rPr>
              <w:t>污水处理设施</w:t>
            </w:r>
            <w:r>
              <w:rPr>
                <w:rFonts w:hint="default" w:ascii="Times New Roman" w:hAnsi="Times New Roman" w:cs="Times New Roman"/>
                <w:color w:val="auto"/>
                <w:sz w:val="24"/>
                <w:szCs w:val="24"/>
              </w:rPr>
              <w:t>污泥</w:t>
            </w:r>
            <w:r>
              <w:rPr>
                <w:rFonts w:hint="eastAsia" w:cs="Times New Roman"/>
                <w:color w:val="auto"/>
                <w:sz w:val="24"/>
                <w:szCs w:val="24"/>
                <w:lang w:eastAsia="zh-CN"/>
              </w:rPr>
              <w:t>、</w:t>
            </w:r>
            <w:r>
              <w:rPr>
                <w:rFonts w:hint="eastAsia" w:cs="Times New Roman"/>
                <w:color w:val="auto"/>
                <w:sz w:val="24"/>
                <w:szCs w:val="24"/>
                <w:lang w:val="en-US" w:eastAsia="zh-CN"/>
              </w:rPr>
              <w:t>药品废包装、餐厨垃圾、油水分离器油泥等。</w:t>
            </w:r>
          </w:p>
          <w:p w14:paraId="04B98760">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（1）生活垃圾</w:t>
            </w:r>
          </w:p>
          <w:p w14:paraId="6B8FCADC">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医院日常生活垃圾来源于</w:t>
            </w:r>
            <w:r>
              <w:rPr>
                <w:rFonts w:hint="default" w:ascii="Times New Roman" w:hAnsi="Times New Roman" w:cs="Times New Roman"/>
                <w:color w:val="auto"/>
                <w:sz w:val="24"/>
                <w:szCs w:val="24"/>
                <w:lang w:eastAsia="zh-CN"/>
              </w:rPr>
              <w:t>医院职工</w:t>
            </w:r>
            <w:r>
              <w:rPr>
                <w:rFonts w:hint="default" w:ascii="Times New Roman" w:hAnsi="Times New Roman" w:cs="Times New Roman"/>
                <w:color w:val="auto"/>
                <w:sz w:val="24"/>
                <w:szCs w:val="24"/>
              </w:rPr>
              <w:t>、门诊病患及住院病患</w:t>
            </w:r>
            <w:r>
              <w:rPr>
                <w:rFonts w:hint="default" w:ascii="Times New Roman" w:hAnsi="Times New Roman" w:cs="Times New Roman"/>
                <w:color w:val="auto"/>
                <w:sz w:val="24"/>
                <w:szCs w:val="24"/>
                <w:lang w:eastAsia="zh-CN"/>
              </w:rPr>
              <w:t>。</w:t>
            </w:r>
          </w:p>
          <w:p w14:paraId="62853930">
            <w:pPr>
              <w:spacing w:line="360" w:lineRule="auto"/>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4"/>
                <w:lang w:eastAsia="zh-CN"/>
              </w:rPr>
              <w:t>医院职工：</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设置</w:t>
            </w:r>
            <w:r>
              <w:rPr>
                <w:rFonts w:hint="default" w:ascii="Times New Roman" w:hAnsi="Times New Roman" w:cs="Times New Roman"/>
                <w:color w:val="auto"/>
                <w:sz w:val="24"/>
                <w:szCs w:val="24"/>
                <w:lang w:val="en-US" w:eastAsia="zh-CN"/>
              </w:rPr>
              <w:t>员工</w:t>
            </w:r>
            <w:r>
              <w:rPr>
                <w:rFonts w:hint="eastAsia" w:cs="Times New Roman"/>
                <w:color w:val="auto"/>
                <w:sz w:val="24"/>
                <w:szCs w:val="24"/>
                <w:lang w:val="en-US" w:eastAsia="zh-CN"/>
              </w:rPr>
              <w:t>48</w:t>
            </w:r>
            <w:r>
              <w:rPr>
                <w:rFonts w:hint="default" w:ascii="Times New Roman" w:hAnsi="Times New Roman" w:cs="Times New Roman"/>
                <w:color w:val="auto"/>
                <w:sz w:val="24"/>
                <w:szCs w:val="24"/>
              </w:rPr>
              <w:t>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其中</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人在项目内食宿，其余</w:t>
            </w:r>
            <w:r>
              <w:rPr>
                <w:rFonts w:hint="eastAsia" w:cs="Times New Roman"/>
                <w:color w:val="auto"/>
                <w:sz w:val="24"/>
                <w:szCs w:val="24"/>
                <w:lang w:val="en-US" w:eastAsia="zh-CN"/>
              </w:rPr>
              <w:t>38</w:t>
            </w:r>
            <w:r>
              <w:rPr>
                <w:rFonts w:hint="default" w:ascii="Times New Roman" w:hAnsi="Times New Roman" w:eastAsia="宋体" w:cs="Times New Roman"/>
                <w:color w:val="auto"/>
                <w:sz w:val="24"/>
                <w:szCs w:val="22"/>
                <w:lang w:val="en-US" w:eastAsia="zh-CN"/>
              </w:rPr>
              <w:t>人不在项目内</w:t>
            </w:r>
            <w:r>
              <w:rPr>
                <w:rFonts w:hint="eastAsia" w:cs="Times New Roman"/>
                <w:color w:val="auto"/>
                <w:sz w:val="24"/>
                <w:szCs w:val="22"/>
                <w:lang w:val="en-US" w:eastAsia="zh-CN"/>
              </w:rPr>
              <w:t>住宿</w:t>
            </w:r>
            <w:r>
              <w:rPr>
                <w:rFonts w:hint="default" w:ascii="Times New Roman" w:hAnsi="Times New Roman" w:eastAsia="宋体" w:cs="Times New Roman"/>
                <w:color w:val="auto"/>
                <w:sz w:val="24"/>
                <w:szCs w:val="22"/>
                <w:lang w:val="en-US" w:eastAsia="zh-CN"/>
              </w:rPr>
              <w:t>，在项目内食宿员工生活垃圾产生量按</w:t>
            </w:r>
            <w:r>
              <w:rPr>
                <w:rFonts w:hint="eastAsia" w:cs="Times New Roman"/>
                <w:color w:val="auto"/>
                <w:sz w:val="24"/>
                <w:szCs w:val="22"/>
                <w:lang w:val="en-US" w:eastAsia="zh-CN"/>
              </w:rPr>
              <w:t>0.5</w:t>
            </w:r>
            <w:r>
              <w:rPr>
                <w:rFonts w:hint="default" w:ascii="Times New Roman" w:hAnsi="Times New Roman" w:eastAsia="宋体" w:cs="Times New Roman"/>
                <w:color w:val="auto"/>
                <w:sz w:val="24"/>
                <w:szCs w:val="22"/>
                <w:lang w:val="en-US" w:eastAsia="zh-CN"/>
              </w:rPr>
              <w:t>kg/人·d计，不在项目内</w:t>
            </w:r>
            <w:r>
              <w:rPr>
                <w:rFonts w:hint="eastAsia" w:cs="Times New Roman"/>
                <w:color w:val="auto"/>
                <w:sz w:val="24"/>
                <w:szCs w:val="22"/>
                <w:lang w:val="en-US" w:eastAsia="zh-CN"/>
              </w:rPr>
              <w:t>住</w:t>
            </w:r>
            <w:r>
              <w:rPr>
                <w:rFonts w:hint="default" w:ascii="Times New Roman" w:hAnsi="Times New Roman" w:eastAsia="宋体" w:cs="Times New Roman"/>
                <w:color w:val="auto"/>
                <w:sz w:val="24"/>
                <w:szCs w:val="22"/>
                <w:lang w:val="en-US" w:eastAsia="zh-CN"/>
              </w:rPr>
              <w:t>宿生活垃圾产生量按</w:t>
            </w:r>
            <w:r>
              <w:rPr>
                <w:rFonts w:hint="eastAsia" w:cs="Times New Roman"/>
                <w:color w:val="auto"/>
                <w:sz w:val="24"/>
                <w:szCs w:val="22"/>
                <w:lang w:val="en-US" w:eastAsia="zh-CN"/>
              </w:rPr>
              <w:t>0.2</w:t>
            </w:r>
            <w:r>
              <w:rPr>
                <w:rFonts w:hint="default" w:ascii="Times New Roman" w:hAnsi="Times New Roman" w:eastAsia="宋体" w:cs="Times New Roman"/>
                <w:color w:val="auto"/>
                <w:sz w:val="24"/>
                <w:szCs w:val="22"/>
                <w:lang w:val="en-US" w:eastAsia="zh-CN"/>
              </w:rPr>
              <w:t>kg/（人·d）计，则员工生活垃圾产生量为</w:t>
            </w:r>
            <w:r>
              <w:rPr>
                <w:rFonts w:hint="eastAsia" w:cs="Times New Roman"/>
                <w:color w:val="auto"/>
                <w:sz w:val="24"/>
                <w:szCs w:val="22"/>
                <w:lang w:val="en-US" w:eastAsia="zh-CN"/>
              </w:rPr>
              <w:t>12.6</w:t>
            </w:r>
            <w:r>
              <w:rPr>
                <w:rFonts w:hint="default" w:ascii="Times New Roman" w:hAnsi="Times New Roman" w:eastAsia="宋体" w:cs="Times New Roman"/>
                <w:color w:val="auto"/>
                <w:sz w:val="24"/>
                <w:szCs w:val="22"/>
                <w:lang w:val="en-US" w:eastAsia="zh-CN"/>
              </w:rPr>
              <w:t>kg/d</w:t>
            </w:r>
            <w:r>
              <w:rPr>
                <w:rFonts w:hint="eastAsia" w:eastAsia="宋体" w:cs="Times New Roman"/>
                <w:color w:val="auto"/>
                <w:sz w:val="24"/>
                <w:szCs w:val="22"/>
                <w:lang w:val="en-US" w:eastAsia="zh-CN"/>
              </w:rPr>
              <w:t>，</w:t>
            </w:r>
            <w:r>
              <w:rPr>
                <w:rFonts w:hint="eastAsia" w:cs="Times New Roman"/>
                <w:color w:val="auto"/>
                <w:sz w:val="24"/>
                <w:szCs w:val="22"/>
                <w:lang w:val="en-US" w:eastAsia="zh-CN"/>
              </w:rPr>
              <w:t>4.599</w:t>
            </w:r>
            <w:r>
              <w:rPr>
                <w:rFonts w:hint="default" w:ascii="Times New Roman" w:hAnsi="Times New Roman" w:eastAsia="宋体" w:cs="Times New Roman"/>
                <w:color w:val="auto"/>
                <w:sz w:val="24"/>
                <w:szCs w:val="22"/>
                <w:lang w:val="en-US" w:eastAsia="zh-CN"/>
              </w:rPr>
              <w:t>t/a。</w:t>
            </w:r>
          </w:p>
          <w:p w14:paraId="74CC2929">
            <w:pPr>
              <w:spacing w:line="360" w:lineRule="auto"/>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4"/>
              </w:rPr>
              <w:t>门诊患者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项目门诊患者</w:t>
            </w:r>
            <w:r>
              <w:rPr>
                <w:rFonts w:hint="eastAsia" w:cs="Times New Roman"/>
                <w:color w:val="auto"/>
                <w:sz w:val="24"/>
                <w:szCs w:val="24"/>
                <w:lang w:val="en-US" w:eastAsia="zh-CN"/>
              </w:rPr>
              <w:t>10</w:t>
            </w:r>
            <w:r>
              <w:rPr>
                <w:rFonts w:hint="default" w:ascii="Times New Roman" w:hAnsi="Times New Roman" w:cs="Times New Roman"/>
                <w:color w:val="auto"/>
                <w:sz w:val="24"/>
                <w:szCs w:val="24"/>
              </w:rPr>
              <w:t>人/</w:t>
            </w:r>
            <w:r>
              <w:rPr>
                <w:rFonts w:hint="eastAsia" w:cs="Times New Roman"/>
                <w:color w:val="auto"/>
                <w:sz w:val="24"/>
                <w:szCs w:val="24"/>
                <w:lang w:val="en-US" w:eastAsia="zh-CN"/>
              </w:rPr>
              <w:t>月</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2"/>
                <w:lang w:val="en-US" w:eastAsia="zh-CN"/>
              </w:rPr>
              <w:t>生活垃圾产生量按0.1kg/（人·d）计，则门诊患者生活垃圾产生量为0.</w:t>
            </w:r>
            <w:r>
              <w:rPr>
                <w:rFonts w:hint="eastAsia" w:cs="Times New Roman"/>
                <w:color w:val="auto"/>
                <w:sz w:val="24"/>
                <w:szCs w:val="22"/>
                <w:lang w:val="en-US" w:eastAsia="zh-CN"/>
              </w:rPr>
              <w:t>033</w:t>
            </w:r>
            <w:r>
              <w:rPr>
                <w:rFonts w:hint="default" w:ascii="Times New Roman" w:hAnsi="Times New Roman" w:eastAsia="宋体" w:cs="Times New Roman"/>
                <w:color w:val="auto"/>
                <w:sz w:val="24"/>
                <w:szCs w:val="22"/>
                <w:lang w:val="en-US" w:eastAsia="zh-CN"/>
              </w:rPr>
              <w:t>kg/d，</w:t>
            </w:r>
            <w:r>
              <w:rPr>
                <w:rFonts w:hint="eastAsia" w:cs="Times New Roman"/>
                <w:color w:val="auto"/>
                <w:sz w:val="24"/>
                <w:szCs w:val="22"/>
                <w:lang w:val="en-US" w:eastAsia="zh-CN"/>
              </w:rPr>
              <w:t>0.01</w:t>
            </w:r>
            <w:r>
              <w:rPr>
                <w:rFonts w:hint="default" w:ascii="Times New Roman" w:hAnsi="Times New Roman" w:eastAsia="宋体" w:cs="Times New Roman"/>
                <w:color w:val="auto"/>
                <w:sz w:val="24"/>
                <w:szCs w:val="22"/>
                <w:lang w:val="en-US" w:eastAsia="zh-CN"/>
              </w:rPr>
              <w:t>t/a。</w:t>
            </w:r>
          </w:p>
          <w:p w14:paraId="4277D46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住院病患</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项目设置床位</w:t>
            </w:r>
            <w:r>
              <w:rPr>
                <w:rFonts w:hint="eastAsia" w:cs="Times New Roman"/>
                <w:color w:val="auto"/>
                <w:sz w:val="24"/>
                <w:szCs w:val="24"/>
                <w:lang w:val="en-US" w:eastAsia="zh-CN"/>
              </w:rPr>
              <w:t>108</w:t>
            </w:r>
            <w:r>
              <w:rPr>
                <w:rFonts w:hint="default" w:ascii="Times New Roman" w:hAnsi="Times New Roman" w:cs="Times New Roman"/>
                <w:color w:val="auto"/>
                <w:sz w:val="24"/>
                <w:szCs w:val="24"/>
                <w:lang w:val="en-US" w:eastAsia="zh-CN"/>
              </w:rPr>
              <w:t>张，每张床位生活垃圾产生量按</w:t>
            </w:r>
            <w:r>
              <w:rPr>
                <w:rFonts w:hint="eastAsia" w:cs="Times New Roman"/>
                <w:color w:val="auto"/>
                <w:sz w:val="24"/>
                <w:szCs w:val="22"/>
                <w:lang w:val="en-US" w:eastAsia="zh-CN"/>
              </w:rPr>
              <w:t>0.5</w:t>
            </w:r>
            <w:r>
              <w:rPr>
                <w:rFonts w:hint="default" w:ascii="Times New Roman" w:hAnsi="Times New Roman" w:eastAsia="宋体" w:cs="Times New Roman"/>
                <w:color w:val="auto"/>
                <w:sz w:val="24"/>
                <w:szCs w:val="22"/>
                <w:lang w:val="en-US" w:eastAsia="zh-CN"/>
              </w:rPr>
              <w:t>kg/（人·d）计，</w:t>
            </w:r>
            <w:r>
              <w:rPr>
                <w:rFonts w:hint="default" w:ascii="Times New Roman" w:hAnsi="Times New Roman" w:cs="Times New Roman"/>
                <w:color w:val="auto"/>
                <w:sz w:val="24"/>
                <w:szCs w:val="24"/>
                <w:lang w:val="en-US" w:eastAsia="zh-CN"/>
              </w:rPr>
              <w:t>按照满负荷计算，则病患产生生活垃圾量为</w:t>
            </w:r>
            <w:r>
              <w:rPr>
                <w:rFonts w:hint="eastAsia" w:cs="Times New Roman"/>
                <w:color w:val="auto"/>
                <w:sz w:val="24"/>
                <w:szCs w:val="24"/>
                <w:lang w:val="en-US" w:eastAsia="zh-CN"/>
              </w:rPr>
              <w:t>54</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19.71</w:t>
            </w:r>
            <w:r>
              <w:rPr>
                <w:rFonts w:hint="default" w:ascii="Times New Roman" w:hAnsi="Times New Roman" w:cs="Times New Roman"/>
                <w:color w:val="auto"/>
                <w:sz w:val="24"/>
                <w:szCs w:val="24"/>
              </w:rPr>
              <w:t>t/a。</w:t>
            </w:r>
          </w:p>
          <w:p w14:paraId="3F87CB0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综上，项目内产生生活垃圾量为</w:t>
            </w:r>
            <w:r>
              <w:rPr>
                <w:rFonts w:hint="eastAsia" w:cs="Times New Roman"/>
                <w:color w:val="auto"/>
                <w:sz w:val="24"/>
                <w:szCs w:val="24"/>
                <w:lang w:val="en-US" w:eastAsia="zh-CN"/>
              </w:rPr>
              <w:t>66.633</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24.321</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生活垃圾统一分类收集后委托环卫部门清运。</w:t>
            </w:r>
          </w:p>
          <w:p w14:paraId="092D6CA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）污水处理设施污泥</w:t>
            </w:r>
          </w:p>
          <w:p w14:paraId="5648CB1F">
            <w:pPr>
              <w:pStyle w:val="12"/>
              <w:numPr>
                <w:ilvl w:val="0"/>
                <w:numId w:val="0"/>
              </w:numPr>
              <w:bidi w:val="0"/>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根据《第一次全国污染源普查集中式污染治理设施产排污系数》中工业废水集中处理设施的物化与生化污泥综合产生系数表，医药工业的含水污泥产生系数为16.7（单位：吨/万吨-废水处理量）</w:t>
            </w:r>
            <w:r>
              <w:rPr>
                <w:rFonts w:hint="eastAsia" w:ascii="Times New Roman" w:hAnsi="Times New Roman" w:eastAsia="宋体" w:cs="Times New Roman"/>
                <w:color w:val="auto"/>
                <w:sz w:val="24"/>
                <w:szCs w:val="24"/>
                <w:lang w:val="en-US" w:eastAsia="zh-CN"/>
              </w:rPr>
              <w:t>。</w:t>
            </w:r>
          </w:p>
          <w:p w14:paraId="30B44400">
            <w:pPr>
              <w:pStyle w:val="12"/>
              <w:numPr>
                <w:ilvl w:val="0"/>
                <w:numId w:val="0"/>
              </w:numPr>
              <w:bidi w:val="0"/>
              <w:ind w:firstLine="480" w:firstLineChars="20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sz w:val="24"/>
                <w:szCs w:val="24"/>
                <w:lang w:val="en-US" w:eastAsia="zh-CN"/>
              </w:rPr>
              <w:t>本项目的废水均进入</w:t>
            </w:r>
            <w:r>
              <w:rPr>
                <w:rFonts w:hint="default" w:ascii="Times New Roman" w:hAnsi="Times New Roman" w:eastAsia="宋体" w:cs="Times New Roman"/>
                <w:color w:val="auto"/>
                <w:sz w:val="24"/>
                <w:szCs w:val="24"/>
                <w:lang w:eastAsia="zh-CN"/>
              </w:rPr>
              <w:t>化粪池、</w:t>
            </w:r>
            <w:r>
              <w:rPr>
                <w:rFonts w:hint="default" w:ascii="Times New Roman" w:hAnsi="Times New Roman" w:eastAsia="宋体" w:cs="Times New Roman"/>
                <w:color w:val="auto"/>
                <w:sz w:val="24"/>
                <w:szCs w:val="24"/>
                <w:lang w:val="en-US" w:eastAsia="zh-CN"/>
              </w:rPr>
              <w:t>污水处理站</w:t>
            </w:r>
            <w:r>
              <w:rPr>
                <w:rFonts w:hint="default" w:ascii="Times New Roman" w:hAnsi="Times New Roman" w:eastAsia="宋体" w:cs="Times New Roman"/>
                <w:color w:val="auto"/>
                <w:sz w:val="24"/>
                <w:szCs w:val="24"/>
                <w:lang w:eastAsia="zh-CN"/>
              </w:rPr>
              <w:t>进行处理，</w:t>
            </w:r>
            <w:r>
              <w:rPr>
                <w:rFonts w:hint="default" w:ascii="Times New Roman" w:hAnsi="Times New Roman" w:eastAsia="宋体" w:cs="Times New Roman"/>
                <w:color w:val="auto"/>
                <w:sz w:val="24"/>
                <w:szCs w:val="24"/>
                <w:lang w:val="en-US" w:eastAsia="zh-CN"/>
              </w:rPr>
              <w:t>故污水处理设施污泥以整个院区的污水进行核算，整个院区</w:t>
            </w:r>
            <w:r>
              <w:rPr>
                <w:rFonts w:hint="default" w:ascii="Times New Roman" w:hAnsi="Times New Roman" w:eastAsia="宋体" w:cs="Times New Roman"/>
                <w:color w:val="auto"/>
                <w:sz w:val="24"/>
                <w:szCs w:val="24"/>
                <w:lang w:eastAsia="zh-CN"/>
              </w:rPr>
              <w:t>进污水处理设施的</w:t>
            </w:r>
            <w:r>
              <w:rPr>
                <w:rFonts w:hint="default" w:ascii="Times New Roman" w:hAnsi="Times New Roman" w:eastAsia="宋体" w:cs="Times New Roman"/>
                <w:color w:val="auto"/>
                <w:sz w:val="24"/>
                <w:szCs w:val="24"/>
              </w:rPr>
              <w:t>废水量</w:t>
            </w:r>
            <w:r>
              <w:rPr>
                <w:rFonts w:hint="default" w:ascii="Times New Roman" w:hAnsi="Times New Roman" w:eastAsia="宋体" w:cs="Times New Roman"/>
                <w:color w:val="auto"/>
                <w:sz w:val="24"/>
                <w:szCs w:val="24"/>
                <w:lang w:eastAsia="zh-CN"/>
              </w:rPr>
              <w:t>约</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11143.2445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val="0"/>
                <w:color w:val="auto"/>
                <w:lang w:val="en-US" w:eastAsia="zh-CN"/>
              </w:rPr>
              <w:t>，则污泥产生量约为</w:t>
            </w:r>
            <w:r>
              <w:rPr>
                <w:rFonts w:hint="eastAsia" w:cs="Times New Roman"/>
                <w:b w:val="0"/>
                <w:bCs w:val="0"/>
                <w:color w:val="auto"/>
                <w:lang w:val="en-US" w:eastAsia="zh-CN"/>
              </w:rPr>
              <w:t>18.61</w:t>
            </w:r>
            <w:r>
              <w:rPr>
                <w:rFonts w:hint="default" w:ascii="Times New Roman" w:hAnsi="Times New Roman" w:eastAsia="宋体" w:cs="Times New Roman"/>
                <w:b w:val="0"/>
                <w:bCs w:val="0"/>
                <w:color w:val="auto"/>
                <w:lang w:val="en-US" w:eastAsia="zh-CN"/>
              </w:rPr>
              <w:t>t/a。</w:t>
            </w:r>
          </w:p>
          <w:p w14:paraId="3A7FE46C">
            <w:pPr>
              <w:pStyle w:val="12"/>
              <w:numPr>
                <w:ilvl w:val="0"/>
                <w:numId w:val="0"/>
              </w:numPr>
              <w:bidi w:val="0"/>
              <w:ind w:firstLine="480" w:firstLineChars="200"/>
              <w:rPr>
                <w:rFonts w:hint="eastAsia"/>
                <w:color w:val="auto"/>
                <w:lang w:val="en-US" w:eastAsia="zh-CN"/>
              </w:rPr>
            </w:pPr>
            <w:r>
              <w:rPr>
                <w:rFonts w:hint="default" w:ascii="Times New Roman" w:hAnsi="Times New Roman" w:eastAsia="宋体" w:cs="Times New Roman"/>
                <w:color w:val="auto"/>
                <w:sz w:val="24"/>
                <w:szCs w:val="24"/>
              </w:rPr>
              <w:t>污水处理设施产生的污泥</w:t>
            </w:r>
            <w:r>
              <w:rPr>
                <w:rFonts w:hint="default" w:ascii="Times New Roman" w:hAnsi="Times New Roman" w:eastAsia="宋体" w:cs="Times New Roman"/>
                <w:b w:val="0"/>
                <w:bCs w:val="0"/>
                <w:color w:val="auto"/>
                <w:lang w:val="en-US" w:eastAsia="zh-CN"/>
              </w:rPr>
              <w:t>参照《国家危险废物名录（2025年版）》，属于HW49其他废物中环境治理（772-006-49）采用物理、化学、物理化学或生物方法处理或处置毒性或感染性危险废物过程中产生的废水处理污泥、残渣（液）。</w:t>
            </w:r>
            <w:r>
              <w:rPr>
                <w:rFonts w:hint="default" w:ascii="Times New Roman" w:hAnsi="Times New Roman" w:eastAsia="宋体" w:cs="Times New Roman"/>
                <w:color w:val="auto"/>
                <w:sz w:val="24"/>
                <w:szCs w:val="24"/>
              </w:rPr>
              <w:t>污水处理设施产生的污泥消毒后委托</w:t>
            </w:r>
            <w:r>
              <w:rPr>
                <w:rFonts w:hint="eastAsia" w:cs="Times New Roman"/>
                <w:color w:val="auto"/>
                <w:sz w:val="24"/>
                <w:szCs w:val="24"/>
                <w:lang w:val="en-US" w:eastAsia="zh-CN"/>
              </w:rPr>
              <w:t>直接由</w:t>
            </w:r>
            <w:r>
              <w:rPr>
                <w:rFonts w:hint="default" w:ascii="Times New Roman" w:hAnsi="Times New Roman" w:eastAsia="宋体" w:cs="Times New Roman"/>
                <w:color w:val="auto"/>
                <w:sz w:val="24"/>
                <w:szCs w:val="24"/>
                <w:lang w:val="en-US" w:eastAsia="zh-CN"/>
              </w:rPr>
              <w:t>有资质单位进行</w:t>
            </w:r>
            <w:r>
              <w:rPr>
                <w:rFonts w:hint="default" w:ascii="Times New Roman" w:hAnsi="Times New Roman" w:eastAsia="宋体" w:cs="Times New Roman"/>
                <w:color w:val="auto"/>
                <w:sz w:val="24"/>
                <w:szCs w:val="24"/>
                <w:lang w:eastAsia="zh-CN"/>
              </w:rPr>
              <w:t>清</w:t>
            </w:r>
            <w:r>
              <w:rPr>
                <w:rFonts w:hint="eastAsia" w:ascii="Times New Roman" w:hAnsi="Times New Roman" w:eastAsia="宋体" w:cs="Times New Roman"/>
                <w:color w:val="auto"/>
                <w:sz w:val="24"/>
                <w:szCs w:val="24"/>
                <w:lang w:val="en-US" w:eastAsia="zh-CN"/>
              </w:rPr>
              <w:t>掏</w:t>
            </w:r>
            <w:r>
              <w:rPr>
                <w:rFonts w:hint="default" w:ascii="Times New Roman" w:hAnsi="Times New Roman" w:eastAsia="宋体" w:cs="Times New Roman"/>
                <w:color w:val="auto"/>
                <w:sz w:val="24"/>
                <w:szCs w:val="24"/>
              </w:rPr>
              <w:t>处置</w:t>
            </w:r>
            <w:r>
              <w:rPr>
                <w:rFonts w:hint="eastAsia" w:cs="Times New Roman"/>
                <w:color w:val="auto"/>
                <w:sz w:val="24"/>
                <w:szCs w:val="24"/>
                <w:lang w:eastAsia="zh-CN"/>
              </w:rPr>
              <w:t>，</w:t>
            </w:r>
            <w:r>
              <w:rPr>
                <w:rFonts w:hint="eastAsia" w:cs="Times New Roman"/>
                <w:color w:val="auto"/>
                <w:sz w:val="24"/>
                <w:szCs w:val="24"/>
                <w:lang w:val="en-US" w:eastAsia="zh-CN"/>
              </w:rPr>
              <w:t>不再院内暂存</w:t>
            </w:r>
            <w:r>
              <w:rPr>
                <w:rFonts w:hint="default" w:ascii="Times New Roman" w:hAnsi="Times New Roman" w:eastAsia="宋体" w:cs="Times New Roman"/>
                <w:color w:val="auto"/>
                <w:sz w:val="24"/>
                <w:szCs w:val="24"/>
              </w:rPr>
              <w:t>。</w:t>
            </w:r>
            <w:r>
              <w:rPr>
                <w:rFonts w:hint="default"/>
                <w:color w:val="auto"/>
                <w:lang w:val="en-US" w:eastAsia="zh-CN"/>
              </w:rPr>
              <w:t>化粪池及污水处理站污泥执行《医疗机构水污染</w:t>
            </w:r>
            <w:r>
              <w:rPr>
                <w:rFonts w:hint="eastAsia"/>
                <w:color w:val="auto"/>
                <w:lang w:val="en-US" w:eastAsia="zh-CN"/>
              </w:rPr>
              <w:t>物</w:t>
            </w:r>
            <w:r>
              <w:rPr>
                <w:rFonts w:hint="default"/>
                <w:color w:val="auto"/>
                <w:lang w:val="en-US" w:eastAsia="zh-CN"/>
              </w:rPr>
              <w:t>排放标准》（GB18466-2005）</w:t>
            </w:r>
            <w:r>
              <w:rPr>
                <w:rFonts w:hint="eastAsia"/>
                <w:color w:val="auto"/>
                <w:lang w:val="en-US" w:eastAsia="zh-CN"/>
              </w:rPr>
              <w:t>表4</w:t>
            </w:r>
            <w:r>
              <w:rPr>
                <w:rFonts w:hint="default"/>
                <w:color w:val="auto"/>
                <w:lang w:val="en-US" w:eastAsia="zh-CN"/>
              </w:rPr>
              <w:t>医疗机构污泥控制标准。</w:t>
            </w:r>
            <w:r>
              <w:rPr>
                <w:rFonts w:hint="eastAsia"/>
                <w:color w:val="auto"/>
                <w:lang w:val="en-US" w:eastAsia="zh-CN"/>
              </w:rPr>
              <w:t>具体控制标准详见下表：</w:t>
            </w:r>
          </w:p>
          <w:p w14:paraId="40E2A9C7">
            <w:pPr>
              <w:pStyle w:val="12"/>
              <w:numPr>
                <w:ilvl w:val="0"/>
                <w:numId w:val="0"/>
              </w:numPr>
              <w:bidi w:val="0"/>
              <w:ind w:left="0" w:leftChars="0" w:right="0" w:rightChars="0" w:firstLine="0" w:firstLineChars="0"/>
              <w:jc w:val="center"/>
              <w:rPr>
                <w:rFonts w:hint="eastAsia"/>
                <w:b/>
                <w:bCs/>
                <w:color w:val="auto"/>
                <w:sz w:val="21"/>
                <w:szCs w:val="21"/>
                <w:lang w:val="en-US" w:eastAsia="zh-CN"/>
              </w:rPr>
            </w:pPr>
            <w:r>
              <w:rPr>
                <w:rFonts w:hint="eastAsia"/>
                <w:b/>
                <w:bCs/>
                <w:color w:val="auto"/>
                <w:sz w:val="21"/>
                <w:szCs w:val="21"/>
                <w:lang w:val="en-US" w:eastAsia="zh-CN"/>
              </w:rPr>
              <w:t>表4-10  医疗机构污泥控制标准</w:t>
            </w:r>
          </w:p>
          <w:tbl>
            <w:tblPr>
              <w:tblStyle w:val="25"/>
              <w:tblW w:w="8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357"/>
              <w:gridCol w:w="1411"/>
              <w:gridCol w:w="1173"/>
              <w:gridCol w:w="1245"/>
              <w:gridCol w:w="1391"/>
            </w:tblGrid>
            <w:tr w14:paraId="0728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dxa"/>
                  <w:vAlign w:val="center"/>
                </w:tcPr>
                <w:p w14:paraId="0BEEA41E">
                  <w:pPr>
                    <w:pStyle w:val="12"/>
                    <w:numPr>
                      <w:ilvl w:val="0"/>
                      <w:numId w:val="0"/>
                    </w:numPr>
                    <w:bidi w:val="0"/>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医疗机构类别</w:t>
                  </w:r>
                </w:p>
              </w:tc>
              <w:tc>
                <w:tcPr>
                  <w:tcW w:w="1357" w:type="dxa"/>
                  <w:vAlign w:val="center"/>
                </w:tcPr>
                <w:p w14:paraId="58159649">
                  <w:pPr>
                    <w:pStyle w:val="12"/>
                    <w:numPr>
                      <w:ilvl w:val="0"/>
                      <w:numId w:val="0"/>
                    </w:numPr>
                    <w:bidi w:val="0"/>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粪大肠菌群数/(MPN</w:t>
                  </w:r>
                  <w:r>
                    <w:rPr>
                      <w:rFonts w:hint="eastAsia"/>
                      <w:b/>
                      <w:bCs/>
                      <w:color w:val="auto"/>
                      <w:sz w:val="21"/>
                      <w:szCs w:val="21"/>
                      <w:vertAlign w:val="baseline"/>
                      <w:lang w:val="en-US" w:eastAsia="zh-CN"/>
                    </w:rPr>
                    <w:t>/</w:t>
                  </w:r>
                  <w:r>
                    <w:rPr>
                      <w:rFonts w:hint="default"/>
                      <w:b/>
                      <w:bCs/>
                      <w:color w:val="auto"/>
                      <w:sz w:val="21"/>
                      <w:szCs w:val="21"/>
                      <w:vertAlign w:val="baseline"/>
                      <w:lang w:val="en-US" w:eastAsia="zh-CN"/>
                    </w:rPr>
                    <w:t>g)</w:t>
                  </w:r>
                </w:p>
              </w:tc>
              <w:tc>
                <w:tcPr>
                  <w:tcW w:w="1411" w:type="dxa"/>
                  <w:vAlign w:val="center"/>
                </w:tcPr>
                <w:p w14:paraId="1C112179">
                  <w:pPr>
                    <w:pStyle w:val="12"/>
                    <w:numPr>
                      <w:ilvl w:val="0"/>
                      <w:numId w:val="0"/>
                    </w:numPr>
                    <w:bidi w:val="0"/>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肠道致病菌</w:t>
                  </w:r>
                </w:p>
              </w:tc>
              <w:tc>
                <w:tcPr>
                  <w:tcW w:w="1173" w:type="dxa"/>
                  <w:vAlign w:val="center"/>
                </w:tcPr>
                <w:p w14:paraId="3C392B0D">
                  <w:pPr>
                    <w:pStyle w:val="12"/>
                    <w:numPr>
                      <w:ilvl w:val="0"/>
                      <w:numId w:val="0"/>
                    </w:numPr>
                    <w:bidi w:val="0"/>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肠道病毒</w:t>
                  </w:r>
                </w:p>
              </w:tc>
              <w:tc>
                <w:tcPr>
                  <w:tcW w:w="1245" w:type="dxa"/>
                  <w:vAlign w:val="center"/>
                </w:tcPr>
                <w:p w14:paraId="094D2A6F">
                  <w:pPr>
                    <w:pStyle w:val="12"/>
                    <w:numPr>
                      <w:ilvl w:val="0"/>
                      <w:numId w:val="0"/>
                    </w:numPr>
                    <w:bidi w:val="0"/>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结核杆菌</w:t>
                  </w:r>
                </w:p>
              </w:tc>
              <w:tc>
                <w:tcPr>
                  <w:tcW w:w="1391" w:type="dxa"/>
                  <w:vAlign w:val="center"/>
                </w:tcPr>
                <w:p w14:paraId="04DC9992">
                  <w:pPr>
                    <w:pStyle w:val="12"/>
                    <w:numPr>
                      <w:ilvl w:val="0"/>
                      <w:numId w:val="0"/>
                    </w:numPr>
                    <w:bidi w:val="0"/>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default"/>
                      <w:b/>
                      <w:bCs/>
                      <w:color w:val="auto"/>
                      <w:sz w:val="21"/>
                      <w:szCs w:val="21"/>
                      <w:vertAlign w:val="baseline"/>
                      <w:lang w:val="en-US" w:eastAsia="zh-CN"/>
                    </w:rPr>
                    <w:t>蛔虫卵死亡率/</w:t>
                  </w:r>
                  <w:r>
                    <w:rPr>
                      <w:rFonts w:hint="eastAsia"/>
                      <w:b/>
                      <w:bCs/>
                      <w:color w:val="auto"/>
                      <w:sz w:val="21"/>
                      <w:szCs w:val="21"/>
                      <w:vertAlign w:val="baseline"/>
                      <w:lang w:val="en-US" w:eastAsia="zh-CN"/>
                    </w:rPr>
                    <w:t>%</w:t>
                  </w:r>
                </w:p>
              </w:tc>
            </w:tr>
            <w:tr w14:paraId="35BF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dxa"/>
                  <w:vAlign w:val="center"/>
                </w:tcPr>
                <w:p w14:paraId="5CE10552">
                  <w:pPr>
                    <w:pStyle w:val="12"/>
                    <w:numPr>
                      <w:ilvl w:val="0"/>
                      <w:numId w:val="0"/>
                    </w:numPr>
                    <w:bidi w:val="0"/>
                    <w:spacing w:line="240" w:lineRule="auto"/>
                    <w:ind w:left="0" w:leftChars="0" w:right="0" w:rightChars="0" w:firstLine="0" w:firstLineChars="0"/>
                    <w:jc w:val="center"/>
                    <w:rPr>
                      <w:rFonts w:hint="default"/>
                      <w:color w:val="auto"/>
                      <w:sz w:val="21"/>
                      <w:szCs w:val="21"/>
                      <w:vertAlign w:val="baseline"/>
                      <w:lang w:val="en-US" w:eastAsia="zh-CN"/>
                    </w:rPr>
                  </w:pPr>
                  <w:r>
                    <w:rPr>
                      <w:rFonts w:hint="default"/>
                      <w:color w:val="auto"/>
                      <w:sz w:val="21"/>
                      <w:szCs w:val="21"/>
                      <w:vertAlign w:val="baseline"/>
                      <w:lang w:val="en-US" w:eastAsia="zh-CN"/>
                    </w:rPr>
                    <w:t>综合医疗机构和其他医疗机构</w:t>
                  </w:r>
                </w:p>
              </w:tc>
              <w:tc>
                <w:tcPr>
                  <w:tcW w:w="1357" w:type="dxa"/>
                  <w:vAlign w:val="center"/>
                </w:tcPr>
                <w:p w14:paraId="5DBF6B84">
                  <w:pPr>
                    <w:pStyle w:val="12"/>
                    <w:numPr>
                      <w:ilvl w:val="0"/>
                      <w:numId w:val="0"/>
                    </w:numPr>
                    <w:bidi w:val="0"/>
                    <w:spacing w:line="240" w:lineRule="auto"/>
                    <w:ind w:left="0" w:leftChars="0" w:right="0" w:rightChars="0" w:firstLine="0" w:firstLineChars="0"/>
                    <w:jc w:val="center"/>
                    <w:rPr>
                      <w:rFonts w:hint="default"/>
                      <w:color w:val="auto"/>
                      <w:sz w:val="21"/>
                      <w:szCs w:val="21"/>
                      <w:vertAlign w:val="baseline"/>
                      <w:lang w:val="en-US" w:eastAsia="zh-CN"/>
                    </w:rPr>
                  </w:pPr>
                  <w:r>
                    <w:rPr>
                      <w:rFonts w:hint="default"/>
                      <w:color w:val="auto"/>
                      <w:sz w:val="21"/>
                      <w:szCs w:val="21"/>
                      <w:vertAlign w:val="baseline"/>
                      <w:lang w:val="en-US" w:eastAsia="zh-CN"/>
                    </w:rPr>
                    <w:t>≤100</w:t>
                  </w:r>
                </w:p>
              </w:tc>
              <w:tc>
                <w:tcPr>
                  <w:tcW w:w="1411" w:type="dxa"/>
                  <w:vAlign w:val="center"/>
                </w:tcPr>
                <w:p w14:paraId="55BDF449">
                  <w:pPr>
                    <w:pStyle w:val="12"/>
                    <w:numPr>
                      <w:ilvl w:val="0"/>
                      <w:numId w:val="0"/>
                    </w:numPr>
                    <w:bidi w:val="0"/>
                    <w:spacing w:line="240" w:lineRule="auto"/>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173" w:type="dxa"/>
                  <w:vAlign w:val="center"/>
                </w:tcPr>
                <w:p w14:paraId="5FCFC56D">
                  <w:pPr>
                    <w:pStyle w:val="12"/>
                    <w:numPr>
                      <w:ilvl w:val="0"/>
                      <w:numId w:val="0"/>
                    </w:numPr>
                    <w:bidi w:val="0"/>
                    <w:spacing w:line="240" w:lineRule="auto"/>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245" w:type="dxa"/>
                  <w:vAlign w:val="center"/>
                </w:tcPr>
                <w:p w14:paraId="649CA75E">
                  <w:pPr>
                    <w:pStyle w:val="12"/>
                    <w:numPr>
                      <w:ilvl w:val="0"/>
                      <w:numId w:val="0"/>
                    </w:numPr>
                    <w:bidi w:val="0"/>
                    <w:spacing w:line="240" w:lineRule="auto"/>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391" w:type="dxa"/>
                  <w:vAlign w:val="center"/>
                </w:tcPr>
                <w:p w14:paraId="2106A2F0">
                  <w:pPr>
                    <w:pStyle w:val="12"/>
                    <w:numPr>
                      <w:ilvl w:val="0"/>
                      <w:numId w:val="0"/>
                    </w:numPr>
                    <w:bidi w:val="0"/>
                    <w:spacing w:line="240" w:lineRule="auto"/>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&gt;95</w:t>
                  </w:r>
                </w:p>
              </w:tc>
            </w:tr>
          </w:tbl>
          <w:p w14:paraId="40C37004">
            <w:pPr>
              <w:pStyle w:val="12"/>
              <w:numPr>
                <w:ilvl w:val="0"/>
                <w:numId w:val="0"/>
              </w:numPr>
              <w:bidi w:val="0"/>
              <w:ind w:firstLine="480" w:firstLineChars="200"/>
              <w:rPr>
                <w:rFonts w:hint="default"/>
                <w:color w:val="auto"/>
                <w:lang w:val="en-US" w:eastAsia="zh-CN"/>
              </w:rPr>
            </w:pPr>
          </w:p>
          <w:p w14:paraId="02AA9C22">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）医疗废物</w:t>
            </w:r>
          </w:p>
          <w:p w14:paraId="10BC65D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主要</w:t>
            </w:r>
            <w:r>
              <w:rPr>
                <w:rFonts w:hint="eastAsia" w:cs="Times New Roman"/>
                <w:color w:val="auto"/>
                <w:sz w:val="24"/>
                <w:szCs w:val="24"/>
                <w:lang w:eastAsia="zh-CN"/>
              </w:rPr>
              <w:t>由</w:t>
            </w:r>
            <w:r>
              <w:rPr>
                <w:rFonts w:hint="default" w:ascii="Times New Roman" w:hAnsi="Times New Roman" w:cs="Times New Roman"/>
                <w:color w:val="auto"/>
                <w:sz w:val="24"/>
                <w:szCs w:val="24"/>
                <w:lang w:val="en-US" w:eastAsia="zh-CN"/>
              </w:rPr>
              <w:t>门诊</w:t>
            </w:r>
            <w:r>
              <w:rPr>
                <w:rFonts w:hint="default" w:ascii="Times New Roman" w:hAnsi="Times New Roman" w:cs="Times New Roman"/>
                <w:color w:val="auto"/>
                <w:sz w:val="24"/>
                <w:szCs w:val="24"/>
              </w:rPr>
              <w:t>、住院产生，具体产生情况如下：</w:t>
            </w:r>
          </w:p>
          <w:p w14:paraId="6AA8316C">
            <w:pPr>
              <w:numPr>
                <w:ilvl w:val="0"/>
                <w:numId w:val="0"/>
              </w:num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①</w:t>
            </w:r>
            <w:r>
              <w:rPr>
                <w:rFonts w:hint="default" w:ascii="Times New Roman" w:hAnsi="Times New Roman" w:cs="Times New Roman"/>
                <w:color w:val="auto"/>
                <w:sz w:val="24"/>
                <w:szCs w:val="24"/>
                <w:lang w:eastAsia="zh-CN"/>
              </w:rPr>
              <w:t>门诊</w:t>
            </w:r>
          </w:p>
          <w:p w14:paraId="0DD9875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门诊</w:t>
            </w:r>
            <w:r>
              <w:rPr>
                <w:rFonts w:hint="default" w:ascii="Times New Roman" w:hAnsi="Times New Roman" w:cs="Times New Roman"/>
                <w:color w:val="auto"/>
                <w:sz w:val="24"/>
                <w:szCs w:val="24"/>
              </w:rPr>
              <w:t>就诊人数</w:t>
            </w:r>
            <w:r>
              <w:rPr>
                <w:rFonts w:hint="eastAsia" w:cs="Times New Roman"/>
                <w:color w:val="auto"/>
                <w:sz w:val="24"/>
                <w:szCs w:val="24"/>
                <w:lang w:val="en-US" w:eastAsia="zh-CN"/>
              </w:rPr>
              <w:t>10</w:t>
            </w:r>
            <w:r>
              <w:rPr>
                <w:rFonts w:hint="default" w:ascii="Times New Roman" w:hAnsi="Times New Roman" w:cs="Times New Roman"/>
                <w:color w:val="auto"/>
                <w:sz w:val="24"/>
                <w:szCs w:val="24"/>
              </w:rPr>
              <w:t>人</w:t>
            </w:r>
            <w:r>
              <w:rPr>
                <w:rFonts w:hint="eastAsia" w:cs="Times New Roman"/>
                <w:color w:val="auto"/>
                <w:sz w:val="24"/>
                <w:szCs w:val="24"/>
                <w:lang w:val="en-US" w:eastAsia="zh-CN"/>
              </w:rPr>
              <w:t>/月</w:t>
            </w:r>
            <w:r>
              <w:rPr>
                <w:rFonts w:hint="default" w:ascii="Times New Roman" w:hAnsi="Times New Roman" w:cs="Times New Roman"/>
                <w:color w:val="auto"/>
                <w:sz w:val="24"/>
                <w:szCs w:val="24"/>
              </w:rPr>
              <w:t>，平均每人每天产生医疗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kg，项目</w:t>
            </w:r>
            <w:r>
              <w:rPr>
                <w:rFonts w:hint="default" w:ascii="Times New Roman" w:hAnsi="Times New Roman" w:cs="Times New Roman"/>
                <w:color w:val="auto"/>
                <w:sz w:val="24"/>
                <w:szCs w:val="24"/>
                <w:lang w:eastAsia="zh-CN"/>
              </w:rPr>
              <w:t>门诊</w:t>
            </w:r>
            <w:r>
              <w:rPr>
                <w:rFonts w:hint="default" w:ascii="Times New Roman" w:hAnsi="Times New Roman" w:cs="Times New Roman"/>
                <w:color w:val="auto"/>
                <w:sz w:val="24"/>
                <w:szCs w:val="24"/>
              </w:rPr>
              <w:t>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产生量约为</w:t>
            </w:r>
            <w:r>
              <w:rPr>
                <w:rFonts w:hint="eastAsia" w:cs="Times New Roman"/>
                <w:color w:val="auto"/>
                <w:sz w:val="24"/>
                <w:szCs w:val="24"/>
                <w:lang w:val="en-US" w:eastAsia="zh-CN"/>
              </w:rPr>
              <w:t>0.0067</w:t>
            </w:r>
            <w:r>
              <w:rPr>
                <w:rFonts w:hint="default" w:ascii="Times New Roman" w:hAnsi="Times New Roman" w:cs="Times New Roman"/>
                <w:color w:val="auto"/>
                <w:sz w:val="24"/>
                <w:szCs w:val="24"/>
              </w:rPr>
              <w:t>kg/d（</w:t>
            </w:r>
            <w:r>
              <w:rPr>
                <w:rFonts w:hint="eastAsia" w:cs="Times New Roman"/>
                <w:color w:val="auto"/>
                <w:sz w:val="24"/>
                <w:szCs w:val="24"/>
                <w:lang w:val="en-US" w:eastAsia="zh-CN"/>
              </w:rPr>
              <w:t>0.002</w:t>
            </w:r>
            <w:r>
              <w:rPr>
                <w:rFonts w:hint="default" w:ascii="Times New Roman" w:hAnsi="Times New Roman" w:cs="Times New Roman"/>
                <w:color w:val="auto"/>
                <w:sz w:val="24"/>
                <w:szCs w:val="24"/>
              </w:rPr>
              <w:t>t/a）。</w:t>
            </w:r>
          </w:p>
          <w:p w14:paraId="5787A4D5">
            <w:pPr>
              <w:numPr>
                <w:ilvl w:val="0"/>
                <w:numId w:val="0"/>
              </w:num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②</w:t>
            </w:r>
            <w:r>
              <w:rPr>
                <w:rFonts w:hint="default" w:ascii="Times New Roman" w:hAnsi="Times New Roman" w:cs="Times New Roman"/>
                <w:color w:val="auto"/>
                <w:sz w:val="24"/>
                <w:szCs w:val="24"/>
              </w:rPr>
              <w:t>住院</w:t>
            </w:r>
          </w:p>
          <w:p w14:paraId="535849A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108</w:t>
            </w:r>
            <w:r>
              <w:rPr>
                <w:rFonts w:hint="default" w:ascii="Times New Roman" w:hAnsi="Times New Roman" w:cs="Times New Roman"/>
                <w:color w:val="auto"/>
                <w:sz w:val="24"/>
                <w:szCs w:val="24"/>
              </w:rPr>
              <w:t>张床位，医疗废物产生量参考《第一次全国污染源普查城镇生活源产排污系数手册--第四分册</w:t>
            </w:r>
            <w:r>
              <w:rPr>
                <w:rFonts w:hint="eastAsia" w:cs="Times New Roman"/>
                <w:color w:val="auto"/>
                <w:sz w:val="24"/>
                <w:szCs w:val="24"/>
                <w:lang w:eastAsia="zh-CN"/>
              </w:rPr>
              <w:t>：</w:t>
            </w:r>
            <w:r>
              <w:rPr>
                <w:rFonts w:hint="default" w:ascii="Times New Roman" w:hAnsi="Times New Roman" w:cs="Times New Roman"/>
                <w:color w:val="auto"/>
                <w:sz w:val="24"/>
                <w:szCs w:val="24"/>
              </w:rPr>
              <w:t>医院污染物产生、排放系数》进行核算，选取</w:t>
            </w:r>
            <w:r>
              <w:rPr>
                <w:rFonts w:hint="eastAsia" w:cs="Times New Roman"/>
                <w:color w:val="auto"/>
                <w:sz w:val="24"/>
                <w:szCs w:val="24"/>
                <w:lang w:eastAsia="zh-CN"/>
              </w:rPr>
              <w:t>“</w:t>
            </w:r>
            <w:r>
              <w:rPr>
                <w:rFonts w:hint="default" w:ascii="Times New Roman" w:hAnsi="Times New Roman" w:cs="Times New Roman"/>
                <w:color w:val="auto"/>
                <w:sz w:val="24"/>
                <w:szCs w:val="24"/>
              </w:rPr>
              <w:t>表2医院医疗废物、用水量核算系数与校核系数</w:t>
            </w:r>
            <w:r>
              <w:rPr>
                <w:rFonts w:hint="eastAsia" w:cs="Times New Roman"/>
                <w:color w:val="auto"/>
                <w:sz w:val="24"/>
                <w:szCs w:val="24"/>
                <w:lang w:eastAsia="zh-CN"/>
              </w:rPr>
              <w:t>”</w:t>
            </w:r>
            <w:r>
              <w:rPr>
                <w:rFonts w:hint="default" w:ascii="Times New Roman" w:hAnsi="Times New Roman" w:cs="Times New Roman"/>
                <w:color w:val="auto"/>
                <w:sz w:val="24"/>
                <w:szCs w:val="24"/>
              </w:rPr>
              <w:t>中的二区综合医院(床位101-500)医疗废物核算系数，即0.53kg/床·日</w:t>
            </w:r>
            <w:r>
              <w:rPr>
                <w:rFonts w:hint="eastAsia" w:cs="Times New Roman"/>
                <w:color w:val="auto"/>
                <w:sz w:val="24"/>
                <w:szCs w:val="24"/>
                <w:lang w:eastAsia="zh-CN"/>
              </w:rPr>
              <w:t>；</w:t>
            </w:r>
            <w:r>
              <w:rPr>
                <w:rFonts w:hint="default" w:ascii="Times New Roman" w:hAnsi="Times New Roman" w:cs="Times New Roman"/>
                <w:color w:val="auto"/>
                <w:sz w:val="24"/>
                <w:szCs w:val="24"/>
              </w:rPr>
              <w:t>经计算，项目医疗废物产生量约为</w:t>
            </w:r>
            <w:r>
              <w:rPr>
                <w:rFonts w:hint="eastAsia" w:cs="Times New Roman"/>
                <w:color w:val="auto"/>
                <w:sz w:val="24"/>
                <w:szCs w:val="24"/>
                <w:lang w:val="en-US" w:eastAsia="zh-CN"/>
              </w:rPr>
              <w:t>0.057t/d，20.89t</w:t>
            </w:r>
            <w:r>
              <w:rPr>
                <w:rFonts w:hint="default" w:ascii="Times New Roman" w:hAnsi="Times New Roman" w:cs="Times New Roman"/>
                <w:color w:val="auto"/>
                <w:sz w:val="24"/>
                <w:szCs w:val="24"/>
              </w:rPr>
              <w:t>/a。项目</w:t>
            </w:r>
            <w:r>
              <w:rPr>
                <w:rFonts w:hint="eastAsia" w:cs="Times New Roman"/>
                <w:color w:val="auto"/>
                <w:sz w:val="24"/>
                <w:szCs w:val="24"/>
                <w:lang w:val="en-US" w:eastAsia="zh-CN"/>
              </w:rPr>
              <w:t>拟设置</w:t>
            </w:r>
            <w:r>
              <w:rPr>
                <w:rFonts w:hint="default" w:ascii="Times New Roman" w:hAnsi="Times New Roman" w:cs="Times New Roman"/>
                <w:color w:val="auto"/>
                <w:sz w:val="24"/>
                <w:szCs w:val="24"/>
              </w:rPr>
              <w:t>1间</w:t>
            </w:r>
            <w:r>
              <w:rPr>
                <w:rFonts w:hint="eastAsia" w:cs="Times New Roman"/>
                <w:color w:val="auto"/>
                <w:sz w:val="24"/>
                <w:szCs w:val="24"/>
                <w:lang w:val="en-US" w:eastAsia="zh-CN"/>
              </w:rPr>
              <w:t>4㎡的</w:t>
            </w:r>
            <w:r>
              <w:rPr>
                <w:rFonts w:hint="default" w:ascii="Times New Roman" w:hAnsi="Times New Roman" w:cs="Times New Roman"/>
                <w:color w:val="auto"/>
                <w:sz w:val="24"/>
                <w:szCs w:val="24"/>
              </w:rPr>
              <w:t>医疗废物暂存间，医疗废物</w:t>
            </w:r>
            <w:r>
              <w:rPr>
                <w:rFonts w:hint="eastAsia" w:cs="Times New Roman"/>
                <w:color w:val="auto"/>
                <w:sz w:val="24"/>
                <w:szCs w:val="24"/>
                <w:lang w:val="en-US" w:eastAsia="zh-CN"/>
              </w:rPr>
              <w:t>采用</w:t>
            </w:r>
            <w:r>
              <w:rPr>
                <w:rFonts w:hint="default" w:ascii="Times New Roman" w:hAnsi="Times New Roman" w:cs="Times New Roman"/>
                <w:color w:val="auto"/>
                <w:sz w:val="24"/>
                <w:szCs w:val="24"/>
              </w:rPr>
              <w:t>专用的包装袋和容器收集后暂存于院内医疗废物暂存间内，委托</w:t>
            </w:r>
            <w:r>
              <w:rPr>
                <w:rFonts w:hint="default" w:ascii="Times New Roman" w:hAnsi="Times New Roman" w:cs="Times New Roman"/>
                <w:color w:val="auto"/>
                <w:sz w:val="24"/>
                <w:szCs w:val="24"/>
                <w:lang w:val="en-US" w:eastAsia="zh-CN"/>
              </w:rPr>
              <w:t>西畴铂鑫医疗废物处理有限公司</w:t>
            </w:r>
            <w:r>
              <w:rPr>
                <w:rFonts w:hint="default" w:ascii="Times New Roman" w:hAnsi="Times New Roman" w:cs="Times New Roman"/>
                <w:color w:val="auto"/>
                <w:sz w:val="24"/>
                <w:szCs w:val="24"/>
              </w:rPr>
              <w:t>使用专用车辆清运、处置。</w:t>
            </w:r>
          </w:p>
          <w:p w14:paraId="2A84F70D">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③检验室废液</w:t>
            </w:r>
          </w:p>
          <w:p w14:paraId="026E6139">
            <w:pPr>
              <w:numPr>
                <w:ilvl w:val="0"/>
                <w:numId w:val="0"/>
              </w:numPr>
              <w:spacing w:line="360" w:lineRule="auto"/>
              <w:ind w:firstLine="480" w:firstLineChars="200"/>
              <w:rPr>
                <w:rFonts w:hint="default" w:cs="Times New Roman"/>
                <w:color w:val="auto"/>
                <w:sz w:val="24"/>
                <w:szCs w:val="24"/>
                <w:highlight w:val="none"/>
                <w:lang w:val="en-US" w:eastAsia="zh-CN"/>
              </w:rPr>
            </w:pPr>
            <w:r>
              <w:rPr>
                <w:rFonts w:hint="eastAsia" w:cs="Times New Roman"/>
                <w:b w:val="0"/>
                <w:bCs w:val="0"/>
                <w:color w:val="auto"/>
                <w:sz w:val="24"/>
                <w:szCs w:val="24"/>
                <w:highlight w:val="none"/>
                <w:lang w:val="en-US" w:eastAsia="zh-CN"/>
              </w:rPr>
              <w:t>检验、化验过程中会产生血液、尿液等样品废液，根据建设单位多年运行经验，69张床位产生检验废液为0.025t/a，项目迁建后增加39张床位，检验废液产生量为0.039t/a。迁建完成后108张床位产生检验废液为0.039t/a。</w:t>
            </w:r>
            <w:r>
              <w:rPr>
                <w:rFonts w:hint="eastAsia" w:cs="Times New Roman"/>
                <w:color w:val="auto"/>
                <w:sz w:val="24"/>
                <w:szCs w:val="24"/>
                <w:lang w:val="en-US" w:eastAsia="zh-CN"/>
              </w:rPr>
              <w:t>检测后的血样、尿样等废液作为医疗废物处置。暂存在医废间内委托西畴铂鑫医疗废物处理有限公司进行处置。</w:t>
            </w:r>
          </w:p>
          <w:p w14:paraId="137E096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综上</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产生量为</w:t>
            </w:r>
            <w:r>
              <w:rPr>
                <w:rFonts w:hint="eastAsia" w:cs="Times New Roman"/>
                <w:color w:val="auto"/>
                <w:sz w:val="24"/>
                <w:szCs w:val="24"/>
                <w:lang w:val="en-US" w:eastAsia="zh-CN"/>
              </w:rPr>
              <w:t>0.0573t/d，20.929t</w:t>
            </w:r>
            <w:r>
              <w:rPr>
                <w:rFonts w:hint="default" w:ascii="Times New Roman" w:hAnsi="Times New Roman" w:cs="Times New Roman"/>
                <w:color w:val="auto"/>
                <w:sz w:val="24"/>
                <w:szCs w:val="24"/>
              </w:rPr>
              <w:t>/a。</w:t>
            </w:r>
          </w:p>
          <w:p w14:paraId="2BBF8623">
            <w:pPr>
              <w:widowControl/>
              <w:spacing w:line="360" w:lineRule="auto"/>
              <w:ind w:firstLine="482"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b/>
                <w:bCs/>
                <w:color w:val="auto"/>
                <w:kern w:val="0"/>
                <w:sz w:val="24"/>
                <w:szCs w:val="24"/>
                <w:lang w:bidi="ar"/>
              </w:rPr>
              <w:t>收集处置方式</w:t>
            </w:r>
          </w:p>
          <w:p w14:paraId="71E6D394">
            <w:pPr>
              <w:widowControl/>
              <w:spacing w:line="360" w:lineRule="auto"/>
              <w:ind w:firstLine="480"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收集方式：项目在</w:t>
            </w:r>
            <w:r>
              <w:rPr>
                <w:rFonts w:hint="default" w:ascii="Times New Roman" w:hAnsi="Times New Roman" w:cs="Times New Roman"/>
                <w:color w:val="auto"/>
                <w:kern w:val="0"/>
                <w:sz w:val="24"/>
                <w:szCs w:val="24"/>
                <w:lang w:val="en-US" w:eastAsia="zh-CN" w:bidi="ar"/>
              </w:rPr>
              <w:t>护士站、门诊、药房等</w:t>
            </w:r>
            <w:r>
              <w:rPr>
                <w:rFonts w:hint="default" w:ascii="Times New Roman" w:hAnsi="Times New Roman" w:cs="Times New Roman"/>
                <w:color w:val="auto"/>
                <w:kern w:val="0"/>
                <w:sz w:val="24"/>
                <w:szCs w:val="24"/>
                <w:lang w:bidi="ar"/>
              </w:rPr>
              <w:t>设有医废收集桶，一般感染性、药物性的医废首先放置在医废收集桶内，再由专人进行收集打包密封；化学性医废、损伤性医废采用专门的周转箱进行收集。</w:t>
            </w:r>
          </w:p>
          <w:p w14:paraId="05A7DE62">
            <w:pPr>
              <w:widowControl/>
              <w:spacing w:line="360" w:lineRule="auto"/>
              <w:ind w:firstLine="480" w:firstLineChars="200"/>
              <w:jc w:val="left"/>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暂存方式：本项目产生的医废</w:t>
            </w:r>
            <w:r>
              <w:rPr>
                <w:rFonts w:hint="default" w:ascii="Times New Roman" w:hAnsi="Times New Roman" w:eastAsia="宋体" w:cs="Times New Roman"/>
                <w:color w:val="auto"/>
                <w:kern w:val="0"/>
                <w:sz w:val="24"/>
                <w:szCs w:val="24"/>
                <w:lang w:eastAsia="zh-CN" w:bidi="ar"/>
              </w:rPr>
              <w:t>经</w:t>
            </w:r>
            <w:r>
              <w:rPr>
                <w:rFonts w:hint="default" w:ascii="Times New Roman" w:hAnsi="Times New Roman" w:eastAsia="宋体" w:cs="Times New Roman"/>
                <w:color w:val="auto"/>
                <w:kern w:val="0"/>
                <w:sz w:val="24"/>
                <w:szCs w:val="24"/>
                <w:lang w:bidi="ar"/>
              </w:rPr>
              <w:t>项目建设的医废暂存间暂存，建筑面积为</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bidi="ar"/>
              </w:rPr>
              <w:t>m</w:t>
            </w:r>
            <w:r>
              <w:rPr>
                <w:rFonts w:hint="default" w:ascii="Times New Roman" w:hAnsi="Times New Roman" w:eastAsia="宋体" w:cs="Times New Roman"/>
                <w:color w:val="auto"/>
                <w:kern w:val="0"/>
                <w:sz w:val="24"/>
                <w:szCs w:val="24"/>
                <w:vertAlign w:val="superscript"/>
                <w:lang w:bidi="ar"/>
              </w:rPr>
              <w:t>2</w:t>
            </w:r>
            <w:r>
              <w:rPr>
                <w:rFonts w:hint="default" w:ascii="Times New Roman" w:hAnsi="Times New Roman" w:eastAsia="宋体" w:cs="Times New Roman"/>
                <w:color w:val="auto"/>
                <w:kern w:val="0"/>
                <w:sz w:val="24"/>
                <w:szCs w:val="24"/>
                <w:lang w:bidi="ar"/>
              </w:rPr>
              <w:t>，并贴有警示标识牌。项目运营产生的各类医废收集桶均运至医废暂存间进行分类存放。</w:t>
            </w:r>
          </w:p>
          <w:p w14:paraId="65688347">
            <w:pPr>
              <w:widowControl/>
              <w:spacing w:line="360" w:lineRule="auto"/>
              <w:ind w:firstLine="480" w:firstLineChars="200"/>
              <w:jc w:val="left"/>
              <w:rPr>
                <w:rFonts w:hint="default" w:ascii="Times New Roman" w:hAnsi="Times New Roman" w:cs="Times New Roman"/>
                <w:color w:val="auto"/>
                <w:kern w:val="0"/>
                <w:sz w:val="24"/>
                <w:szCs w:val="24"/>
                <w:lang w:val="en-US" w:bidi="ar"/>
              </w:rPr>
            </w:pPr>
            <w:r>
              <w:rPr>
                <w:rFonts w:hint="default" w:ascii="Times New Roman" w:hAnsi="Times New Roman" w:cs="Times New Roman"/>
                <w:color w:val="auto"/>
                <w:kern w:val="0"/>
                <w:sz w:val="24"/>
                <w:szCs w:val="24"/>
                <w:lang w:val="en-US" w:eastAsia="zh-CN" w:bidi="ar"/>
              </w:rPr>
              <w:t>处置</w:t>
            </w:r>
            <w:r>
              <w:rPr>
                <w:rFonts w:hint="default" w:ascii="Times New Roman" w:hAnsi="Times New Roman" w:cs="Times New Roman"/>
                <w:color w:val="auto"/>
                <w:kern w:val="0"/>
                <w:sz w:val="24"/>
                <w:szCs w:val="24"/>
                <w:lang w:bidi="ar"/>
              </w:rPr>
              <w:t>方式：本项目产生的医废</w:t>
            </w:r>
            <w:r>
              <w:rPr>
                <w:rFonts w:hint="eastAsia" w:ascii="Times New Roman" w:hAnsi="Times New Roman" w:cs="Times New Roman"/>
                <w:color w:val="auto"/>
                <w:kern w:val="0"/>
                <w:sz w:val="24"/>
                <w:szCs w:val="24"/>
                <w:lang w:val="en-US" w:eastAsia="zh-CN" w:bidi="ar"/>
              </w:rPr>
              <w:t>暂存于医废暂存</w:t>
            </w:r>
            <w:r>
              <w:rPr>
                <w:rFonts w:hint="eastAsia" w:cs="Times New Roman"/>
                <w:color w:val="auto"/>
                <w:kern w:val="0"/>
                <w:sz w:val="24"/>
                <w:szCs w:val="24"/>
                <w:lang w:val="en-US" w:eastAsia="zh-CN" w:bidi="ar"/>
              </w:rPr>
              <w:t>间</w:t>
            </w:r>
            <w:r>
              <w:rPr>
                <w:rFonts w:hint="default" w:ascii="Times New Roman" w:hAnsi="Times New Roman" w:cs="Times New Roman"/>
                <w:color w:val="auto"/>
                <w:kern w:val="0"/>
                <w:sz w:val="24"/>
                <w:szCs w:val="24"/>
                <w:lang w:val="en-US" w:eastAsia="zh-CN" w:bidi="ar"/>
              </w:rPr>
              <w:t>，</w:t>
            </w:r>
            <w:r>
              <w:rPr>
                <w:rFonts w:hint="default" w:ascii="Times New Roman" w:hAnsi="Times New Roman" w:cs="Times New Roman"/>
                <w:color w:val="auto"/>
                <w:sz w:val="24"/>
                <w:szCs w:val="24"/>
                <w:lang w:val="en-US" w:eastAsia="zh-CN"/>
              </w:rPr>
              <w:t>委托</w:t>
            </w:r>
            <w:r>
              <w:rPr>
                <w:rFonts w:hint="eastAsia" w:ascii="宋体" w:hAnsi="宋体"/>
                <w:color w:val="auto"/>
                <w:sz w:val="24"/>
                <w:szCs w:val="24"/>
                <w:lang w:val="en-US" w:eastAsia="zh-CN"/>
              </w:rPr>
              <w:t>有资质的单位</w:t>
            </w:r>
            <w:r>
              <w:rPr>
                <w:rFonts w:hint="default" w:ascii="Times New Roman" w:hAnsi="Times New Roman" w:cs="Times New Roman"/>
                <w:color w:val="auto"/>
                <w:sz w:val="24"/>
                <w:szCs w:val="24"/>
                <w:lang w:val="en-US" w:eastAsia="zh-CN"/>
              </w:rPr>
              <w:t>清运处置。</w:t>
            </w:r>
          </w:p>
          <w:p w14:paraId="517667D3">
            <w:pPr>
              <w:pStyle w:val="12"/>
              <w:bidi w:val="0"/>
              <w:rPr>
                <w:rFonts w:hint="default" w:ascii="Times New Roman" w:hAnsi="Times New Roman" w:cs="Times New Roman"/>
                <w:b/>
                <w:bCs/>
                <w:color w:val="auto"/>
                <w:spacing w:val="-6"/>
                <w:sz w:val="24"/>
              </w:rPr>
            </w:pPr>
            <w:r>
              <w:rPr>
                <w:rFonts w:hint="default" w:ascii="Times New Roman" w:hAnsi="Times New Roman" w:cs="Times New Roman"/>
                <w:color w:val="auto"/>
                <w:sz w:val="24"/>
                <w:szCs w:val="24"/>
              </w:rPr>
              <w:t>根据《国家危险废物名录》（</w:t>
            </w:r>
            <w:r>
              <w:rPr>
                <w:rFonts w:hint="eastAsia" w:ascii="Times New Roman" w:hAnsi="Times New Roman" w:cs="Times New Roman"/>
                <w:color w:val="auto"/>
                <w:sz w:val="24"/>
                <w:szCs w:val="24"/>
                <w:lang w:val="en-US" w:eastAsia="zh-CN"/>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），医疗废物属HW01类危险废物。《医疗废物分类目录》对医疗废物进行了分类，本项目</w:t>
            </w:r>
            <w:r>
              <w:rPr>
                <w:rFonts w:hint="eastAsia" w:cs="Times New Roman"/>
                <w:color w:val="auto"/>
                <w:sz w:val="24"/>
                <w:szCs w:val="24"/>
                <w:lang w:val="en-US" w:eastAsia="zh-CN"/>
              </w:rPr>
              <w:t>以</w:t>
            </w:r>
            <w:r>
              <w:rPr>
                <w:rFonts w:hint="default" w:ascii="Times New Roman" w:hAnsi="Times New Roman" w:cs="Times New Roman"/>
                <w:color w:val="auto"/>
                <w:sz w:val="24"/>
                <w:szCs w:val="24"/>
                <w:lang w:val="en-US" w:eastAsia="zh-CN"/>
              </w:rPr>
              <w:t>药物治疗为主，输液治疗为辅，不涉及手术治疗，故不产生病理性废物，</w:t>
            </w:r>
            <w:r>
              <w:rPr>
                <w:rFonts w:hint="default" w:ascii="Times New Roman" w:hAnsi="Times New Roman" w:cs="Times New Roman"/>
                <w:color w:val="auto"/>
                <w:sz w:val="24"/>
                <w:szCs w:val="24"/>
              </w:rPr>
              <w:t>主要医疗废物如下表所示。</w:t>
            </w:r>
          </w:p>
          <w:p w14:paraId="6F691368">
            <w:pPr>
              <w:spacing w:line="240" w:lineRule="auto"/>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表</w:t>
            </w:r>
            <w:r>
              <w:rPr>
                <w:rFonts w:hint="default" w:ascii="Times New Roman" w:hAnsi="Times New Roman" w:cs="Times New Roman"/>
                <w:b/>
                <w:bCs/>
                <w:color w:val="auto"/>
                <w:spacing w:val="-6"/>
                <w:sz w:val="21"/>
                <w:szCs w:val="21"/>
                <w:lang w:val="en-US" w:eastAsia="zh-CN"/>
              </w:rPr>
              <w:t>4-</w:t>
            </w:r>
            <w:r>
              <w:rPr>
                <w:rFonts w:hint="eastAsia" w:cs="Times New Roman"/>
                <w:b/>
                <w:bCs/>
                <w:color w:val="auto"/>
                <w:spacing w:val="-6"/>
                <w:sz w:val="21"/>
                <w:szCs w:val="21"/>
                <w:lang w:val="en-US" w:eastAsia="zh-CN"/>
              </w:rPr>
              <w:t>11</w:t>
            </w:r>
            <w:r>
              <w:rPr>
                <w:rFonts w:hint="default" w:ascii="Times New Roman" w:hAnsi="Times New Roman" w:cs="Times New Roman"/>
                <w:b/>
                <w:bCs/>
                <w:color w:val="auto"/>
                <w:spacing w:val="-6"/>
                <w:sz w:val="21"/>
                <w:szCs w:val="21"/>
              </w:rPr>
              <w:t xml:space="preserve">  项目主要医疗废物分类</w:t>
            </w:r>
          </w:p>
          <w:tbl>
            <w:tblPr>
              <w:tblStyle w:val="24"/>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150"/>
              <w:gridCol w:w="659"/>
              <w:gridCol w:w="1739"/>
              <w:gridCol w:w="4835"/>
            </w:tblGrid>
            <w:tr w14:paraId="4A14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1150" w:type="dxa"/>
                  <w:noWrap w:val="0"/>
                  <w:vAlign w:val="center"/>
                </w:tcPr>
                <w:p w14:paraId="5AF43B19">
                  <w:pPr>
                    <w:autoSpaceDE w:val="0"/>
                    <w:autoSpaceDN w:val="0"/>
                    <w:adjustRightInd w:val="0"/>
                    <w:spacing w:line="240" w:lineRule="auto"/>
                    <w:jc w:val="center"/>
                    <w:rPr>
                      <w:rFonts w:hint="default" w:ascii="Times New Roman" w:hAnsi="Times New Roman" w:eastAsia="宋体" w:cs="Times New Roman"/>
                      <w:b/>
                      <w:color w:val="auto"/>
                      <w:spacing w:val="-6"/>
                      <w:sz w:val="21"/>
                      <w:szCs w:val="21"/>
                      <w:lang w:val="en-US" w:eastAsia="zh-CN"/>
                    </w:rPr>
                  </w:pPr>
                  <w:r>
                    <w:rPr>
                      <w:rFonts w:hint="eastAsia" w:ascii="Times New Roman" w:hAnsi="Times New Roman" w:eastAsia="宋体" w:cs="Times New Roman"/>
                      <w:b/>
                      <w:color w:val="auto"/>
                      <w:spacing w:val="-6"/>
                      <w:sz w:val="21"/>
                      <w:szCs w:val="21"/>
                      <w:lang w:val="en-US" w:eastAsia="zh-CN"/>
                    </w:rPr>
                    <w:t>废物代码</w:t>
                  </w:r>
                </w:p>
              </w:tc>
              <w:tc>
                <w:tcPr>
                  <w:tcW w:w="659" w:type="dxa"/>
                  <w:noWrap w:val="0"/>
                  <w:vAlign w:val="center"/>
                </w:tcPr>
                <w:p w14:paraId="257FE799">
                  <w:pPr>
                    <w:autoSpaceDE w:val="0"/>
                    <w:autoSpaceDN w:val="0"/>
                    <w:adjustRightInd w:val="0"/>
                    <w:spacing w:line="240" w:lineRule="auto"/>
                    <w:jc w:val="center"/>
                    <w:rPr>
                      <w:rFonts w:hint="default" w:ascii="Times New Roman" w:hAnsi="Times New Roman" w:eastAsia="宋体" w:cs="Times New Roman"/>
                      <w:b/>
                      <w:color w:val="auto"/>
                      <w:spacing w:val="-6"/>
                      <w:sz w:val="21"/>
                      <w:szCs w:val="21"/>
                    </w:rPr>
                  </w:pPr>
                  <w:r>
                    <w:rPr>
                      <w:rFonts w:hint="default" w:ascii="Times New Roman" w:hAnsi="Times New Roman" w:eastAsia="宋体" w:cs="Times New Roman"/>
                      <w:b/>
                      <w:color w:val="auto"/>
                      <w:spacing w:val="-6"/>
                      <w:sz w:val="21"/>
                      <w:szCs w:val="21"/>
                    </w:rPr>
                    <w:t>类别</w:t>
                  </w:r>
                </w:p>
              </w:tc>
              <w:tc>
                <w:tcPr>
                  <w:tcW w:w="1739" w:type="dxa"/>
                  <w:noWrap w:val="0"/>
                  <w:vAlign w:val="center"/>
                </w:tcPr>
                <w:p w14:paraId="28A303DF">
                  <w:pPr>
                    <w:autoSpaceDE w:val="0"/>
                    <w:autoSpaceDN w:val="0"/>
                    <w:adjustRightInd w:val="0"/>
                    <w:spacing w:line="240" w:lineRule="auto"/>
                    <w:jc w:val="center"/>
                    <w:rPr>
                      <w:rFonts w:hint="default" w:ascii="Times New Roman" w:hAnsi="Times New Roman" w:eastAsia="宋体" w:cs="Times New Roman"/>
                      <w:b/>
                      <w:color w:val="auto"/>
                      <w:spacing w:val="-6"/>
                      <w:sz w:val="21"/>
                      <w:szCs w:val="21"/>
                    </w:rPr>
                  </w:pPr>
                  <w:r>
                    <w:rPr>
                      <w:rFonts w:hint="default" w:ascii="Times New Roman" w:hAnsi="Times New Roman" w:eastAsia="宋体" w:cs="Times New Roman"/>
                      <w:b/>
                      <w:color w:val="auto"/>
                      <w:spacing w:val="-6"/>
                      <w:sz w:val="21"/>
                      <w:szCs w:val="21"/>
                    </w:rPr>
                    <w:t>特征</w:t>
                  </w:r>
                </w:p>
              </w:tc>
              <w:tc>
                <w:tcPr>
                  <w:tcW w:w="4835" w:type="dxa"/>
                  <w:noWrap w:val="0"/>
                  <w:vAlign w:val="center"/>
                </w:tcPr>
                <w:p w14:paraId="3B3607B4">
                  <w:pPr>
                    <w:autoSpaceDE w:val="0"/>
                    <w:autoSpaceDN w:val="0"/>
                    <w:adjustRightInd w:val="0"/>
                    <w:spacing w:line="240" w:lineRule="auto"/>
                    <w:jc w:val="center"/>
                    <w:rPr>
                      <w:rFonts w:hint="default" w:ascii="Times New Roman" w:hAnsi="Times New Roman" w:eastAsia="宋体" w:cs="Times New Roman"/>
                      <w:b/>
                      <w:color w:val="auto"/>
                      <w:spacing w:val="-6"/>
                      <w:sz w:val="21"/>
                      <w:szCs w:val="21"/>
                    </w:rPr>
                  </w:pPr>
                  <w:r>
                    <w:rPr>
                      <w:rFonts w:hint="default" w:ascii="Times New Roman" w:hAnsi="Times New Roman" w:eastAsia="宋体" w:cs="Times New Roman"/>
                      <w:b/>
                      <w:color w:val="auto"/>
                      <w:spacing w:val="-6"/>
                      <w:sz w:val="21"/>
                      <w:szCs w:val="21"/>
                    </w:rPr>
                    <w:t>常见组分或者废物名称</w:t>
                  </w:r>
                </w:p>
              </w:tc>
            </w:tr>
            <w:tr w14:paraId="63DA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150" w:type="dxa"/>
                  <w:vMerge w:val="restart"/>
                  <w:noWrap w:val="0"/>
                  <w:vAlign w:val="center"/>
                </w:tcPr>
                <w:p w14:paraId="10FDD4A5">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841-001-01</w:t>
                  </w:r>
                </w:p>
              </w:tc>
              <w:tc>
                <w:tcPr>
                  <w:tcW w:w="659" w:type="dxa"/>
                  <w:vMerge w:val="restart"/>
                  <w:noWrap w:val="0"/>
                  <w:vAlign w:val="center"/>
                </w:tcPr>
                <w:p w14:paraId="63B401CC">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感染性废物</w:t>
                  </w:r>
                </w:p>
              </w:tc>
              <w:tc>
                <w:tcPr>
                  <w:tcW w:w="1739" w:type="dxa"/>
                  <w:vMerge w:val="restart"/>
                  <w:noWrap w:val="0"/>
                  <w:vAlign w:val="center"/>
                </w:tcPr>
                <w:p w14:paraId="22AB7074">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携带病原微生物具有引发感染性疾病传播危险的医疗废物。</w:t>
                  </w:r>
                </w:p>
              </w:tc>
              <w:tc>
                <w:tcPr>
                  <w:tcW w:w="4835" w:type="dxa"/>
                  <w:noWrap w:val="0"/>
                  <w:vAlign w:val="center"/>
                </w:tcPr>
                <w:p w14:paraId="55EAC55E">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1、被病人血液、体液、排泄物污染的物品，包括：</w:t>
                  </w:r>
                </w:p>
                <w:p w14:paraId="0F1F2828">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—棉球、棉签、引流棉条、纱布及其他各种敷料；</w:t>
                  </w:r>
                </w:p>
                <w:p w14:paraId="0E7797B4">
                  <w:pPr>
                    <w:autoSpaceDE w:val="0"/>
                    <w:autoSpaceDN w:val="0"/>
                    <w:adjustRightInd w:val="0"/>
                    <w:spacing w:line="240" w:lineRule="auto"/>
                    <w:ind w:left="416" w:hanging="396" w:hangingChars="200"/>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—一次性使用卫生用品、一次性使用医疗用品及一次性医疗器械；</w:t>
                  </w:r>
                </w:p>
                <w:p w14:paraId="011B3915">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—废弃的被服。</w:t>
                  </w:r>
                </w:p>
              </w:tc>
            </w:tr>
            <w:tr w14:paraId="761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jc w:val="center"/>
              </w:trPr>
              <w:tc>
                <w:tcPr>
                  <w:tcW w:w="1150" w:type="dxa"/>
                  <w:vMerge w:val="continue"/>
                  <w:noWrap w:val="0"/>
                  <w:vAlign w:val="center"/>
                </w:tcPr>
                <w:p w14:paraId="0DAB7B8A">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659" w:type="dxa"/>
                  <w:vMerge w:val="continue"/>
                  <w:noWrap w:val="0"/>
                  <w:vAlign w:val="center"/>
                </w:tcPr>
                <w:p w14:paraId="5CBFF1E6">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1739" w:type="dxa"/>
                  <w:vMerge w:val="continue"/>
                  <w:noWrap w:val="0"/>
                  <w:vAlign w:val="center"/>
                </w:tcPr>
                <w:p w14:paraId="2FF6B1FC">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4835" w:type="dxa"/>
                  <w:noWrap w:val="0"/>
                  <w:vAlign w:val="center"/>
                </w:tcPr>
                <w:p w14:paraId="609CF0F6">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val="en-US" w:eastAsia="zh-CN"/>
                    </w:rPr>
                    <w:t>2</w:t>
                  </w: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color w:val="auto"/>
                      <w:spacing w:val="-10"/>
                      <w:sz w:val="21"/>
                      <w:szCs w:val="21"/>
                    </w:rPr>
                    <w:t>使用后的一次性使用医疗用品及</w:t>
                  </w:r>
                  <w:r>
                    <w:rPr>
                      <w:rFonts w:hint="eastAsia" w:cs="Times New Roman"/>
                      <w:color w:val="auto"/>
                      <w:spacing w:val="-10"/>
                      <w:sz w:val="21"/>
                      <w:szCs w:val="21"/>
                      <w:lang w:eastAsia="zh-CN"/>
                    </w:rPr>
                    <w:t>一些</w:t>
                  </w:r>
                  <w:r>
                    <w:rPr>
                      <w:rFonts w:hint="default" w:ascii="Times New Roman" w:hAnsi="Times New Roman" w:eastAsia="宋体" w:cs="Times New Roman"/>
                      <w:color w:val="auto"/>
                      <w:spacing w:val="-10"/>
                      <w:sz w:val="21"/>
                      <w:szCs w:val="21"/>
                    </w:rPr>
                    <w:t>医疗器械视为感染性废物。</w:t>
                  </w:r>
                </w:p>
              </w:tc>
            </w:tr>
            <w:tr w14:paraId="1DBE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40" w:hRule="atLeast"/>
                <w:jc w:val="center"/>
              </w:trPr>
              <w:tc>
                <w:tcPr>
                  <w:tcW w:w="1150" w:type="dxa"/>
                  <w:noWrap w:val="0"/>
                  <w:vAlign w:val="center"/>
                </w:tcPr>
                <w:p w14:paraId="68268C97">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841-002-01</w:t>
                  </w:r>
                </w:p>
              </w:tc>
              <w:tc>
                <w:tcPr>
                  <w:tcW w:w="659" w:type="dxa"/>
                  <w:noWrap w:val="0"/>
                  <w:vAlign w:val="center"/>
                </w:tcPr>
                <w:p w14:paraId="4256A043">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损伤</w:t>
                  </w:r>
                </w:p>
                <w:p w14:paraId="2023AB33">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性废</w:t>
                  </w:r>
                </w:p>
                <w:p w14:paraId="142897D8">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物</w:t>
                  </w:r>
                </w:p>
              </w:tc>
              <w:tc>
                <w:tcPr>
                  <w:tcW w:w="1739" w:type="dxa"/>
                  <w:noWrap w:val="0"/>
                  <w:vAlign w:val="center"/>
                </w:tcPr>
                <w:p w14:paraId="0CFC9002">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能够刺伤或者割伤人体的废弃的医用锐器。</w:t>
                  </w:r>
                </w:p>
              </w:tc>
              <w:tc>
                <w:tcPr>
                  <w:tcW w:w="4835" w:type="dxa"/>
                  <w:noWrap w:val="0"/>
                  <w:vAlign w:val="center"/>
                </w:tcPr>
                <w:p w14:paraId="7DBB906D">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1、医用针头、缝合针。</w:t>
                  </w:r>
                </w:p>
              </w:tc>
            </w:tr>
            <w:tr w14:paraId="5ADA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95" w:hRule="atLeast"/>
                <w:jc w:val="center"/>
              </w:trPr>
              <w:tc>
                <w:tcPr>
                  <w:tcW w:w="1150" w:type="dxa"/>
                  <w:noWrap w:val="0"/>
                  <w:vAlign w:val="center"/>
                </w:tcPr>
                <w:p w14:paraId="07A5190A">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841-005-01</w:t>
                  </w:r>
                </w:p>
              </w:tc>
              <w:tc>
                <w:tcPr>
                  <w:tcW w:w="659" w:type="dxa"/>
                  <w:noWrap w:val="0"/>
                  <w:vAlign w:val="center"/>
                </w:tcPr>
                <w:p w14:paraId="6D0EEDA4">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药物性废物</w:t>
                  </w:r>
                </w:p>
              </w:tc>
              <w:tc>
                <w:tcPr>
                  <w:tcW w:w="1739" w:type="dxa"/>
                  <w:noWrap w:val="0"/>
                  <w:vAlign w:val="center"/>
                </w:tcPr>
                <w:p w14:paraId="22F36F1D">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过期、淘汰、变质或者被污染的废弃的药品。</w:t>
                  </w:r>
                </w:p>
              </w:tc>
              <w:tc>
                <w:tcPr>
                  <w:tcW w:w="4835" w:type="dxa"/>
                  <w:noWrap w:val="0"/>
                  <w:vAlign w:val="center"/>
                </w:tcPr>
                <w:p w14:paraId="2B583630">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1、废弃的一般性药品，如：抗生素、非处方类药品等。</w:t>
                  </w:r>
                </w:p>
              </w:tc>
            </w:tr>
            <w:tr w14:paraId="24E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20" w:hRule="atLeast"/>
                <w:jc w:val="center"/>
              </w:trPr>
              <w:tc>
                <w:tcPr>
                  <w:tcW w:w="1150" w:type="dxa"/>
                  <w:vMerge w:val="restart"/>
                  <w:noWrap w:val="0"/>
                  <w:vAlign w:val="center"/>
                </w:tcPr>
                <w:p w14:paraId="5F86D75C">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841-004-01</w:t>
                  </w:r>
                </w:p>
              </w:tc>
              <w:tc>
                <w:tcPr>
                  <w:tcW w:w="659" w:type="dxa"/>
                  <w:vMerge w:val="restart"/>
                  <w:noWrap w:val="0"/>
                  <w:vAlign w:val="center"/>
                </w:tcPr>
                <w:p w14:paraId="76E9A72E">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化学性废物</w:t>
                  </w:r>
                </w:p>
              </w:tc>
              <w:tc>
                <w:tcPr>
                  <w:tcW w:w="1739" w:type="dxa"/>
                  <w:vMerge w:val="restart"/>
                  <w:noWrap w:val="0"/>
                  <w:vAlign w:val="center"/>
                </w:tcPr>
                <w:p w14:paraId="7BFE7281">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具有毒性、腐蚀性、易燃易爆性的废弃的化学物品。</w:t>
                  </w:r>
                </w:p>
              </w:tc>
              <w:tc>
                <w:tcPr>
                  <w:tcW w:w="4835" w:type="dxa"/>
                  <w:noWrap w:val="0"/>
                  <w:vAlign w:val="center"/>
                </w:tcPr>
                <w:p w14:paraId="7B01F4DE">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1、废弃的过氧乙酸、戊二醛等化学消毒剂。</w:t>
                  </w:r>
                </w:p>
              </w:tc>
            </w:tr>
            <w:tr w14:paraId="1B76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4" w:hRule="atLeast"/>
                <w:jc w:val="center"/>
              </w:trPr>
              <w:tc>
                <w:tcPr>
                  <w:tcW w:w="1150" w:type="dxa"/>
                  <w:vMerge w:val="continue"/>
                  <w:noWrap w:val="0"/>
                  <w:vAlign w:val="center"/>
                </w:tcPr>
                <w:p w14:paraId="16F574A7">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659" w:type="dxa"/>
                  <w:vMerge w:val="continue"/>
                  <w:noWrap w:val="0"/>
                  <w:vAlign w:val="center"/>
                </w:tcPr>
                <w:p w14:paraId="0E975182">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1739" w:type="dxa"/>
                  <w:vMerge w:val="continue"/>
                  <w:noWrap w:val="0"/>
                  <w:vAlign w:val="center"/>
                </w:tcPr>
                <w:p w14:paraId="1EE4FD5D">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4835" w:type="dxa"/>
                  <w:noWrap w:val="0"/>
                  <w:vAlign w:val="center"/>
                </w:tcPr>
                <w:p w14:paraId="5BEA0482">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2、废弃的汞温度计。</w:t>
                  </w:r>
                </w:p>
              </w:tc>
            </w:tr>
          </w:tbl>
          <w:p w14:paraId="59D74BAD">
            <w:pPr>
              <w:numPr>
                <w:ilvl w:val="0"/>
                <w:numId w:val="0"/>
              </w:numPr>
              <w:spacing w:line="360" w:lineRule="auto"/>
              <w:ind w:firstLine="482" w:firstLineChars="200"/>
              <w:rPr>
                <w:rFonts w:hint="eastAsia"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（4）</w:t>
            </w:r>
            <w:r>
              <w:rPr>
                <w:rFonts w:hint="eastAsia" w:cs="Times New Roman"/>
                <w:b/>
                <w:bCs/>
                <w:color w:val="auto"/>
                <w:sz w:val="24"/>
                <w:szCs w:val="24"/>
                <w:lang w:val="en-US" w:eastAsia="zh-CN"/>
              </w:rPr>
              <w:t>药品废包装（</w:t>
            </w:r>
            <w:r>
              <w:rPr>
                <w:rFonts w:hint="default" w:ascii="Times New Roman" w:hAnsi="Times New Roman" w:eastAsia="宋体" w:cs="Times New Roman"/>
                <w:color w:val="auto"/>
                <w:sz w:val="24"/>
                <w:szCs w:val="24"/>
                <w:lang w:val="en-US" w:eastAsia="zh-CN"/>
              </w:rPr>
              <w:t>未</w:t>
            </w:r>
            <w:r>
              <w:rPr>
                <w:rFonts w:hint="eastAsia" w:eastAsia="宋体" w:cs="Times New Roman"/>
                <w:color w:val="auto"/>
                <w:sz w:val="24"/>
                <w:szCs w:val="24"/>
                <w:lang w:val="en-US" w:eastAsia="zh-CN"/>
              </w:rPr>
              <w:t>沾染</w:t>
            </w:r>
            <w:r>
              <w:rPr>
                <w:rFonts w:hint="default" w:ascii="Times New Roman" w:hAnsi="Times New Roman" w:eastAsia="宋体" w:cs="Times New Roman"/>
                <w:color w:val="auto"/>
                <w:sz w:val="24"/>
                <w:szCs w:val="24"/>
                <w:lang w:val="en-US" w:eastAsia="zh-CN"/>
              </w:rPr>
              <w:t>感染性</w:t>
            </w:r>
            <w:r>
              <w:rPr>
                <w:rFonts w:hint="eastAsia" w:eastAsia="宋体" w:cs="Times New Roman"/>
                <w:color w:val="auto"/>
                <w:sz w:val="24"/>
                <w:szCs w:val="24"/>
                <w:lang w:val="en-US" w:eastAsia="zh-CN"/>
              </w:rPr>
              <w:t>物质</w:t>
            </w:r>
            <w:r>
              <w:rPr>
                <w:rFonts w:hint="eastAsia" w:cs="Times New Roman"/>
                <w:b/>
                <w:bCs/>
                <w:color w:val="auto"/>
                <w:sz w:val="24"/>
                <w:szCs w:val="24"/>
                <w:lang w:val="en-US" w:eastAsia="zh-CN"/>
              </w:rPr>
              <w:t>）</w:t>
            </w:r>
          </w:p>
          <w:p w14:paraId="11CA7711">
            <w:pPr>
              <w:pStyle w:val="12"/>
              <w:bidi w:val="0"/>
              <w:rPr>
                <w:rFonts w:hint="default"/>
                <w:color w:val="auto"/>
                <w:lang w:val="en-US" w:eastAsia="zh-CN"/>
              </w:rPr>
            </w:pPr>
            <w:r>
              <w:rPr>
                <w:rFonts w:hint="default" w:ascii="Times New Roman" w:hAnsi="Times New Roman" w:eastAsia="宋体" w:cs="Times New Roman"/>
                <w:color w:val="auto"/>
                <w:lang w:val="en-US" w:eastAsia="zh-CN"/>
              </w:rPr>
              <w:t>包装材料主要指医院服务过程中产生的各类玻璃药瓶（未被感染性物质污染的玻璃液体瓶或药瓶）、纸箱纸盒、塑料包装物等，根据建设单位提供</w:t>
            </w:r>
            <w:r>
              <w:rPr>
                <w:rFonts w:hint="eastAsia" w:cs="Times New Roman"/>
                <w:color w:val="auto"/>
                <w:lang w:val="en-US" w:eastAsia="zh-CN"/>
              </w:rPr>
              <w:t>资料</w:t>
            </w:r>
            <w:r>
              <w:rPr>
                <w:rFonts w:hint="default" w:ascii="Times New Roman" w:hAnsi="Times New Roman" w:eastAsia="宋体" w:cs="Times New Roman"/>
                <w:color w:val="auto"/>
                <w:lang w:val="en-US" w:eastAsia="zh-CN"/>
              </w:rPr>
              <w:t>，产生量为</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kg/d，年运行365d，则产生量为</w:t>
            </w:r>
            <w:r>
              <w:rPr>
                <w:rFonts w:hint="eastAsia" w:ascii="Times New Roman" w:hAnsi="Times New Roman" w:eastAsia="宋体" w:cs="Times New Roman"/>
                <w:color w:val="auto"/>
                <w:lang w:val="en-US" w:eastAsia="zh-CN"/>
              </w:rPr>
              <w:t>1.825</w:t>
            </w:r>
            <w:r>
              <w:rPr>
                <w:rFonts w:hint="default" w:ascii="Times New Roman" w:hAnsi="Times New Roman" w:eastAsia="宋体" w:cs="Times New Roman"/>
                <w:color w:val="auto"/>
                <w:lang w:val="en-US" w:eastAsia="zh-CN"/>
              </w:rPr>
              <w:t>t/a。废包装材料属于一般固体废物，根据《固体废物分类与代码目录2024版》，属于SW59其他工业固体废物，编码为900-099-S59，废包装材料能回收的外售给废品回收站</w:t>
            </w:r>
            <w:r>
              <w:rPr>
                <w:rFonts w:hint="eastAsia" w:cs="Times New Roman"/>
                <w:color w:val="auto"/>
                <w:lang w:val="en-US" w:eastAsia="zh-CN"/>
              </w:rPr>
              <w:t>。</w:t>
            </w:r>
          </w:p>
          <w:p w14:paraId="6160143F">
            <w:pPr>
              <w:pStyle w:val="12"/>
              <w:numPr>
                <w:ilvl w:val="0"/>
                <w:numId w:val="0"/>
              </w:numPr>
              <w:bidi w:val="0"/>
              <w:ind w:firstLine="482" w:firstLineChars="200"/>
              <w:rPr>
                <w:rFonts w:hint="eastAsia"/>
                <w:b/>
                <w:bCs/>
                <w:color w:val="auto"/>
                <w:lang w:val="en-US" w:eastAsia="zh-CN"/>
              </w:rPr>
            </w:pPr>
            <w:r>
              <w:rPr>
                <w:rFonts w:hint="eastAsia" w:ascii="Times New Roman" w:hAnsi="Times New Roman" w:eastAsia="宋体" w:cs="Times New Roman"/>
                <w:b/>
                <w:bCs/>
                <w:color w:val="auto"/>
                <w:kern w:val="2"/>
                <w:sz w:val="24"/>
                <w:szCs w:val="22"/>
                <w:lang w:val="en-US" w:eastAsia="zh-CN" w:bidi="ar-SA"/>
              </w:rPr>
              <w:t>（5）</w:t>
            </w:r>
            <w:r>
              <w:rPr>
                <w:rFonts w:hint="eastAsia"/>
                <w:b/>
                <w:bCs/>
                <w:color w:val="auto"/>
                <w:lang w:val="en-US" w:eastAsia="zh-CN"/>
              </w:rPr>
              <w:t>餐厨垃圾</w:t>
            </w:r>
          </w:p>
          <w:p w14:paraId="4DFDE053">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本项目食堂由原项目宿舍区改造，项目</w:t>
            </w:r>
            <w:r>
              <w:rPr>
                <w:rFonts w:hint="default" w:ascii="Times New Roman" w:hAnsi="Times New Roman" w:cs="Times New Roman"/>
                <w:color w:val="auto"/>
                <w:sz w:val="24"/>
                <w:szCs w:val="24"/>
              </w:rPr>
              <w:t>食堂</w:t>
            </w:r>
            <w:r>
              <w:rPr>
                <w:rFonts w:hint="eastAsia" w:cs="Times New Roman"/>
                <w:color w:val="auto"/>
                <w:sz w:val="24"/>
                <w:szCs w:val="24"/>
                <w:lang w:val="en-US" w:eastAsia="zh-CN"/>
              </w:rPr>
              <w:t>午餐就餐人数156人，早餐、晚餐就餐人数118人，</w:t>
            </w:r>
            <w:r>
              <w:rPr>
                <w:rFonts w:hint="default" w:ascii="Times New Roman" w:hAnsi="Times New Roman" w:cs="Times New Roman"/>
                <w:color w:val="auto"/>
                <w:sz w:val="24"/>
                <w:szCs w:val="24"/>
              </w:rPr>
              <w:t>食堂餐厨垃圾产生量以0.</w:t>
            </w:r>
            <w:r>
              <w:rPr>
                <w:rFonts w:hint="eastAsia" w:cs="Times New Roman"/>
                <w:color w:val="auto"/>
                <w:sz w:val="24"/>
                <w:szCs w:val="24"/>
                <w:lang w:val="en-US" w:eastAsia="zh-CN"/>
              </w:rPr>
              <w:t>08</w:t>
            </w:r>
            <w:r>
              <w:rPr>
                <w:rFonts w:hint="default" w:ascii="Times New Roman" w:hAnsi="Times New Roman" w:cs="Times New Roman"/>
                <w:color w:val="auto"/>
                <w:sz w:val="24"/>
                <w:szCs w:val="24"/>
              </w:rPr>
              <w:t>kg/人·</w:t>
            </w:r>
            <w:r>
              <w:rPr>
                <w:rFonts w:hint="eastAsia" w:cs="Times New Roman"/>
                <w:color w:val="auto"/>
                <w:sz w:val="24"/>
                <w:szCs w:val="24"/>
                <w:lang w:val="en-US" w:eastAsia="zh-CN"/>
              </w:rPr>
              <w:t>餐</w:t>
            </w:r>
            <w:r>
              <w:rPr>
                <w:rFonts w:hint="default" w:ascii="Times New Roman" w:hAnsi="Times New Roman" w:cs="Times New Roman"/>
                <w:color w:val="auto"/>
                <w:sz w:val="24"/>
                <w:szCs w:val="24"/>
              </w:rPr>
              <w:t>计，则项目餐厨垃圾产生量为</w:t>
            </w:r>
            <w:r>
              <w:rPr>
                <w:rFonts w:hint="eastAsia" w:cs="Times New Roman"/>
                <w:color w:val="auto"/>
                <w:sz w:val="24"/>
                <w:szCs w:val="24"/>
                <w:lang w:val="en-US" w:eastAsia="zh-CN"/>
              </w:rPr>
              <w:t>31.36</w:t>
            </w:r>
            <w:r>
              <w:rPr>
                <w:rFonts w:hint="default" w:ascii="Times New Roman" w:hAnsi="Times New Roman" w:cs="Times New Roman"/>
                <w:color w:val="auto"/>
                <w:sz w:val="24"/>
                <w:szCs w:val="24"/>
              </w:rPr>
              <w:t>kg/d、</w:t>
            </w:r>
            <w:r>
              <w:rPr>
                <w:rFonts w:hint="eastAsia" w:cs="Times New Roman"/>
                <w:color w:val="auto"/>
                <w:sz w:val="24"/>
                <w:szCs w:val="24"/>
                <w:lang w:val="en-US" w:eastAsia="zh-CN"/>
              </w:rPr>
              <w:t>11.446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餐厨垃圾</w:t>
            </w:r>
            <w:r>
              <w:rPr>
                <w:rFonts w:hint="eastAsia" w:cs="Times New Roman"/>
                <w:color w:val="auto"/>
                <w:sz w:val="24"/>
                <w:szCs w:val="24"/>
                <w:lang w:val="en-US" w:eastAsia="zh-CN"/>
              </w:rPr>
              <w:t>委托有资质单位进行清运处置</w:t>
            </w:r>
            <w:r>
              <w:rPr>
                <w:rFonts w:hint="default" w:ascii="Times New Roman" w:hAnsi="Times New Roman" w:cs="Times New Roman"/>
                <w:color w:val="auto"/>
                <w:sz w:val="24"/>
                <w:szCs w:val="24"/>
              </w:rPr>
              <w:t>。</w:t>
            </w:r>
          </w:p>
          <w:p w14:paraId="73C64F29">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eastAsia="zh-CN"/>
              </w:rPr>
              <w:t>（</w:t>
            </w:r>
            <w:r>
              <w:rPr>
                <w:rFonts w:hint="eastAsia" w:cs="Times New Roman"/>
                <w:b/>
                <w:bCs/>
                <w:color w:val="auto"/>
                <w:sz w:val="24"/>
                <w:lang w:val="en-US" w:eastAsia="zh-CN"/>
              </w:rPr>
              <w:t>6</w:t>
            </w:r>
            <w:r>
              <w:rPr>
                <w:rFonts w:hint="eastAsia" w:ascii="Times New Roman" w:hAnsi="Times New Roman" w:cs="Times New Roman"/>
                <w:b/>
                <w:bCs/>
                <w:color w:val="auto"/>
                <w:sz w:val="24"/>
                <w:lang w:eastAsia="zh-CN"/>
              </w:rPr>
              <w:t>）</w:t>
            </w:r>
            <w:r>
              <w:rPr>
                <w:rFonts w:hint="eastAsia" w:cs="Times New Roman"/>
                <w:b/>
                <w:bCs/>
                <w:color w:val="auto"/>
                <w:sz w:val="24"/>
                <w:lang w:val="en-US" w:eastAsia="zh-CN"/>
              </w:rPr>
              <w:t>油水分离器</w:t>
            </w:r>
            <w:r>
              <w:rPr>
                <w:rFonts w:hint="eastAsia" w:ascii="Times New Roman" w:hAnsi="Times New Roman" w:cs="Times New Roman"/>
                <w:b/>
                <w:bCs/>
                <w:color w:val="auto"/>
                <w:sz w:val="24"/>
                <w:lang w:val="en-US" w:eastAsia="zh-CN"/>
              </w:rPr>
              <w:t>油污</w:t>
            </w:r>
          </w:p>
          <w:p w14:paraId="18DCBAE6">
            <w:pPr>
              <w:pStyle w:val="12"/>
              <w:bidi w:val="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w:t>
            </w:r>
            <w:r>
              <w:rPr>
                <w:rFonts w:hint="eastAsia" w:cs="Times New Roman"/>
                <w:color w:val="auto"/>
                <w:sz w:val="24"/>
                <w:lang w:val="en-US" w:eastAsia="zh-CN"/>
              </w:rPr>
              <w:t>油水分离器</w:t>
            </w:r>
            <w:r>
              <w:rPr>
                <w:rFonts w:hint="eastAsia" w:ascii="Times New Roman" w:hAnsi="Times New Roman" w:cs="Times New Roman"/>
                <w:color w:val="auto"/>
                <w:sz w:val="24"/>
                <w:lang w:val="en-US" w:eastAsia="zh-CN"/>
              </w:rPr>
              <w:t>对油污的处理效率为</w:t>
            </w:r>
            <w:r>
              <w:rPr>
                <w:rFonts w:hint="eastAsia" w:cs="Times New Roman"/>
                <w:color w:val="auto"/>
                <w:sz w:val="24"/>
                <w:lang w:val="en-US" w:eastAsia="zh-CN"/>
              </w:rPr>
              <w:t>80</w:t>
            </w:r>
            <w:r>
              <w:rPr>
                <w:rFonts w:hint="eastAsia" w:ascii="Times New Roman" w:hAnsi="Times New Roman" w:cs="Times New Roman"/>
                <w:color w:val="auto"/>
                <w:sz w:val="24"/>
                <w:lang w:val="en-US" w:eastAsia="zh-CN"/>
              </w:rPr>
              <w:t>%，项目食堂废水量为2.664m³/d，</w:t>
            </w:r>
            <w:r>
              <w:rPr>
                <w:rFonts w:hint="eastAsia" w:cs="Times New Roman"/>
                <w:color w:val="auto"/>
                <w:sz w:val="24"/>
                <w:lang w:val="en-US" w:eastAsia="zh-CN"/>
              </w:rPr>
              <w:t>根据本章节表4-5</w:t>
            </w:r>
            <w:r>
              <w:rPr>
                <w:rFonts w:hint="eastAsia" w:ascii="Times New Roman" w:hAnsi="Times New Roman" w:cs="Times New Roman"/>
                <w:color w:val="auto"/>
                <w:sz w:val="24"/>
                <w:lang w:val="en-US" w:eastAsia="zh-CN"/>
              </w:rPr>
              <w:t>植物油</w:t>
            </w:r>
            <w:r>
              <w:rPr>
                <w:rFonts w:hint="eastAsia" w:cs="Times New Roman"/>
                <w:color w:val="auto"/>
                <w:sz w:val="24"/>
                <w:lang w:val="en-US" w:eastAsia="zh-CN"/>
              </w:rPr>
              <w:t>产生</w:t>
            </w:r>
            <w:r>
              <w:rPr>
                <w:rFonts w:hint="eastAsia" w:ascii="Times New Roman" w:hAnsi="Times New Roman" w:cs="Times New Roman"/>
                <w:color w:val="auto"/>
                <w:sz w:val="24"/>
                <w:lang w:val="en-US" w:eastAsia="zh-CN"/>
              </w:rPr>
              <w:t>浓度为4</w:t>
            </w:r>
            <w:r>
              <w:rPr>
                <w:rFonts w:hint="eastAsia" w:cs="Times New Roman"/>
                <w:color w:val="auto"/>
                <w:sz w:val="24"/>
                <w:lang w:val="en-US" w:eastAsia="zh-CN"/>
              </w:rPr>
              <w:t>0</w:t>
            </w:r>
            <w:r>
              <w:rPr>
                <w:rFonts w:hint="eastAsia" w:ascii="Times New Roman" w:hAnsi="Times New Roman" w:cs="Times New Roman"/>
                <w:color w:val="auto"/>
                <w:sz w:val="24"/>
                <w:lang w:val="en-US" w:eastAsia="zh-CN"/>
              </w:rPr>
              <w:t>mg/L，</w:t>
            </w:r>
            <w:r>
              <w:rPr>
                <w:rFonts w:hint="eastAsia" w:cs="Times New Roman"/>
                <w:color w:val="auto"/>
                <w:sz w:val="24"/>
                <w:lang w:val="en-US" w:eastAsia="zh-CN"/>
              </w:rPr>
              <w:t>排放浓度为0.86</w:t>
            </w:r>
            <w:r>
              <w:rPr>
                <w:rFonts w:hint="eastAsia" w:ascii="Times New Roman" w:hAnsi="Times New Roman" w:cs="Times New Roman"/>
                <w:color w:val="auto"/>
                <w:sz w:val="24"/>
                <w:lang w:val="en-US" w:eastAsia="zh-CN"/>
              </w:rPr>
              <w:t>mg/L，总用水量为11143.2445m³/a。则油污</w:t>
            </w:r>
            <w:r>
              <w:rPr>
                <w:rFonts w:hint="eastAsia" w:cs="Times New Roman"/>
                <w:color w:val="auto"/>
                <w:sz w:val="24"/>
                <w:lang w:val="en-US" w:eastAsia="zh-CN"/>
              </w:rPr>
              <w:t>产生量为1.216kg/d，0.444t/a，</w:t>
            </w:r>
            <w:r>
              <w:rPr>
                <w:rFonts w:hint="eastAsia" w:ascii="Times New Roman" w:hAnsi="Times New Roman" w:cs="Times New Roman"/>
                <w:color w:val="auto"/>
                <w:sz w:val="24"/>
                <w:lang w:val="en-US" w:eastAsia="zh-CN"/>
              </w:rPr>
              <w:t>则</w:t>
            </w:r>
            <w:r>
              <w:rPr>
                <w:rFonts w:hint="eastAsia" w:cs="Times New Roman"/>
                <w:color w:val="auto"/>
                <w:sz w:val="24"/>
                <w:lang w:val="en-US" w:eastAsia="zh-CN"/>
              </w:rPr>
              <w:t>油水分离器收集</w:t>
            </w:r>
            <w:r>
              <w:rPr>
                <w:rFonts w:hint="eastAsia" w:ascii="Times New Roman" w:hAnsi="Times New Roman" w:cs="Times New Roman"/>
                <w:color w:val="auto"/>
                <w:sz w:val="24"/>
                <w:lang w:val="en-US" w:eastAsia="zh-CN"/>
              </w:rPr>
              <w:t>的油污量为</w:t>
            </w:r>
            <w:r>
              <w:rPr>
                <w:rFonts w:hint="eastAsia" w:cs="Times New Roman"/>
                <w:color w:val="auto"/>
                <w:sz w:val="24"/>
                <w:lang w:val="en-US" w:eastAsia="zh-CN"/>
              </w:rPr>
              <w:t>1.189</w:t>
            </w:r>
            <w:r>
              <w:rPr>
                <w:rFonts w:hint="eastAsia" w:ascii="Times New Roman" w:hAnsi="Times New Roman" w:cs="Times New Roman"/>
                <w:color w:val="auto"/>
                <w:sz w:val="24"/>
                <w:lang w:val="en-US" w:eastAsia="zh-CN"/>
              </w:rPr>
              <w:t>kg/d，0.</w:t>
            </w:r>
            <w:r>
              <w:rPr>
                <w:rFonts w:hint="eastAsia" w:cs="Times New Roman"/>
                <w:color w:val="auto"/>
                <w:sz w:val="24"/>
                <w:lang w:val="en-US" w:eastAsia="zh-CN"/>
              </w:rPr>
              <w:t>434</w:t>
            </w:r>
            <w:r>
              <w:rPr>
                <w:rFonts w:hint="eastAsia" w:ascii="Times New Roman" w:hAnsi="Times New Roman" w:cs="Times New Roman"/>
                <w:color w:val="auto"/>
                <w:sz w:val="24"/>
                <w:lang w:val="en-US" w:eastAsia="zh-CN"/>
              </w:rPr>
              <w:t>t/a。</w:t>
            </w:r>
          </w:p>
          <w:p w14:paraId="1E69E5B0">
            <w:p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（7）废紫外灯管</w:t>
            </w:r>
          </w:p>
          <w:p w14:paraId="0A534ABE">
            <w:p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项目利用紫外线灯管消毒，此过程中将产生废紫外灯管，项目紫外灯管使用寿命约为2000h，约每年需更换1次灯管，共15支灯管，则本项目废紫外灯管产生量为约0.0027t/a。按照《国家危险废物名录》(2025年版)，属于“名录”所列的HW29：900-023-29类危险废物，产生的废灯管密封收集于医疗废物暂存间，定期由厂家回收统一处置。</w:t>
            </w:r>
          </w:p>
          <w:p w14:paraId="5FF1CC19">
            <w:pPr>
              <w:pStyle w:val="12"/>
              <w:numPr>
                <w:ilvl w:val="0"/>
                <w:numId w:val="0"/>
              </w:numPr>
              <w:bidi w:val="0"/>
              <w:ind w:left="0" w:leftChars="0" w:firstLine="482" w:firstLineChars="200"/>
              <w:rPr>
                <w:rFonts w:hint="eastAsia" w:cs="Times New Roman"/>
                <w:b/>
                <w:bCs/>
                <w:color w:val="auto"/>
                <w:sz w:val="24"/>
                <w:lang w:val="en-US" w:eastAsia="zh-CN"/>
              </w:rPr>
            </w:pPr>
            <w:r>
              <w:rPr>
                <w:rFonts w:hint="eastAsia" w:cs="Times New Roman"/>
                <w:b/>
                <w:bCs/>
                <w:color w:val="auto"/>
                <w:sz w:val="24"/>
                <w:lang w:val="en-US" w:eastAsia="zh-CN"/>
              </w:rPr>
              <w:t>（8）</w:t>
            </w:r>
            <w:r>
              <w:rPr>
                <w:rFonts w:hint="eastAsia" w:cs="Times New Roman"/>
                <w:b/>
                <w:bCs/>
                <w:color w:val="auto"/>
                <w:lang w:val="en-US" w:eastAsia="zh-CN"/>
              </w:rPr>
              <w:t>废矿物油</w:t>
            </w:r>
          </w:p>
          <w:p w14:paraId="6EEBE3BC">
            <w:pPr>
              <w:pStyle w:val="12"/>
              <w:numPr>
                <w:ilvl w:val="0"/>
                <w:numId w:val="0"/>
              </w:numPr>
              <w:bidi w:val="0"/>
              <w:ind w:firstLine="480" w:firstLineChars="200"/>
              <w:rPr>
                <w:rFonts w:hint="default" w:cs="Times New Roman"/>
                <w:b w:val="0"/>
                <w:bCs w:val="0"/>
                <w:color w:val="auto"/>
                <w:lang w:val="en-US" w:eastAsia="zh-CN"/>
              </w:rPr>
            </w:pPr>
            <w:r>
              <w:rPr>
                <w:rFonts w:hint="eastAsia" w:cs="Times New Roman"/>
                <w:b w:val="0"/>
                <w:bCs w:val="0"/>
                <w:color w:val="auto"/>
                <w:lang w:val="en-US" w:eastAsia="zh-CN"/>
              </w:rPr>
              <w:t>项目污水处理设备检修时会产生废矿物油，根据</w:t>
            </w:r>
            <w:r>
              <w:rPr>
                <w:rFonts w:hint="eastAsia" w:ascii="Times New Roman" w:hAnsi="Times New Roman" w:cs="Times New Roman"/>
                <w:b w:val="0"/>
                <w:bCs w:val="0"/>
                <w:color w:val="auto"/>
                <w:lang w:val="en-US" w:eastAsia="zh-CN"/>
              </w:rPr>
              <w:t>《国家危险废物名录》（2025年版）</w:t>
            </w:r>
            <w:r>
              <w:rPr>
                <w:rFonts w:hint="eastAsia" w:cs="Times New Roman"/>
                <w:b w:val="0"/>
                <w:bCs w:val="0"/>
                <w:color w:val="auto"/>
                <w:lang w:val="en-US" w:eastAsia="zh-CN"/>
              </w:rPr>
              <w:t>，该项目属于HW08废矿物油与含矿物油废物危险废物编码：</w:t>
            </w:r>
            <w:r>
              <w:rPr>
                <w:rFonts w:hint="default" w:ascii="Times New Roman" w:hAnsi="Times New Roman" w:eastAsia="Helvetica" w:cs="Times New Roman"/>
                <w:i w:val="0"/>
                <w:iCs w:val="0"/>
                <w:caps w:val="0"/>
                <w:color w:val="auto"/>
                <w:spacing w:val="0"/>
                <w:sz w:val="24"/>
                <w:szCs w:val="24"/>
                <w:shd w:val="clear" w:fill="FFFFFF"/>
              </w:rPr>
              <w:t>900-214-08</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eastAsia" w:ascii="Times New Roman" w:hAnsi="Times New Roman" w:eastAsia="宋体" w:cs="Times New Roman"/>
                <w:i w:val="0"/>
                <w:iCs w:val="0"/>
                <w:caps w:val="0"/>
                <w:color w:val="auto"/>
                <w:spacing w:val="0"/>
                <w:sz w:val="24"/>
                <w:szCs w:val="24"/>
                <w:shd w:val="clear" w:fill="FFFFFF"/>
                <w:lang w:val="en-US" w:eastAsia="zh-CN"/>
              </w:rPr>
              <w:t>根据建设单位运行经验，项目废矿物油</w:t>
            </w:r>
            <w:r>
              <w:rPr>
                <w:rFonts w:hint="eastAsia" w:cs="Times New Roman"/>
                <w:b w:val="0"/>
                <w:bCs w:val="0"/>
                <w:color w:val="auto"/>
                <w:lang w:val="en-US" w:eastAsia="zh-CN"/>
              </w:rPr>
              <w:t>产生量约为0.1t/a，存放在医疗废物存放间，委托资质单位进行清运和处置。</w:t>
            </w:r>
          </w:p>
          <w:p w14:paraId="40D3A832">
            <w:pPr>
              <w:keepNext w:val="0"/>
              <w:keepLines w:val="0"/>
              <w:suppressLineNumbers w:val="0"/>
              <w:spacing w:beforeAutospacing="0" w:afterAutospacing="0" w:line="360" w:lineRule="auto"/>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固体废物</w:t>
            </w:r>
            <w:r>
              <w:rPr>
                <w:rFonts w:hint="default" w:ascii="Times New Roman" w:hAnsi="Times New Roman" w:eastAsia="宋体" w:cs="Times New Roman"/>
                <w:b/>
                <w:bCs/>
                <w:color w:val="auto"/>
                <w:sz w:val="21"/>
                <w:szCs w:val="21"/>
              </w:rPr>
              <w:t>产生及处置方式一览表</w:t>
            </w:r>
          </w:p>
          <w:tbl>
            <w:tblPr>
              <w:tblStyle w:val="25"/>
              <w:tblW w:w="8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38"/>
              <w:gridCol w:w="1219"/>
              <w:gridCol w:w="1021"/>
              <w:gridCol w:w="1227"/>
              <w:gridCol w:w="764"/>
              <w:gridCol w:w="774"/>
              <w:gridCol w:w="821"/>
              <w:gridCol w:w="982"/>
            </w:tblGrid>
            <w:tr w14:paraId="42CF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413" w:type="pct"/>
                  <w:noWrap w:val="0"/>
                  <w:vAlign w:val="center"/>
                </w:tcPr>
                <w:p w14:paraId="40E3F39F">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502" w:type="pct"/>
                  <w:shd w:val="clear" w:color="auto" w:fill="auto"/>
                  <w:noWrap w:val="0"/>
                  <w:vAlign w:val="center"/>
                </w:tcPr>
                <w:p w14:paraId="19B5D9AB">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b/>
                      <w:bCs/>
                      <w:color w:val="auto"/>
                      <w:spacing w:val="4"/>
                      <w:kern w:val="24"/>
                      <w:sz w:val="21"/>
                      <w:szCs w:val="21"/>
                      <w:vertAlign w:val="baseline"/>
                      <w:lang w:val="en-US" w:eastAsia="zh-CN" w:bidi="ar-SA"/>
                    </w:rPr>
                  </w:pPr>
                  <w:r>
                    <w:rPr>
                      <w:rFonts w:hint="default" w:ascii="Times New Roman" w:hAnsi="Times New Roman" w:eastAsia="宋体" w:cs="Times New Roman"/>
                      <w:b/>
                      <w:bCs/>
                      <w:color w:val="auto"/>
                      <w:sz w:val="21"/>
                      <w:szCs w:val="21"/>
                    </w:rPr>
                    <w:t>生活垃圾</w:t>
                  </w:r>
                </w:p>
              </w:tc>
              <w:tc>
                <w:tcPr>
                  <w:tcW w:w="731" w:type="pct"/>
                  <w:noWrap w:val="0"/>
                  <w:vAlign w:val="center"/>
                </w:tcPr>
                <w:p w14:paraId="09510BBC">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水处理固废</w:t>
                  </w:r>
                </w:p>
              </w:tc>
              <w:tc>
                <w:tcPr>
                  <w:tcW w:w="612" w:type="pct"/>
                  <w:shd w:val="clear" w:color="auto" w:fill="auto"/>
                  <w:noWrap w:val="0"/>
                  <w:vAlign w:val="center"/>
                </w:tcPr>
                <w:p w14:paraId="4E72BC8F">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b/>
                      <w:bCs/>
                      <w:color w:val="auto"/>
                      <w:spacing w:val="4"/>
                      <w:kern w:val="24"/>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医疗废物</w:t>
                  </w:r>
                </w:p>
              </w:tc>
              <w:tc>
                <w:tcPr>
                  <w:tcW w:w="736" w:type="pct"/>
                  <w:noWrap w:val="0"/>
                  <w:vAlign w:val="center"/>
                </w:tcPr>
                <w:p w14:paraId="377C1DCD">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lang w:val="en-US" w:eastAsia="zh-CN"/>
                    </w:rPr>
                    <w:t>药品</w:t>
                  </w:r>
                  <w:r>
                    <w:rPr>
                      <w:rFonts w:hint="default" w:ascii="Times New Roman" w:hAnsi="Times New Roman" w:eastAsia="宋体" w:cs="Times New Roman"/>
                      <w:b/>
                      <w:bCs/>
                      <w:color w:val="auto"/>
                      <w:sz w:val="21"/>
                      <w:szCs w:val="21"/>
                      <w:lang w:val="en-US" w:eastAsia="zh-CN"/>
                    </w:rPr>
                    <w:t>废包装（未沾染感染性物质）</w:t>
                  </w:r>
                </w:p>
              </w:tc>
              <w:tc>
                <w:tcPr>
                  <w:tcW w:w="458" w:type="pct"/>
                  <w:noWrap w:val="0"/>
                  <w:vAlign w:val="center"/>
                </w:tcPr>
                <w:p w14:paraId="752AB15D">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b/>
                      <w:bCs/>
                      <w:color w:val="auto"/>
                      <w:sz w:val="21"/>
                      <w:szCs w:val="21"/>
                      <w:lang w:val="en-US" w:eastAsia="zh-CN"/>
                    </w:rPr>
                    <w:t>餐厨垃圾</w:t>
                  </w:r>
                </w:p>
              </w:tc>
              <w:tc>
                <w:tcPr>
                  <w:tcW w:w="464" w:type="pct"/>
                  <w:noWrap w:val="0"/>
                  <w:vAlign w:val="center"/>
                </w:tcPr>
                <w:p w14:paraId="14145C68">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油水分离器</w:t>
                  </w:r>
                  <w:r>
                    <w:rPr>
                      <w:rFonts w:hint="eastAsia" w:ascii="Times New Roman" w:hAnsi="Times New Roman" w:cs="Times New Roman"/>
                      <w:b/>
                      <w:bCs/>
                      <w:color w:val="auto"/>
                      <w:sz w:val="21"/>
                      <w:szCs w:val="21"/>
                      <w:lang w:val="en-US" w:eastAsia="zh-CN"/>
                    </w:rPr>
                    <w:t>油污</w:t>
                  </w:r>
                </w:p>
              </w:tc>
              <w:tc>
                <w:tcPr>
                  <w:tcW w:w="492" w:type="pct"/>
                  <w:noWrap w:val="0"/>
                  <w:vAlign w:val="center"/>
                </w:tcPr>
                <w:p w14:paraId="598A3558">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eastAsia" w:cs="Times New Roman"/>
                      <w:b/>
                      <w:bCs/>
                      <w:color w:val="auto"/>
                      <w:sz w:val="21"/>
                      <w:szCs w:val="21"/>
                      <w:lang w:val="en-US" w:eastAsia="zh-CN"/>
                    </w:rPr>
                  </w:pPr>
                  <w:r>
                    <w:rPr>
                      <w:rFonts w:hint="eastAsia"/>
                      <w:b/>
                      <w:bCs/>
                      <w:color w:val="auto"/>
                      <w:sz w:val="24"/>
                      <w:szCs w:val="24"/>
                      <w:lang w:val="en-US" w:eastAsia="zh-CN"/>
                    </w:rPr>
                    <w:t>废紫外灯管</w:t>
                  </w:r>
                </w:p>
              </w:tc>
              <w:tc>
                <w:tcPr>
                  <w:tcW w:w="589" w:type="pct"/>
                  <w:noWrap w:val="0"/>
                  <w:vAlign w:val="center"/>
                </w:tcPr>
                <w:p w14:paraId="10B2E79E">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eastAsia" w:cs="Times New Roman"/>
                      <w:b/>
                      <w:bCs/>
                      <w:color w:val="auto"/>
                      <w:sz w:val="21"/>
                      <w:szCs w:val="21"/>
                      <w:lang w:val="en-US" w:eastAsia="zh-CN"/>
                    </w:rPr>
                  </w:pPr>
                  <w:r>
                    <w:rPr>
                      <w:rFonts w:hint="eastAsia" w:cs="Times New Roman"/>
                      <w:b/>
                      <w:bCs/>
                      <w:color w:val="auto"/>
                      <w:lang w:val="en-US" w:eastAsia="zh-CN"/>
                    </w:rPr>
                    <w:t>废矿物油</w:t>
                  </w:r>
                </w:p>
              </w:tc>
            </w:tr>
            <w:tr w14:paraId="318E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413" w:type="pct"/>
                  <w:noWrap w:val="0"/>
                  <w:vAlign w:val="center"/>
                </w:tcPr>
                <w:p w14:paraId="78DCF007">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产污环节</w:t>
                  </w:r>
                </w:p>
              </w:tc>
              <w:tc>
                <w:tcPr>
                  <w:tcW w:w="502" w:type="pct"/>
                  <w:shd w:val="clear" w:color="auto" w:fill="auto"/>
                  <w:noWrap w:val="0"/>
                  <w:vAlign w:val="center"/>
                </w:tcPr>
                <w:p w14:paraId="538DADCB">
                  <w:pPr>
                    <w:pStyle w:val="32"/>
                    <w:keepNext w:val="0"/>
                    <w:keepLines w:val="0"/>
                    <w:pageBreakBefore w:val="0"/>
                    <w:widowControl w:val="0"/>
                    <w:suppressLineNumbers w:val="0"/>
                    <w:tabs>
                      <w:tab w:val="left" w:pos="445"/>
                    </w:tabs>
                    <w:kinsoku/>
                    <w:wordWrap w:val="0"/>
                    <w:overflowPunct/>
                    <w:topLinePunct/>
                    <w:autoSpaceDE/>
                    <w:autoSpaceDN/>
                    <w:bidi w:val="0"/>
                    <w:adjustRightInd/>
                    <w:snapToGrid w:val="0"/>
                    <w:spacing w:beforeAutospacing="0" w:afterAutospacing="0" w:line="240" w:lineRule="auto"/>
                    <w:ind w:firstLine="0" w:firstLineChars="0"/>
                    <w:jc w:val="left"/>
                    <w:textAlignment w:val="auto"/>
                    <w:rPr>
                      <w:rFonts w:hint="default" w:ascii="Times New Roman" w:hAnsi="Times New Roman" w:eastAsia="宋体" w:cs="Times New Roman"/>
                      <w:color w:val="auto"/>
                      <w:spacing w:val="4"/>
                      <w:kern w:val="24"/>
                      <w:sz w:val="21"/>
                      <w:szCs w:val="21"/>
                      <w:lang w:val="en-US" w:eastAsia="zh-CN" w:bidi="ar-SA"/>
                    </w:rPr>
                  </w:pPr>
                  <w:r>
                    <w:rPr>
                      <w:rFonts w:hint="default" w:ascii="Times New Roman" w:hAnsi="Times New Roman" w:eastAsia="宋体" w:cs="Times New Roman"/>
                      <w:color w:val="auto"/>
                      <w:sz w:val="21"/>
                      <w:szCs w:val="21"/>
                    </w:rPr>
                    <w:t>医护人员、就诊人员、陪护人员</w:t>
                  </w:r>
                </w:p>
              </w:tc>
              <w:tc>
                <w:tcPr>
                  <w:tcW w:w="731" w:type="pct"/>
                  <w:noWrap w:val="0"/>
                  <w:vAlign w:val="center"/>
                </w:tcPr>
                <w:p w14:paraId="64422964">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污水处理站、化粪池</w:t>
                  </w:r>
                </w:p>
              </w:tc>
              <w:tc>
                <w:tcPr>
                  <w:tcW w:w="612" w:type="pct"/>
                  <w:shd w:val="clear" w:color="auto" w:fill="auto"/>
                  <w:noWrap w:val="0"/>
                  <w:vAlign w:val="center"/>
                </w:tcPr>
                <w:p w14:paraId="73AF483D">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医疗过程</w:t>
                  </w:r>
                </w:p>
              </w:tc>
              <w:tc>
                <w:tcPr>
                  <w:tcW w:w="736" w:type="pct"/>
                  <w:noWrap w:val="0"/>
                  <w:vAlign w:val="center"/>
                </w:tcPr>
                <w:p w14:paraId="4A3396A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药房</w:t>
                  </w:r>
                </w:p>
              </w:tc>
              <w:tc>
                <w:tcPr>
                  <w:tcW w:w="458" w:type="pct"/>
                  <w:noWrap w:val="0"/>
                  <w:vAlign w:val="center"/>
                </w:tcPr>
                <w:p w14:paraId="06E3147B">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食堂</w:t>
                  </w:r>
                </w:p>
              </w:tc>
              <w:tc>
                <w:tcPr>
                  <w:tcW w:w="464" w:type="pct"/>
                  <w:noWrap w:val="0"/>
                  <w:vAlign w:val="center"/>
                </w:tcPr>
                <w:p w14:paraId="31976939">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食堂</w:t>
                  </w:r>
                </w:p>
              </w:tc>
              <w:tc>
                <w:tcPr>
                  <w:tcW w:w="492" w:type="pct"/>
                  <w:noWrap w:val="0"/>
                  <w:vAlign w:val="center"/>
                </w:tcPr>
                <w:p w14:paraId="6713D5C5">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病房消毒</w:t>
                  </w:r>
                </w:p>
              </w:tc>
              <w:tc>
                <w:tcPr>
                  <w:tcW w:w="589" w:type="pct"/>
                  <w:noWrap w:val="0"/>
                  <w:vAlign w:val="center"/>
                </w:tcPr>
                <w:p w14:paraId="734D06DC">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b w:val="0"/>
                      <w:bCs w:val="0"/>
                      <w:color w:val="auto"/>
                      <w:lang w:val="en-US" w:eastAsia="zh-CN"/>
                    </w:rPr>
                    <w:t>污水处理设备检修时</w:t>
                  </w:r>
                </w:p>
              </w:tc>
            </w:tr>
            <w:tr w14:paraId="61E9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13" w:type="pct"/>
                  <w:noWrap w:val="0"/>
                  <w:vAlign w:val="center"/>
                </w:tcPr>
                <w:p w14:paraId="1B68A345">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属性</w:t>
                  </w:r>
                </w:p>
              </w:tc>
              <w:tc>
                <w:tcPr>
                  <w:tcW w:w="502" w:type="pct"/>
                  <w:shd w:val="clear" w:color="auto" w:fill="auto"/>
                  <w:noWrap w:val="0"/>
                  <w:vAlign w:val="center"/>
                </w:tcPr>
                <w:p w14:paraId="7B418A9C">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bCs/>
                      <w:color w:val="auto"/>
                      <w:kern w:val="0"/>
                      <w:sz w:val="21"/>
                      <w:szCs w:val="21"/>
                    </w:rPr>
                    <w:t>一般固废</w:t>
                  </w:r>
                </w:p>
              </w:tc>
              <w:tc>
                <w:tcPr>
                  <w:tcW w:w="731" w:type="pct"/>
                  <w:noWrap w:val="0"/>
                  <w:vAlign w:val="center"/>
                </w:tcPr>
                <w:p w14:paraId="6A70078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危险废物</w:t>
                  </w:r>
                </w:p>
              </w:tc>
              <w:tc>
                <w:tcPr>
                  <w:tcW w:w="612" w:type="pct"/>
                  <w:shd w:val="clear" w:color="auto" w:fill="auto"/>
                  <w:noWrap w:val="0"/>
                  <w:vAlign w:val="center"/>
                </w:tcPr>
                <w:p w14:paraId="5226BBD9">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危险废物</w:t>
                  </w:r>
                </w:p>
              </w:tc>
              <w:tc>
                <w:tcPr>
                  <w:tcW w:w="736" w:type="pct"/>
                  <w:noWrap w:val="0"/>
                  <w:vAlign w:val="center"/>
                </w:tcPr>
                <w:p w14:paraId="5163B67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Cs/>
                      <w:color w:val="auto"/>
                      <w:kern w:val="0"/>
                      <w:sz w:val="21"/>
                      <w:szCs w:val="21"/>
                    </w:rPr>
                    <w:t>一般固废</w:t>
                  </w:r>
                </w:p>
              </w:tc>
              <w:tc>
                <w:tcPr>
                  <w:tcW w:w="458" w:type="pct"/>
                  <w:noWrap w:val="0"/>
                  <w:vAlign w:val="center"/>
                </w:tcPr>
                <w:p w14:paraId="61B4CA7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一般固废</w:t>
                  </w:r>
                </w:p>
              </w:tc>
              <w:tc>
                <w:tcPr>
                  <w:tcW w:w="464" w:type="pct"/>
                  <w:noWrap w:val="0"/>
                  <w:vAlign w:val="center"/>
                </w:tcPr>
                <w:p w14:paraId="0EAC8D04">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一般固废</w:t>
                  </w:r>
                </w:p>
              </w:tc>
              <w:tc>
                <w:tcPr>
                  <w:tcW w:w="492" w:type="pct"/>
                  <w:noWrap w:val="0"/>
                  <w:vAlign w:val="center"/>
                </w:tcPr>
                <w:p w14:paraId="14EC5EFB">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vertAlign w:val="baseline"/>
                      <w:lang w:val="en-US" w:eastAsia="zh-CN"/>
                    </w:rPr>
                    <w:t>危险废物</w:t>
                  </w:r>
                </w:p>
              </w:tc>
              <w:tc>
                <w:tcPr>
                  <w:tcW w:w="589" w:type="pct"/>
                  <w:noWrap w:val="0"/>
                  <w:vAlign w:val="center"/>
                </w:tcPr>
                <w:p w14:paraId="0DBCB086">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vertAlign w:val="baseline"/>
                      <w:lang w:val="en-US" w:eastAsia="zh-CN"/>
                    </w:rPr>
                    <w:t>危险废物</w:t>
                  </w:r>
                </w:p>
              </w:tc>
            </w:tr>
            <w:tr w14:paraId="3FDB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413" w:type="pct"/>
                  <w:noWrap w:val="0"/>
                  <w:vAlign w:val="center"/>
                </w:tcPr>
                <w:p w14:paraId="3824A847">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rPr>
                  </w:pPr>
                  <w:r>
                    <w:rPr>
                      <w:rFonts w:hint="default" w:ascii="Times New Roman" w:hAnsi="Times New Roman" w:eastAsia="宋体" w:cs="Times New Roman"/>
                      <w:b/>
                      <w:bCs/>
                      <w:color w:val="auto"/>
                      <w:sz w:val="21"/>
                      <w:szCs w:val="21"/>
                      <w:vertAlign w:val="baseline"/>
                      <w:lang w:val="en-US" w:eastAsia="zh-CN"/>
                    </w:rPr>
                    <w:t>危险废物代码</w:t>
                  </w:r>
                </w:p>
              </w:tc>
              <w:tc>
                <w:tcPr>
                  <w:tcW w:w="502" w:type="pct"/>
                  <w:shd w:val="clear" w:color="auto" w:fill="auto"/>
                  <w:noWrap w:val="0"/>
                  <w:vAlign w:val="center"/>
                </w:tcPr>
                <w:p w14:paraId="50B948F4">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731" w:type="pct"/>
                  <w:noWrap w:val="0"/>
                  <w:vAlign w:val="center"/>
                </w:tcPr>
                <w:p w14:paraId="7BFA6C2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 xml:space="preserve">HW49 </w:t>
                  </w:r>
                  <w:r>
                    <w:rPr>
                      <w:rFonts w:hint="default" w:ascii="Times New Roman" w:hAnsi="Times New Roman" w:eastAsia="宋体" w:cs="Times New Roman"/>
                      <w:color w:val="auto"/>
                      <w:sz w:val="21"/>
                      <w:szCs w:val="21"/>
                      <w:vertAlign w:val="baseline"/>
                      <w:lang w:val="en-US" w:eastAsia="zh-CN"/>
                    </w:rPr>
                    <w:t>772-006-49</w:t>
                  </w:r>
                </w:p>
              </w:tc>
              <w:tc>
                <w:tcPr>
                  <w:tcW w:w="612" w:type="pct"/>
                  <w:shd w:val="clear" w:color="auto" w:fill="auto"/>
                  <w:noWrap w:val="0"/>
                  <w:vAlign w:val="center"/>
                </w:tcPr>
                <w:p w14:paraId="4125B41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 xml:space="preserve">HW01 </w:t>
                  </w:r>
                  <w:r>
                    <w:rPr>
                      <w:rFonts w:hint="default" w:ascii="Times New Roman" w:hAnsi="Times New Roman" w:eastAsia="宋体" w:cs="Times New Roman"/>
                      <w:color w:val="auto"/>
                      <w:sz w:val="21"/>
                      <w:szCs w:val="21"/>
                      <w:vertAlign w:val="baseline"/>
                      <w:lang w:val="en-US" w:eastAsia="zh-CN"/>
                    </w:rPr>
                    <w:t>841-001-01、841-002-01、841-004-01、841-005-01</w:t>
                  </w:r>
                </w:p>
              </w:tc>
              <w:tc>
                <w:tcPr>
                  <w:tcW w:w="736" w:type="pct"/>
                  <w:noWrap w:val="0"/>
                  <w:vAlign w:val="center"/>
                </w:tcPr>
                <w:p w14:paraId="75E06221">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固废代码</w:t>
                  </w:r>
                  <w:r>
                    <w:rPr>
                      <w:rFonts w:hint="default" w:ascii="Times New Roman" w:hAnsi="Times New Roman" w:eastAsia="宋体" w:cs="Times New Roman"/>
                      <w:color w:val="auto"/>
                      <w:sz w:val="21"/>
                      <w:szCs w:val="21"/>
                      <w:vertAlign w:val="baseline"/>
                      <w:lang w:val="en-US" w:eastAsia="zh-CN"/>
                    </w:rPr>
                    <w:t>SW62可回收物</w:t>
                  </w:r>
                </w:p>
                <w:p w14:paraId="66EA8FE8">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900-00</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-S62</w:t>
                  </w:r>
                  <w:r>
                    <w:rPr>
                      <w:rFonts w:hint="eastAsia" w:ascii="Times New Roman" w:hAnsi="Times New Roman" w:eastAsia="宋体" w:cs="Times New Roman"/>
                      <w:color w:val="auto"/>
                      <w:sz w:val="21"/>
                      <w:szCs w:val="21"/>
                      <w:vertAlign w:val="baseline"/>
                      <w:lang w:val="en-US" w:eastAsia="zh-CN"/>
                    </w:rPr>
                    <w:t>；</w:t>
                  </w:r>
                </w:p>
                <w:p w14:paraId="3320843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900-00</w:t>
                  </w:r>
                  <w:r>
                    <w:rPr>
                      <w:rFonts w:hint="eastAsia" w:ascii="Times New Roman" w:hAnsi="Times New Roman" w:eastAsia="宋体"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-S62</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900-004-S62</w:t>
                  </w:r>
                </w:p>
              </w:tc>
              <w:tc>
                <w:tcPr>
                  <w:tcW w:w="458" w:type="pct"/>
                  <w:noWrap w:val="0"/>
                  <w:vAlign w:val="center"/>
                </w:tcPr>
                <w:p w14:paraId="40FF28D9">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固废代码SW61 900-002-S61</w:t>
                  </w:r>
                </w:p>
              </w:tc>
              <w:tc>
                <w:tcPr>
                  <w:tcW w:w="464" w:type="pct"/>
                  <w:noWrap w:val="0"/>
                  <w:vAlign w:val="center"/>
                </w:tcPr>
                <w:p w14:paraId="79D9F99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固废代码SW61 900-002-S61</w:t>
                  </w:r>
                </w:p>
              </w:tc>
              <w:tc>
                <w:tcPr>
                  <w:tcW w:w="492" w:type="pct"/>
                  <w:noWrap w:val="0"/>
                  <w:vAlign w:val="center"/>
                </w:tcPr>
                <w:p w14:paraId="5668835F">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HW29：900-023-29</w:t>
                  </w:r>
                </w:p>
              </w:tc>
              <w:tc>
                <w:tcPr>
                  <w:tcW w:w="589" w:type="pct"/>
                  <w:noWrap w:val="0"/>
                  <w:vAlign w:val="center"/>
                </w:tcPr>
                <w:p w14:paraId="515E7BAD">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b w:val="0"/>
                      <w:bCs w:val="0"/>
                      <w:color w:val="auto"/>
                      <w:lang w:val="en-US" w:eastAsia="zh-CN"/>
                    </w:rPr>
                    <w:t xml:space="preserve">HW08 </w:t>
                  </w:r>
                  <w:r>
                    <w:rPr>
                      <w:rFonts w:hint="default" w:ascii="Times New Roman" w:hAnsi="Times New Roman" w:eastAsia="Helvetica" w:cs="Times New Roman"/>
                      <w:i w:val="0"/>
                      <w:iCs w:val="0"/>
                      <w:caps w:val="0"/>
                      <w:color w:val="auto"/>
                      <w:spacing w:val="0"/>
                      <w:sz w:val="24"/>
                      <w:szCs w:val="24"/>
                      <w:shd w:val="clear" w:fill="FFFFFF"/>
                    </w:rPr>
                    <w:t>900-214-08</w:t>
                  </w:r>
                </w:p>
              </w:tc>
            </w:tr>
            <w:tr w14:paraId="558D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413" w:type="pct"/>
                  <w:noWrap w:val="0"/>
                  <w:vAlign w:val="center"/>
                </w:tcPr>
                <w:p w14:paraId="345DA23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主要有毒有害物质名称</w:t>
                  </w:r>
                </w:p>
              </w:tc>
              <w:tc>
                <w:tcPr>
                  <w:tcW w:w="502" w:type="pct"/>
                  <w:shd w:val="clear" w:color="auto" w:fill="auto"/>
                  <w:noWrap w:val="0"/>
                  <w:vAlign w:val="center"/>
                </w:tcPr>
                <w:p w14:paraId="1FF71116">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731" w:type="pct"/>
                  <w:noWrap w:val="0"/>
                  <w:vAlign w:val="center"/>
                </w:tcPr>
                <w:p w14:paraId="1C0511C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w:t>
                  </w:r>
                </w:p>
              </w:tc>
              <w:tc>
                <w:tcPr>
                  <w:tcW w:w="612" w:type="pct"/>
                  <w:shd w:val="clear" w:color="auto" w:fill="auto"/>
                  <w:noWrap w:val="0"/>
                  <w:vAlign w:val="center"/>
                </w:tcPr>
                <w:p w14:paraId="39700E49">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医疗废物</w:t>
                  </w:r>
                </w:p>
              </w:tc>
              <w:tc>
                <w:tcPr>
                  <w:tcW w:w="736" w:type="pct"/>
                  <w:noWrap w:val="0"/>
                  <w:vAlign w:val="center"/>
                </w:tcPr>
                <w:p w14:paraId="394AF5F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58" w:type="pct"/>
                  <w:noWrap w:val="0"/>
                  <w:vAlign w:val="center"/>
                </w:tcPr>
                <w:p w14:paraId="14C5D43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64" w:type="pct"/>
                  <w:noWrap w:val="0"/>
                  <w:vAlign w:val="center"/>
                </w:tcPr>
                <w:p w14:paraId="1B806A86">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92" w:type="pct"/>
                  <w:noWrap w:val="0"/>
                  <w:vAlign w:val="center"/>
                </w:tcPr>
                <w:p w14:paraId="3D285386">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eastAsia" w:cs="Times New Roman"/>
                      <w:color w:val="auto"/>
                      <w:sz w:val="21"/>
                      <w:szCs w:val="21"/>
                      <w:vertAlign w:val="baseline"/>
                      <w:lang w:val="en-US" w:eastAsia="zh-CN"/>
                    </w:rPr>
                  </w:pPr>
                  <w:r>
                    <w:rPr>
                      <w:rFonts w:ascii="Helvetica" w:hAnsi="Helvetica" w:eastAsia="Helvetica" w:cs="Helvetica"/>
                      <w:i w:val="0"/>
                      <w:iCs w:val="0"/>
                      <w:caps w:val="0"/>
                      <w:color w:val="auto"/>
                      <w:spacing w:val="0"/>
                      <w:sz w:val="21"/>
                      <w:szCs w:val="21"/>
                      <w:shd w:val="clear" w:fill="FFFFFF"/>
                    </w:rPr>
                    <w:t>含</w:t>
                  </w:r>
                  <w:r>
                    <w:rPr>
                      <w:rFonts w:hint="default" w:ascii="Helvetica" w:hAnsi="Helvetica" w:eastAsia="Helvetica" w:cs="Helvetica"/>
                      <w:i w:val="0"/>
                      <w:iCs w:val="0"/>
                      <w:caps w:val="0"/>
                      <w:color w:val="auto"/>
                      <w:spacing w:val="0"/>
                      <w:sz w:val="21"/>
                      <w:szCs w:val="21"/>
                      <w:shd w:val="clear" w:fill="FFFFFF"/>
                    </w:rPr>
                    <w:t>汞荧光灯管</w:t>
                  </w:r>
                </w:p>
              </w:tc>
              <w:tc>
                <w:tcPr>
                  <w:tcW w:w="589" w:type="pct"/>
                  <w:noWrap w:val="0"/>
                  <w:vAlign w:val="center"/>
                </w:tcPr>
                <w:p w14:paraId="4B270853">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废矿物油</w:t>
                  </w:r>
                </w:p>
              </w:tc>
            </w:tr>
            <w:tr w14:paraId="3D25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13" w:type="pct"/>
                  <w:noWrap w:val="0"/>
                  <w:vAlign w:val="center"/>
                </w:tcPr>
                <w:p w14:paraId="52FA3494">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物理性状</w:t>
                  </w:r>
                </w:p>
              </w:tc>
              <w:tc>
                <w:tcPr>
                  <w:tcW w:w="502" w:type="pct"/>
                  <w:shd w:val="clear" w:color="auto" w:fill="auto"/>
                  <w:noWrap w:val="0"/>
                  <w:vAlign w:val="center"/>
                </w:tcPr>
                <w:p w14:paraId="55461F52">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固体</w:t>
                  </w:r>
                </w:p>
              </w:tc>
              <w:tc>
                <w:tcPr>
                  <w:tcW w:w="731" w:type="pct"/>
                  <w:noWrap w:val="0"/>
                  <w:vAlign w:val="center"/>
                </w:tcPr>
                <w:p w14:paraId="1EFA3023">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固体</w:t>
                  </w:r>
                </w:p>
              </w:tc>
              <w:tc>
                <w:tcPr>
                  <w:tcW w:w="612" w:type="pct"/>
                  <w:shd w:val="clear" w:color="auto" w:fill="auto"/>
                  <w:noWrap w:val="0"/>
                  <w:vAlign w:val="center"/>
                </w:tcPr>
                <w:p w14:paraId="6CF0F22F">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固体</w:t>
                  </w:r>
                </w:p>
              </w:tc>
              <w:tc>
                <w:tcPr>
                  <w:tcW w:w="736" w:type="pct"/>
                  <w:noWrap w:val="0"/>
                  <w:vAlign w:val="center"/>
                </w:tcPr>
                <w:p w14:paraId="321B30A7">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c>
                <w:tcPr>
                  <w:tcW w:w="458" w:type="pct"/>
                  <w:noWrap w:val="0"/>
                  <w:vAlign w:val="center"/>
                </w:tcPr>
                <w:p w14:paraId="78174F3B">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c>
                <w:tcPr>
                  <w:tcW w:w="464" w:type="pct"/>
                  <w:noWrap w:val="0"/>
                  <w:vAlign w:val="center"/>
                </w:tcPr>
                <w:p w14:paraId="728D686D">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c>
                <w:tcPr>
                  <w:tcW w:w="492" w:type="pct"/>
                  <w:noWrap w:val="0"/>
                  <w:vAlign w:val="center"/>
                </w:tcPr>
                <w:p w14:paraId="796A6964">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c>
                <w:tcPr>
                  <w:tcW w:w="589" w:type="pct"/>
                  <w:noWrap w:val="0"/>
                  <w:vAlign w:val="center"/>
                </w:tcPr>
                <w:p w14:paraId="4DDFD53F">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r>
            <w:tr w14:paraId="09DE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413" w:type="pct"/>
                  <w:noWrap w:val="0"/>
                  <w:vAlign w:val="center"/>
                </w:tcPr>
                <w:p w14:paraId="384395CD">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环境危险性</w:t>
                  </w:r>
                </w:p>
              </w:tc>
              <w:tc>
                <w:tcPr>
                  <w:tcW w:w="502" w:type="pct"/>
                  <w:shd w:val="clear" w:color="auto" w:fill="auto"/>
                  <w:noWrap w:val="0"/>
                  <w:vAlign w:val="center"/>
                </w:tcPr>
                <w:p w14:paraId="51B26BF2">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731" w:type="pct"/>
                  <w:noWrap w:val="0"/>
                  <w:vAlign w:val="center"/>
                </w:tcPr>
                <w:p w14:paraId="05DCE531">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In</w:t>
                  </w:r>
                </w:p>
              </w:tc>
              <w:tc>
                <w:tcPr>
                  <w:tcW w:w="612" w:type="pct"/>
                  <w:shd w:val="clear" w:color="auto" w:fill="auto"/>
                  <w:noWrap w:val="0"/>
                  <w:vAlign w:val="center"/>
                </w:tcPr>
                <w:p w14:paraId="365411B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In</w:t>
                  </w:r>
                </w:p>
              </w:tc>
              <w:tc>
                <w:tcPr>
                  <w:tcW w:w="736" w:type="pct"/>
                  <w:noWrap w:val="0"/>
                  <w:vAlign w:val="center"/>
                </w:tcPr>
                <w:p w14:paraId="28D7AF1E">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58" w:type="pct"/>
                  <w:noWrap w:val="0"/>
                  <w:vAlign w:val="center"/>
                </w:tcPr>
                <w:p w14:paraId="31A45F5A">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64" w:type="pct"/>
                  <w:noWrap w:val="0"/>
                  <w:vAlign w:val="center"/>
                </w:tcPr>
                <w:p w14:paraId="3FA8DD46">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92" w:type="pct"/>
                  <w:noWrap w:val="0"/>
                  <w:vAlign w:val="center"/>
                </w:tcPr>
                <w:p w14:paraId="38A0F017">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T</w:t>
                  </w:r>
                </w:p>
              </w:tc>
              <w:tc>
                <w:tcPr>
                  <w:tcW w:w="589" w:type="pct"/>
                  <w:noWrap w:val="0"/>
                  <w:vAlign w:val="center"/>
                </w:tcPr>
                <w:p w14:paraId="747965B1">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T\I</w:t>
                  </w:r>
                </w:p>
              </w:tc>
            </w:tr>
            <w:tr w14:paraId="7A06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413" w:type="pct"/>
                  <w:noWrap w:val="0"/>
                  <w:vAlign w:val="center"/>
                </w:tcPr>
                <w:p w14:paraId="492E70FC">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年度产生量（</w:t>
                  </w:r>
                  <w:r>
                    <w:rPr>
                      <w:rFonts w:hint="default" w:ascii="Times New Roman" w:hAnsi="Times New Roman" w:eastAsia="宋体" w:cs="Times New Roman"/>
                      <w:b/>
                      <w:bCs/>
                      <w:color w:val="auto"/>
                      <w:sz w:val="21"/>
                      <w:szCs w:val="21"/>
                    </w:rPr>
                    <w:t>t/a</w:t>
                  </w:r>
                  <w:r>
                    <w:rPr>
                      <w:rFonts w:hint="default" w:ascii="Times New Roman" w:hAnsi="Times New Roman" w:eastAsia="宋体" w:cs="Times New Roman"/>
                      <w:b/>
                      <w:bCs/>
                      <w:color w:val="auto"/>
                      <w:sz w:val="21"/>
                      <w:szCs w:val="21"/>
                      <w:vertAlign w:val="baseline"/>
                      <w:lang w:val="en-US" w:eastAsia="zh-CN"/>
                    </w:rPr>
                    <w:t>）</w:t>
                  </w:r>
                </w:p>
              </w:tc>
              <w:tc>
                <w:tcPr>
                  <w:tcW w:w="502" w:type="pct"/>
                  <w:shd w:val="clear" w:color="auto" w:fill="auto"/>
                  <w:noWrap w:val="0"/>
                  <w:vAlign w:val="center"/>
                </w:tcPr>
                <w:p w14:paraId="60485001">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pacing w:val="4"/>
                      <w:kern w:val="24"/>
                      <w:sz w:val="21"/>
                      <w:szCs w:val="21"/>
                      <w:vertAlign w:val="baseline"/>
                      <w:lang w:val="en-US" w:eastAsia="zh-CN" w:bidi="ar-SA"/>
                    </w:rPr>
                    <w:t>24.321</w:t>
                  </w:r>
                </w:p>
              </w:tc>
              <w:tc>
                <w:tcPr>
                  <w:tcW w:w="731" w:type="pct"/>
                  <w:noWrap w:val="0"/>
                  <w:vAlign w:val="center"/>
                </w:tcPr>
                <w:p w14:paraId="6B4AE30B">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18.61</w:t>
                  </w:r>
                </w:p>
              </w:tc>
              <w:tc>
                <w:tcPr>
                  <w:tcW w:w="612" w:type="pct"/>
                  <w:shd w:val="clear" w:color="auto" w:fill="auto"/>
                  <w:noWrap w:val="0"/>
                  <w:vAlign w:val="center"/>
                </w:tcPr>
                <w:p w14:paraId="4A39107F">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cs="Times New Roman"/>
                      <w:color w:val="auto"/>
                      <w:spacing w:val="4"/>
                      <w:kern w:val="24"/>
                      <w:sz w:val="21"/>
                      <w:szCs w:val="21"/>
                      <w:vertAlign w:val="baseline"/>
                      <w:lang w:val="en-US" w:eastAsia="zh-CN" w:bidi="ar-SA"/>
                    </w:rPr>
                    <w:t>20.929</w:t>
                  </w:r>
                </w:p>
              </w:tc>
              <w:tc>
                <w:tcPr>
                  <w:tcW w:w="736" w:type="pct"/>
                  <w:noWrap w:val="0"/>
                  <w:vAlign w:val="center"/>
                </w:tcPr>
                <w:p w14:paraId="52740CC7">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1.825</w:t>
                  </w:r>
                </w:p>
              </w:tc>
              <w:tc>
                <w:tcPr>
                  <w:tcW w:w="458" w:type="pct"/>
                  <w:noWrap w:val="0"/>
                  <w:vAlign w:val="center"/>
                </w:tcPr>
                <w:p w14:paraId="606064D1">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11.446</w:t>
                  </w:r>
                </w:p>
              </w:tc>
              <w:tc>
                <w:tcPr>
                  <w:tcW w:w="464" w:type="pct"/>
                  <w:noWrap w:val="0"/>
                  <w:vAlign w:val="center"/>
                </w:tcPr>
                <w:p w14:paraId="1ED95782">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0.4345</w:t>
                  </w:r>
                </w:p>
              </w:tc>
              <w:tc>
                <w:tcPr>
                  <w:tcW w:w="492" w:type="pct"/>
                  <w:noWrap w:val="0"/>
                  <w:vAlign w:val="center"/>
                </w:tcPr>
                <w:p w14:paraId="30F90F1C">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0.0027</w:t>
                  </w:r>
                </w:p>
              </w:tc>
              <w:tc>
                <w:tcPr>
                  <w:tcW w:w="589" w:type="pct"/>
                  <w:noWrap w:val="0"/>
                  <w:vAlign w:val="center"/>
                </w:tcPr>
                <w:p w14:paraId="3D1BF503">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0.1</w:t>
                  </w:r>
                </w:p>
              </w:tc>
            </w:tr>
            <w:tr w14:paraId="2401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13" w:type="pct"/>
                  <w:noWrap w:val="0"/>
                  <w:vAlign w:val="center"/>
                </w:tcPr>
                <w:p w14:paraId="5BAC2DC6">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502" w:type="pct"/>
                  <w:shd w:val="clear" w:color="auto" w:fill="auto"/>
                  <w:noWrap w:val="0"/>
                  <w:vAlign w:val="center"/>
                </w:tcPr>
                <w:p w14:paraId="3387EF5F">
                  <w:pPr>
                    <w:pStyle w:val="32"/>
                    <w:keepNext w:val="0"/>
                    <w:keepLines w:val="0"/>
                    <w:pageBreakBefore w:val="0"/>
                    <w:widowControl w:val="0"/>
                    <w:suppressLineNumbers w:val="0"/>
                    <w:tabs>
                      <w:tab w:val="left" w:pos="411"/>
                    </w:tabs>
                    <w:kinsoku/>
                    <w:wordWrap w:val="0"/>
                    <w:overflowPunct/>
                    <w:topLinePunct/>
                    <w:autoSpaceDE/>
                    <w:autoSpaceDN/>
                    <w:bidi w:val="0"/>
                    <w:adjustRightInd/>
                    <w:snapToGrid w:val="0"/>
                    <w:spacing w:beforeAutospacing="0" w:afterAutospacing="0" w:line="240" w:lineRule="auto"/>
                    <w:ind w:firstLine="0" w:firstLineChars="0"/>
                    <w:jc w:val="left"/>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pacing w:val="4"/>
                      <w:kern w:val="24"/>
                      <w:sz w:val="21"/>
                      <w:szCs w:val="21"/>
                      <w:vertAlign w:val="baseline"/>
                      <w:lang w:val="en-US" w:eastAsia="zh-CN" w:bidi="ar-SA"/>
                    </w:rPr>
                    <w:t>垃圾桶</w:t>
                  </w:r>
                </w:p>
              </w:tc>
              <w:tc>
                <w:tcPr>
                  <w:tcW w:w="731" w:type="pct"/>
                  <w:noWrap w:val="0"/>
                  <w:vAlign w:val="center"/>
                </w:tcPr>
                <w:p w14:paraId="1E6C6007">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医疗废物暂存间</w:t>
                  </w:r>
                </w:p>
              </w:tc>
              <w:tc>
                <w:tcPr>
                  <w:tcW w:w="612" w:type="pct"/>
                  <w:shd w:val="clear" w:color="auto" w:fill="auto"/>
                  <w:noWrap w:val="0"/>
                  <w:vAlign w:val="center"/>
                </w:tcPr>
                <w:p w14:paraId="2D4D8BC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医疗废物暂存间</w:t>
                  </w:r>
                </w:p>
              </w:tc>
              <w:tc>
                <w:tcPr>
                  <w:tcW w:w="736" w:type="pct"/>
                  <w:noWrap w:val="0"/>
                  <w:vAlign w:val="center"/>
                </w:tcPr>
                <w:p w14:paraId="0C495AD9">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库房</w:t>
                  </w:r>
                </w:p>
              </w:tc>
              <w:tc>
                <w:tcPr>
                  <w:tcW w:w="458" w:type="pct"/>
                  <w:noWrap w:val="0"/>
                  <w:vAlign w:val="center"/>
                </w:tcPr>
                <w:p w14:paraId="15B52D0E">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收集桶</w:t>
                  </w:r>
                </w:p>
              </w:tc>
              <w:tc>
                <w:tcPr>
                  <w:tcW w:w="464" w:type="pct"/>
                  <w:noWrap w:val="0"/>
                  <w:vAlign w:val="center"/>
                </w:tcPr>
                <w:p w14:paraId="66601F7E">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收集桶</w:t>
                  </w:r>
                </w:p>
              </w:tc>
              <w:tc>
                <w:tcPr>
                  <w:tcW w:w="492" w:type="pct"/>
                  <w:noWrap w:val="0"/>
                  <w:vAlign w:val="center"/>
                </w:tcPr>
                <w:p w14:paraId="25B42564">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医疗废物暂存间</w:t>
                  </w:r>
                </w:p>
              </w:tc>
              <w:tc>
                <w:tcPr>
                  <w:tcW w:w="589" w:type="pct"/>
                  <w:noWrap w:val="0"/>
                  <w:vAlign w:val="center"/>
                </w:tcPr>
                <w:p w14:paraId="3B283C1C">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医疗废物暂存间</w:t>
                  </w:r>
                </w:p>
              </w:tc>
            </w:tr>
            <w:tr w14:paraId="13B2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413" w:type="pct"/>
                  <w:noWrap w:val="0"/>
                  <w:vAlign w:val="center"/>
                </w:tcPr>
                <w:p w14:paraId="322112AE">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处置利用方式和去向</w:t>
                  </w:r>
                </w:p>
              </w:tc>
              <w:tc>
                <w:tcPr>
                  <w:tcW w:w="502" w:type="pct"/>
                  <w:shd w:val="clear" w:color="auto" w:fill="auto"/>
                  <w:noWrap w:val="0"/>
                  <w:vAlign w:val="center"/>
                </w:tcPr>
                <w:p w14:paraId="7C9A58F5">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rPr>
                    <w:t>统一委托环卫部门清运处置</w:t>
                  </w:r>
                  <w:r>
                    <w:rPr>
                      <w:rFonts w:hint="default" w:ascii="Times New Roman" w:hAnsi="Times New Roman" w:eastAsia="宋体" w:cs="Times New Roman"/>
                      <w:color w:val="auto"/>
                      <w:sz w:val="21"/>
                      <w:szCs w:val="21"/>
                      <w:lang w:eastAsia="zh-CN"/>
                    </w:rPr>
                    <w:t>。</w:t>
                  </w:r>
                </w:p>
              </w:tc>
              <w:tc>
                <w:tcPr>
                  <w:tcW w:w="731" w:type="pct"/>
                  <w:noWrap w:val="0"/>
                  <w:vAlign w:val="center"/>
                </w:tcPr>
                <w:p w14:paraId="6F8FAC40">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委托有资质单位</w:t>
                  </w:r>
                  <w:r>
                    <w:rPr>
                      <w:rFonts w:hint="eastAsia" w:cs="Times New Roman"/>
                      <w:color w:val="auto"/>
                      <w:sz w:val="21"/>
                      <w:szCs w:val="21"/>
                      <w:lang w:val="en-US" w:eastAsia="zh-CN"/>
                    </w:rPr>
                    <w:t>直接</w:t>
                  </w:r>
                  <w:r>
                    <w:rPr>
                      <w:rFonts w:hint="default" w:ascii="Times New Roman" w:hAnsi="Times New Roman" w:eastAsia="宋体" w:cs="Times New Roman"/>
                      <w:color w:val="auto"/>
                      <w:sz w:val="21"/>
                      <w:szCs w:val="21"/>
                      <w:lang w:val="en-US" w:eastAsia="zh-CN"/>
                    </w:rPr>
                    <w:t>清掏处理，不再项目区内暂存。</w:t>
                  </w:r>
                </w:p>
              </w:tc>
              <w:tc>
                <w:tcPr>
                  <w:tcW w:w="612" w:type="pct"/>
                  <w:shd w:val="clear" w:color="auto" w:fill="auto"/>
                  <w:noWrap w:val="0"/>
                  <w:vAlign w:val="center"/>
                </w:tcPr>
                <w:p w14:paraId="73FC78E3">
                  <w:pPr>
                    <w:pStyle w:val="32"/>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sz w:val="21"/>
                      <w:szCs w:val="21"/>
                      <w:lang w:val="zh-CN"/>
                    </w:rPr>
                    <w:t>处置</w:t>
                  </w:r>
                  <w:r>
                    <w:rPr>
                      <w:rFonts w:hint="default" w:ascii="Times New Roman" w:hAnsi="Times New Roman" w:eastAsia="宋体" w:cs="Times New Roman"/>
                      <w:color w:val="auto"/>
                      <w:sz w:val="21"/>
                      <w:szCs w:val="21"/>
                    </w:rPr>
                    <w:t>定期清运、处置</w:t>
                  </w:r>
                  <w:r>
                    <w:rPr>
                      <w:rFonts w:hint="default" w:ascii="Times New Roman" w:hAnsi="Times New Roman" w:eastAsia="宋体" w:cs="Times New Roman"/>
                      <w:color w:val="auto"/>
                      <w:sz w:val="21"/>
                      <w:szCs w:val="21"/>
                      <w:lang w:eastAsia="zh-CN"/>
                    </w:rPr>
                    <w:t>。</w:t>
                  </w:r>
                </w:p>
              </w:tc>
              <w:tc>
                <w:tcPr>
                  <w:tcW w:w="736" w:type="pct"/>
                  <w:noWrap w:val="0"/>
                  <w:vAlign w:val="center"/>
                </w:tcPr>
                <w:p w14:paraId="71DB8817">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外售给废品回收站</w:t>
                  </w:r>
                  <w:r>
                    <w:rPr>
                      <w:rFonts w:hint="default" w:ascii="Times New Roman" w:hAnsi="Times New Roman" w:eastAsia="宋体" w:cs="Times New Roman"/>
                      <w:color w:val="auto"/>
                      <w:sz w:val="21"/>
                      <w:szCs w:val="21"/>
                      <w:lang w:eastAsia="zh-CN"/>
                    </w:rPr>
                    <w:t>。</w:t>
                  </w:r>
                </w:p>
              </w:tc>
              <w:tc>
                <w:tcPr>
                  <w:tcW w:w="458" w:type="pct"/>
                  <w:noWrap w:val="0"/>
                  <w:vAlign w:val="center"/>
                </w:tcPr>
                <w:p w14:paraId="550B975A">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lang w:val="en-US" w:eastAsia="zh-CN"/>
                    </w:rPr>
                    <w:t>委托</w:t>
                  </w:r>
                  <w:r>
                    <w:rPr>
                      <w:rFonts w:hint="eastAsia" w:cs="Times New Roman"/>
                      <w:color w:val="auto"/>
                      <w:lang w:val="en-US" w:eastAsia="zh-CN"/>
                    </w:rPr>
                    <w:t>有资质单位</w:t>
                  </w:r>
                  <w:r>
                    <w:rPr>
                      <w:rFonts w:hint="default" w:ascii="Times New Roman" w:hAnsi="Times New Roman" w:cs="Times New Roman"/>
                      <w:color w:val="auto"/>
                      <w:lang w:val="en-US" w:eastAsia="zh-CN"/>
                    </w:rPr>
                    <w:t>清</w:t>
                  </w:r>
                  <w:r>
                    <w:rPr>
                      <w:rFonts w:hint="eastAsia" w:ascii="Times New Roman" w:hAnsi="Times New Roman" w:cs="Times New Roman"/>
                      <w:color w:val="auto"/>
                      <w:lang w:val="en-US" w:eastAsia="zh-CN"/>
                    </w:rPr>
                    <w:t>运</w:t>
                  </w:r>
                  <w:r>
                    <w:rPr>
                      <w:rFonts w:hint="default" w:ascii="Times New Roman" w:hAnsi="Times New Roman" w:cs="Times New Roman"/>
                      <w:color w:val="auto"/>
                      <w:lang w:val="en-US" w:eastAsia="zh-CN"/>
                    </w:rPr>
                    <w:t>处理</w:t>
                  </w:r>
                  <w:r>
                    <w:rPr>
                      <w:rFonts w:hint="default" w:ascii="Times New Roman" w:hAnsi="Times New Roman" w:cs="Times New Roman"/>
                      <w:color w:val="auto"/>
                    </w:rPr>
                    <w:t>。</w:t>
                  </w:r>
                </w:p>
              </w:tc>
              <w:tc>
                <w:tcPr>
                  <w:tcW w:w="464" w:type="pct"/>
                  <w:noWrap w:val="0"/>
                  <w:vAlign w:val="center"/>
                </w:tcPr>
                <w:p w14:paraId="5A20EEAC">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lang w:val="en-US" w:eastAsia="zh-CN"/>
                    </w:rPr>
                    <w:t>委托</w:t>
                  </w:r>
                  <w:r>
                    <w:rPr>
                      <w:rFonts w:hint="eastAsia" w:cs="Times New Roman"/>
                      <w:color w:val="auto"/>
                      <w:lang w:val="en-US" w:eastAsia="zh-CN"/>
                    </w:rPr>
                    <w:t>有资质单位</w:t>
                  </w:r>
                  <w:r>
                    <w:rPr>
                      <w:rFonts w:hint="default" w:ascii="Times New Roman" w:hAnsi="Times New Roman" w:cs="Times New Roman"/>
                      <w:color w:val="auto"/>
                      <w:lang w:val="en-US" w:eastAsia="zh-CN"/>
                    </w:rPr>
                    <w:t>清</w:t>
                  </w:r>
                  <w:r>
                    <w:rPr>
                      <w:rFonts w:hint="eastAsia" w:ascii="Times New Roman" w:hAnsi="Times New Roman" w:cs="Times New Roman"/>
                      <w:color w:val="auto"/>
                      <w:lang w:val="en-US" w:eastAsia="zh-CN"/>
                    </w:rPr>
                    <w:t>运</w:t>
                  </w:r>
                  <w:r>
                    <w:rPr>
                      <w:rFonts w:hint="default" w:ascii="Times New Roman" w:hAnsi="Times New Roman" w:cs="Times New Roman"/>
                      <w:color w:val="auto"/>
                      <w:lang w:val="en-US" w:eastAsia="zh-CN"/>
                    </w:rPr>
                    <w:t>处理</w:t>
                  </w:r>
                  <w:r>
                    <w:rPr>
                      <w:rFonts w:hint="default" w:ascii="Times New Roman" w:hAnsi="Times New Roman" w:cs="Times New Roman"/>
                      <w:color w:val="auto"/>
                    </w:rPr>
                    <w:t>。</w:t>
                  </w:r>
                </w:p>
              </w:tc>
              <w:tc>
                <w:tcPr>
                  <w:tcW w:w="492" w:type="pct"/>
                  <w:noWrap w:val="0"/>
                  <w:vAlign w:val="center"/>
                </w:tcPr>
                <w:p w14:paraId="5FE5FD49">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产生的废灯管密封收集于医疗废物暂存间，定期由厂家回收统一处置。</w:t>
                  </w:r>
                </w:p>
                <w:p w14:paraId="08791BEC">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p>
              </w:tc>
              <w:tc>
                <w:tcPr>
                  <w:tcW w:w="589" w:type="pct"/>
                  <w:noWrap w:val="0"/>
                  <w:vAlign w:val="center"/>
                </w:tcPr>
                <w:p w14:paraId="5F76470D">
                  <w:pPr>
                    <w:pStyle w:val="32"/>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委托</w:t>
                  </w:r>
                  <w:r>
                    <w:rPr>
                      <w:rFonts w:hint="eastAsia" w:cs="Times New Roman"/>
                      <w:color w:val="auto"/>
                      <w:lang w:val="en-US" w:eastAsia="zh-CN"/>
                    </w:rPr>
                    <w:t>有资质单位</w:t>
                  </w:r>
                  <w:r>
                    <w:rPr>
                      <w:rFonts w:hint="default" w:ascii="Times New Roman" w:hAnsi="Times New Roman" w:cs="Times New Roman"/>
                      <w:color w:val="auto"/>
                      <w:lang w:val="en-US" w:eastAsia="zh-CN"/>
                    </w:rPr>
                    <w:t>清</w:t>
                  </w:r>
                  <w:r>
                    <w:rPr>
                      <w:rFonts w:hint="eastAsia" w:ascii="Times New Roman" w:hAnsi="Times New Roman" w:cs="Times New Roman"/>
                      <w:color w:val="auto"/>
                      <w:lang w:val="en-US" w:eastAsia="zh-CN"/>
                    </w:rPr>
                    <w:t>运</w:t>
                  </w:r>
                  <w:r>
                    <w:rPr>
                      <w:rFonts w:hint="default" w:ascii="Times New Roman" w:hAnsi="Times New Roman" w:cs="Times New Roman"/>
                      <w:color w:val="auto"/>
                      <w:lang w:val="en-US" w:eastAsia="zh-CN"/>
                    </w:rPr>
                    <w:t>处理</w:t>
                  </w:r>
                  <w:r>
                    <w:rPr>
                      <w:rFonts w:hint="default" w:ascii="Times New Roman" w:hAnsi="Times New Roman" w:cs="Times New Roman"/>
                      <w:color w:val="auto"/>
                    </w:rPr>
                    <w:t>。</w:t>
                  </w:r>
                </w:p>
              </w:tc>
            </w:tr>
          </w:tbl>
          <w:p w14:paraId="0B2D4CAB">
            <w:pPr>
              <w:pStyle w:val="12"/>
              <w:numPr>
                <w:ilvl w:val="0"/>
                <w:numId w:val="0"/>
              </w:numPr>
              <w:bidi w:val="0"/>
              <w:ind w:firstLine="480" w:firstLineChars="200"/>
              <w:rPr>
                <w:rFonts w:hint="default" w:ascii="宋体" w:hAnsi="宋体" w:eastAsia="宋体" w:cs="宋体"/>
                <w:color w:val="auto"/>
                <w:lang w:val="en-US" w:eastAsia="zh-CN"/>
              </w:rPr>
            </w:pPr>
            <w:r>
              <w:rPr>
                <w:rFonts w:hint="default" w:ascii="宋体" w:hAnsi="宋体" w:eastAsia="宋体" w:cs="宋体"/>
                <w:color w:val="auto"/>
                <w:lang w:val="en-US" w:eastAsia="zh-CN"/>
              </w:rPr>
              <w:t>综上，项目各固体废弃物均得到妥善处置，处置率为100%，对周边环境的影响可接受。</w:t>
            </w:r>
          </w:p>
          <w:p w14:paraId="7AA9E7A2">
            <w:pPr>
              <w:pStyle w:val="33"/>
              <w:bidi w:val="0"/>
              <w:jc w:val="both"/>
              <w:rPr>
                <w:rFonts w:hint="default" w:ascii="Times New Roman" w:hAnsi="Times New Roman" w:eastAsia="宋体" w:cs="Times New Roman"/>
                <w:b/>
                <w:bCs/>
                <w:color w:val="auto"/>
                <w:sz w:val="24"/>
                <w:szCs w:val="24"/>
                <w:lang w:eastAsia="zh-CN"/>
              </w:rPr>
            </w:pP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环境管理要求</w:t>
            </w:r>
          </w:p>
          <w:p w14:paraId="1BC1B4C8">
            <w:pPr>
              <w:pStyle w:val="33"/>
              <w:numPr>
                <w:ilvl w:val="0"/>
                <w:numId w:val="0"/>
              </w:numPr>
              <w:bidi w:val="0"/>
              <w:ind w:left="0" w:leftChars="0" w:right="0" w:rightChars="0" w:firstLine="488" w:firstLineChars="0"/>
              <w:rPr>
                <w:rFonts w:hint="default" w:eastAsia="宋体" w:cs="Times New Roman"/>
                <w:color w:val="auto"/>
                <w:sz w:val="24"/>
                <w:szCs w:val="24"/>
                <w:lang w:val="en-US" w:eastAsia="zh-CN"/>
              </w:rPr>
            </w:pPr>
            <w:r>
              <w:rPr>
                <w:rFonts w:hint="eastAsia" w:eastAsia="宋体" w:cs="Times New Roman"/>
                <w:color w:val="auto"/>
                <w:sz w:val="24"/>
                <w:szCs w:val="24"/>
                <w:lang w:val="en-US" w:eastAsia="zh-CN"/>
              </w:rPr>
              <w:t>（1）医废间建设要求</w:t>
            </w:r>
          </w:p>
          <w:p w14:paraId="1992850A">
            <w:pPr>
              <w:pStyle w:val="33"/>
              <w:numPr>
                <w:ilvl w:val="0"/>
                <w:numId w:val="0"/>
              </w:numPr>
              <w:bidi w:val="0"/>
              <w:ind w:left="0" w:leftChars="0" w:right="0" w:rightChars="0" w:firstLine="488" w:firstLineChars="0"/>
              <w:rPr>
                <w:rFonts w:hint="eastAsia" w:eastAsia="宋体" w:cs="Times New Roman"/>
                <w:color w:val="auto"/>
                <w:sz w:val="24"/>
                <w:szCs w:val="24"/>
                <w:vertAlign w:val="baseline"/>
                <w:lang w:val="en-US" w:eastAsia="zh-CN"/>
              </w:rPr>
            </w:pPr>
            <w:r>
              <w:rPr>
                <w:rFonts w:hint="eastAsia" w:eastAsia="宋体" w:cs="Times New Roman"/>
                <w:color w:val="auto"/>
                <w:sz w:val="24"/>
                <w:szCs w:val="24"/>
                <w:lang w:val="en-US" w:eastAsia="zh-CN"/>
              </w:rPr>
              <w:t>本项目拟建设4m</w:t>
            </w:r>
            <w:r>
              <w:rPr>
                <w:rFonts w:hint="eastAsia" w:eastAsia="宋体" w:cs="Times New Roman"/>
                <w:color w:val="auto"/>
                <w:sz w:val="24"/>
                <w:szCs w:val="24"/>
                <w:vertAlign w:val="superscript"/>
                <w:lang w:val="en-US" w:eastAsia="zh-CN"/>
              </w:rPr>
              <w:t>2</w:t>
            </w:r>
            <w:r>
              <w:rPr>
                <w:rFonts w:hint="eastAsia" w:eastAsia="宋体" w:cs="Times New Roman"/>
                <w:color w:val="auto"/>
                <w:sz w:val="24"/>
                <w:szCs w:val="24"/>
                <w:vertAlign w:val="baseline"/>
                <w:lang w:val="en-US" w:eastAsia="zh-CN"/>
              </w:rPr>
              <w:t>的医疗废物暂存间，医疗废物与危险固体废物（废矿物油、废紫外灯管）分区设置，故医疗废物暂存间应同时满足</w:t>
            </w:r>
            <w:r>
              <w:rPr>
                <w:rFonts w:hint="default" w:ascii="Times New Roman" w:hAnsi="Times New Roman" w:eastAsia="宋体" w:cs="Times New Roman"/>
                <w:color w:val="auto"/>
                <w:sz w:val="24"/>
                <w:szCs w:val="24"/>
                <w:lang w:eastAsia="zh-CN"/>
              </w:rPr>
              <w:t>《医疗废物集中处置技术规范(试行)》(环发[2003]206号)</w:t>
            </w:r>
            <w:r>
              <w:rPr>
                <w:rFonts w:hint="eastAsia" w:ascii="Times New Roman" w:hAnsi="Times New Roman" w:eastAsia="宋体" w:cs="Times New Roman"/>
                <w:color w:val="auto"/>
                <w:sz w:val="24"/>
                <w:szCs w:val="24"/>
                <w:lang w:val="en-US" w:eastAsia="zh-CN"/>
              </w:rPr>
              <w:t>相关要求及</w:t>
            </w:r>
            <w:r>
              <w:rPr>
                <w:rFonts w:hint="eastAsia" w:eastAsia="宋体" w:cs="Times New Roman"/>
                <w:color w:val="auto"/>
                <w:sz w:val="24"/>
                <w:szCs w:val="24"/>
                <w:vertAlign w:val="baseline"/>
                <w:lang w:val="en-US" w:eastAsia="zh-CN"/>
              </w:rPr>
              <w:t>《危险废物贮存污染控制标准》(GB18597-2023)相关规定。</w:t>
            </w:r>
          </w:p>
          <w:p w14:paraId="74CC0C6F">
            <w:pPr>
              <w:pStyle w:val="33"/>
              <w:numPr>
                <w:ilvl w:val="0"/>
                <w:numId w:val="0"/>
              </w:numPr>
              <w:bidi w:val="0"/>
              <w:ind w:left="0" w:leftChars="0" w:right="0" w:rightChars="0" w:firstLine="488"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sz w:val="24"/>
                <w:szCs w:val="24"/>
                <w:lang w:eastAsia="zh-CN"/>
              </w:rPr>
              <w:t>《医疗废物集中处置技术规范(试行)》(环发[2003]206号)中医疗废物暂时贮存库房的</w:t>
            </w:r>
            <w:r>
              <w:rPr>
                <w:rFonts w:hint="eastAsia" w:eastAsia="宋体" w:cs="Times New Roman"/>
                <w:color w:val="auto"/>
                <w:sz w:val="24"/>
                <w:szCs w:val="24"/>
                <w:lang w:val="en-US" w:eastAsia="zh-CN"/>
              </w:rPr>
              <w:t>相关</w:t>
            </w:r>
            <w:r>
              <w:rPr>
                <w:rFonts w:hint="eastAsia" w:eastAsia="宋体" w:cs="Times New Roman"/>
                <w:color w:val="auto"/>
                <w:sz w:val="24"/>
                <w:szCs w:val="24"/>
                <w:lang w:eastAsia="zh-CN"/>
              </w:rPr>
              <w:t>要求</w:t>
            </w:r>
            <w:r>
              <w:rPr>
                <w:rFonts w:hint="eastAsia" w:eastAsia="宋体" w:cs="Times New Roman"/>
                <w:color w:val="auto"/>
                <w:sz w:val="24"/>
                <w:szCs w:val="24"/>
                <w:lang w:val="en-US" w:eastAsia="zh-CN"/>
              </w:rPr>
              <w:t>如下</w:t>
            </w:r>
            <w:r>
              <w:rPr>
                <w:rFonts w:hint="eastAsia" w:eastAsia="宋体" w:cs="Times New Roman"/>
                <w:color w:val="auto"/>
                <w:sz w:val="24"/>
                <w:szCs w:val="24"/>
                <w:lang w:eastAsia="zh-CN"/>
              </w:rPr>
              <w:t>：</w:t>
            </w:r>
          </w:p>
          <w:p w14:paraId="4BA3333E">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①必须与生活垃圾存放地分开，有防雨淋的装置，地基高度应确保设施内不受雨洪冲击或浸泡；</w:t>
            </w:r>
          </w:p>
          <w:p w14:paraId="76D4BF5A">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②必须与医疗区和人员活动密集区隔开，方便医疗废物的装卸、装卸人员及运送车辆的出入；</w:t>
            </w:r>
          </w:p>
          <w:p w14:paraId="2C96C1BD">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③应有严密的封闭措施，设专人管理，避免非工作人员进出，以及防鼠、防蚊蝇、防蟑螂、防盗以及预防儿童接触等安全措施；</w:t>
            </w:r>
          </w:p>
          <w:p w14:paraId="424AECEA">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④地面和</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米高的墙裙须进行防渗处理，地面有良好的排水性能，易于清洁和消毒，产生的废水应采用管道直接排入医疗卫生机构内的医疗废水消毒、处理系统，禁止将产生的废水直接排入外环境；</w:t>
            </w:r>
          </w:p>
          <w:p w14:paraId="546966EC">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⑤库房外宜设有供水龙头，以供暂时贮存库房的清洗用；</w:t>
            </w:r>
          </w:p>
          <w:p w14:paraId="71B8EDDC">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⑥避免阳光直射库内，应有良好的照明设备和通风条件；</w:t>
            </w:r>
          </w:p>
          <w:p w14:paraId="371D7787">
            <w:pPr>
              <w:pStyle w:val="33"/>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⑦库房内应张贴“禁止吸烟、饮食”的警示标识；</w:t>
            </w:r>
          </w:p>
          <w:p w14:paraId="43001E24">
            <w:pPr>
              <w:pStyle w:val="33"/>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eastAsia="zh-CN"/>
              </w:rPr>
              <w:t>⑧应按《环境保护图形标志—固体废物贮存（处置）场》（GB15562.2）和卫生、环保部门制定的专用医疗废物警示标识要求，在库房外的明显处同时设置危险废物和医疗废物的警示标识。</w:t>
            </w:r>
          </w:p>
          <w:p w14:paraId="6F118FDA">
            <w:pPr>
              <w:pStyle w:val="33"/>
              <w:numPr>
                <w:ilvl w:val="0"/>
                <w:numId w:val="0"/>
              </w:numPr>
              <w:bidi w:val="0"/>
              <w:ind w:left="0" w:leftChars="0" w:right="0" w:rightChars="0" w:firstLine="488" w:firstLineChars="0"/>
              <w:rPr>
                <w:rFonts w:hint="eastAsia" w:eastAsia="宋体" w:cs="Times New Roman"/>
                <w:color w:val="auto"/>
                <w:sz w:val="24"/>
                <w:szCs w:val="24"/>
                <w:vertAlign w:val="baseline"/>
                <w:lang w:val="en-US" w:eastAsia="zh-CN"/>
              </w:rPr>
            </w:pPr>
            <w:r>
              <w:rPr>
                <w:rFonts w:hint="eastAsia" w:ascii="Times New Roman" w:hAnsi="Times New Roman" w:eastAsia="宋体" w:cs="Times New Roman"/>
                <w:color w:val="auto"/>
                <w:kern w:val="2"/>
                <w:sz w:val="24"/>
                <w:szCs w:val="24"/>
                <w:vertAlign w:val="baseline"/>
                <w:lang w:val="en-US" w:eastAsia="zh-CN" w:bidi="ar-SA"/>
              </w:rPr>
              <w:t>2）</w:t>
            </w:r>
            <w:r>
              <w:rPr>
                <w:rFonts w:hint="eastAsia" w:eastAsia="宋体" w:cs="Times New Roman"/>
                <w:color w:val="auto"/>
                <w:sz w:val="24"/>
                <w:szCs w:val="24"/>
                <w:vertAlign w:val="baseline"/>
                <w:lang w:val="en-US" w:eastAsia="zh-CN"/>
              </w:rPr>
              <w:t>《危险废物贮存污染控制标准》(GB18597-2023)相关要求如下：</w:t>
            </w:r>
          </w:p>
          <w:p w14:paraId="2434FC73">
            <w:pPr>
              <w:pStyle w:val="33"/>
              <w:numPr>
                <w:ilvl w:val="0"/>
                <w:numId w:val="0"/>
              </w:numPr>
              <w:bidi w:val="0"/>
              <w:ind w:right="0" w:rightChars="0" w:firstLine="480" w:firstLineChars="200"/>
              <w:rPr>
                <w:rFonts w:hint="eastAsia"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①贮存设施应根据危险废物的形态、物理化学性质、包装形式和污染物迁移途径，采取必要的防风、防晒、防雨、防漏、防渗、防腐以及其他环境污染防治措施，不应露天堆放危险废物。</w:t>
            </w:r>
          </w:p>
          <w:p w14:paraId="65760F1F">
            <w:pPr>
              <w:pStyle w:val="33"/>
              <w:numPr>
                <w:ilvl w:val="0"/>
                <w:numId w:val="0"/>
              </w:numPr>
              <w:bidi w:val="0"/>
              <w:ind w:right="0" w:rightChars="0" w:firstLine="480" w:firstLineChars="200"/>
              <w:rPr>
                <w:rFonts w:hint="eastAsia"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②贮存设施应根据危险废物的类别、数量、形态、物理化学性质和污染防治等要求设置必要的贮存分区，避免不相容的危险废物接触、混合。</w:t>
            </w:r>
          </w:p>
          <w:p w14:paraId="390801D5">
            <w:pPr>
              <w:pStyle w:val="33"/>
              <w:numPr>
                <w:ilvl w:val="0"/>
                <w:numId w:val="0"/>
              </w:numPr>
              <w:bidi w:val="0"/>
              <w:ind w:right="0" w:rightChars="0" w:firstLine="480" w:firstLineChars="200"/>
              <w:rPr>
                <w:rFonts w:hint="eastAsia"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③贮存设施或贮存分区内地面、墙面裙脚、堵截泄漏的围堰、接触危险废物的隔板和墙体等应采用坚固的材料建造，表面无裂缝。</w:t>
            </w:r>
          </w:p>
          <w:p w14:paraId="46947A7A">
            <w:pPr>
              <w:pStyle w:val="33"/>
              <w:numPr>
                <w:ilvl w:val="0"/>
                <w:numId w:val="0"/>
              </w:numPr>
              <w:bidi w:val="0"/>
              <w:ind w:right="0" w:rightChars="0" w:firstLine="480" w:firstLineChars="200"/>
              <w:rPr>
                <w:rFonts w:hint="eastAsia"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eastAsia="宋体" w:cs="Times New Roman"/>
                <w:color w:val="auto"/>
                <w:sz w:val="24"/>
                <w:szCs w:val="24"/>
                <w:vertAlign w:val="superscript"/>
                <w:lang w:val="en-US" w:eastAsia="zh-CN"/>
              </w:rPr>
              <w:t>-7</w:t>
            </w:r>
            <w:r>
              <w:rPr>
                <w:rFonts w:hint="eastAsia" w:eastAsia="宋体" w:cs="Times New Roman"/>
                <w:color w:val="auto"/>
                <w:sz w:val="24"/>
                <w:szCs w:val="24"/>
                <w:vertAlign w:val="baseline"/>
                <w:lang w:val="en-US" w:eastAsia="zh-CN"/>
              </w:rPr>
              <w:t>cm/s)，或至少2mm厚高密度聚乙烯膜等人工防渗材料(渗透系数不大于10</w:t>
            </w:r>
            <w:r>
              <w:rPr>
                <w:rFonts w:hint="eastAsia" w:eastAsia="宋体" w:cs="Times New Roman"/>
                <w:color w:val="auto"/>
                <w:sz w:val="24"/>
                <w:szCs w:val="24"/>
                <w:vertAlign w:val="superscript"/>
                <w:lang w:val="en-US" w:eastAsia="zh-CN"/>
              </w:rPr>
              <w:t>-10</w:t>
            </w:r>
            <w:r>
              <w:rPr>
                <w:rFonts w:hint="eastAsia" w:eastAsia="宋体" w:cs="Times New Roman"/>
                <w:color w:val="auto"/>
                <w:sz w:val="24"/>
                <w:szCs w:val="24"/>
                <w:vertAlign w:val="baseline"/>
                <w:lang w:val="en-US" w:eastAsia="zh-CN"/>
              </w:rPr>
              <w:t>cm/s)，或其他防渗性能等效的材料。</w:t>
            </w:r>
          </w:p>
          <w:p w14:paraId="28F6D1F3">
            <w:pPr>
              <w:pStyle w:val="33"/>
              <w:numPr>
                <w:ilvl w:val="0"/>
                <w:numId w:val="0"/>
              </w:numPr>
              <w:bidi w:val="0"/>
              <w:ind w:right="0" w:rightChars="0" w:firstLine="480" w:firstLineChars="200"/>
              <w:rPr>
                <w:rFonts w:hint="eastAsia"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5C2E4793">
            <w:pPr>
              <w:pStyle w:val="33"/>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2</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卫生要求</w:t>
            </w:r>
          </w:p>
          <w:p w14:paraId="1FADE3C6">
            <w:pPr>
              <w:pStyle w:val="33"/>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医疗废物暂时贮存库房每天应在废物清运之后消毒冲洗，冲洗液应排入</w:t>
            </w:r>
            <w:r>
              <w:rPr>
                <w:rFonts w:hint="eastAsia" w:eastAsia="宋体" w:cs="Times New Roman"/>
                <w:color w:val="auto"/>
                <w:sz w:val="24"/>
                <w:szCs w:val="24"/>
                <w:lang w:val="en-US" w:eastAsia="zh-CN"/>
              </w:rPr>
              <w:t>化粪池，在进入院内污水处理站处理</w:t>
            </w:r>
            <w:r>
              <w:rPr>
                <w:rFonts w:hint="default" w:ascii="Times New Roman" w:hAnsi="Times New Roman" w:eastAsia="宋体" w:cs="Times New Roman"/>
                <w:color w:val="auto"/>
                <w:sz w:val="24"/>
                <w:szCs w:val="24"/>
                <w:lang w:eastAsia="zh-CN"/>
              </w:rPr>
              <w:t>。</w:t>
            </w:r>
            <w:r>
              <w:rPr>
                <w:rFonts w:hint="eastAsia" w:eastAsia="宋体" w:cs="Times New Roman"/>
                <w:color w:val="auto"/>
                <w:sz w:val="24"/>
                <w:szCs w:val="24"/>
                <w:lang w:val="en-US" w:eastAsia="zh-CN"/>
              </w:rPr>
              <w:t>项目每次清运完成后对地面进行拖洗，拖洗产生的废水进入项目污水处理站进行处理，拖洗后对整个暂存间进行消毒，符合卫生要求。</w:t>
            </w:r>
          </w:p>
          <w:p w14:paraId="18EC9DE7">
            <w:pPr>
              <w:pStyle w:val="33"/>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3</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暂时贮存时间</w:t>
            </w:r>
          </w:p>
          <w:p w14:paraId="447B95FF">
            <w:pPr>
              <w:pStyle w:val="33"/>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应防止医疗废物在暂时贮存库房中腐败散发恶臭，尽量做到日产日清。 确实不能做到日产日清，应将医疗废物低温暂时贮存，暂时贮存温度应低于20℃，时间最长不超过</w:t>
            </w:r>
            <w:r>
              <w:rPr>
                <w:rFonts w:hint="default" w:ascii="Times New Roman" w:hAnsi="Times New Roman" w:eastAsia="宋体" w:cs="Times New Roman"/>
                <w:color w:val="auto"/>
                <w:sz w:val="24"/>
                <w:szCs w:val="24"/>
                <w:lang w:val="en-US" w:eastAsia="zh-CN"/>
              </w:rPr>
              <w:t>48</w:t>
            </w:r>
            <w:r>
              <w:rPr>
                <w:rFonts w:hint="default" w:ascii="Times New Roman" w:hAnsi="Times New Roman" w:eastAsia="宋体" w:cs="Times New Roman"/>
                <w:color w:val="auto"/>
                <w:sz w:val="24"/>
                <w:szCs w:val="24"/>
                <w:lang w:eastAsia="zh-CN"/>
              </w:rPr>
              <w:t>小时。</w:t>
            </w:r>
            <w:r>
              <w:rPr>
                <w:rFonts w:hint="eastAsia" w:eastAsia="宋体" w:cs="Times New Roman"/>
                <w:color w:val="auto"/>
                <w:sz w:val="24"/>
                <w:szCs w:val="24"/>
                <w:lang w:val="en-US" w:eastAsia="zh-CN"/>
              </w:rPr>
              <w:t>项目医疗废物清运频率为2天清运1次，符合暂时贮存要求。</w:t>
            </w:r>
          </w:p>
          <w:p w14:paraId="0D9A0E57">
            <w:pPr>
              <w:pStyle w:val="33"/>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4</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管理制度</w:t>
            </w:r>
          </w:p>
          <w:p w14:paraId="4D4D4E6C">
            <w:pPr>
              <w:pStyle w:val="33"/>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应制定医疗废物暂时贮存管理的有关规章制度、工作程序及应急处理措施。暂时贮存库房应当接受卫生主管部门的监督检查。</w:t>
            </w:r>
            <w:r>
              <w:rPr>
                <w:rFonts w:hint="eastAsia" w:eastAsia="宋体" w:cs="Times New Roman"/>
                <w:color w:val="auto"/>
                <w:sz w:val="24"/>
                <w:szCs w:val="24"/>
                <w:lang w:val="en-US" w:eastAsia="zh-CN"/>
              </w:rPr>
              <w:t>项目医废暂存间内部张贴有相关的</w:t>
            </w:r>
            <w:r>
              <w:rPr>
                <w:rFonts w:hint="default" w:ascii="Times New Roman" w:hAnsi="Times New Roman" w:eastAsia="宋体" w:cs="Times New Roman"/>
                <w:color w:val="auto"/>
                <w:sz w:val="24"/>
                <w:szCs w:val="24"/>
                <w:lang w:eastAsia="zh-CN"/>
              </w:rPr>
              <w:t>医疗废物暂时贮存管理规章制度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符合要求。</w:t>
            </w:r>
          </w:p>
          <w:p w14:paraId="06070954">
            <w:pPr>
              <w:spacing w:line="360" w:lineRule="auto"/>
              <w:ind w:firstLine="482" w:firstLineChars="200"/>
              <w:rPr>
                <w:rFonts w:hint="default"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五、</w:t>
            </w:r>
            <w:r>
              <w:rPr>
                <w:rFonts w:hint="default" w:ascii="Times New Roman" w:hAnsi="Times New Roman" w:cs="Times New Roman"/>
                <w:b/>
                <w:bCs/>
                <w:color w:val="auto"/>
                <w:sz w:val="24"/>
                <w:szCs w:val="24"/>
                <w:lang w:eastAsia="zh-CN"/>
              </w:rPr>
              <w:t>地下水</w:t>
            </w:r>
          </w:p>
          <w:p w14:paraId="2C51DD74">
            <w:pPr>
              <w:spacing w:line="360" w:lineRule="auto"/>
              <w:ind w:firstLine="480" w:firstLineChars="200"/>
              <w:rPr>
                <w:rFonts w:hint="default"/>
                <w:color w:val="auto"/>
                <w:lang w:val="en-US" w:eastAsia="zh-CN"/>
              </w:rPr>
            </w:pPr>
            <w:r>
              <w:rPr>
                <w:rFonts w:hint="default" w:ascii="Times New Roman" w:hAnsi="Times New Roman" w:cs="Times New Roman"/>
                <w:color w:val="auto"/>
                <w:sz w:val="24"/>
                <w:szCs w:val="24"/>
              </w:rPr>
              <w:t>根据《环境影响评价技术导则 地下水环境》（HJ 610-2016），地下水环境评价工作等级的划分是由项目类别及地下水环境敏感程度确定，本项目为</w:t>
            </w:r>
            <w:r>
              <w:rPr>
                <w:rFonts w:hint="eastAsia" w:cs="Times New Roman"/>
                <w:color w:val="auto"/>
                <w:sz w:val="24"/>
                <w:szCs w:val="24"/>
                <w:lang w:val="en-US" w:eastAsia="zh-CN"/>
              </w:rPr>
              <w:t>专科</w:t>
            </w:r>
            <w:r>
              <w:rPr>
                <w:rFonts w:hint="default" w:ascii="Times New Roman" w:hAnsi="Times New Roman" w:cs="Times New Roman"/>
                <w:color w:val="auto"/>
                <w:sz w:val="24"/>
                <w:szCs w:val="24"/>
              </w:rPr>
              <w:t>医院项目，根据《环境影响评价技术导则 地下水环境》（HJ 610-2016）附录A，本项目属于地下水环境影响评价项目的Ⅳ类建设项目，根据《环境影响评价技术导则 地下水环境》（HJ 610-2016），Ⅳ类建设项目不开展地下水环境影响评价，故项目不开展地下水环境影响评价</w:t>
            </w:r>
            <w:r>
              <w:rPr>
                <w:rFonts w:hint="default" w:ascii="Times New Roman" w:hAnsi="Times New Roman" w:cs="Times New Roman"/>
                <w:color w:val="auto"/>
                <w:sz w:val="24"/>
                <w:szCs w:val="24"/>
                <w:lang w:eastAsia="zh-CN"/>
              </w:rPr>
              <w:t>。</w:t>
            </w:r>
          </w:p>
          <w:p w14:paraId="7836FEB7">
            <w:pPr>
              <w:spacing w:line="360" w:lineRule="auto"/>
              <w:ind w:firstLine="482" w:firstLineChars="200"/>
              <w:rPr>
                <w:rFonts w:hint="default"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六、</w:t>
            </w:r>
            <w:r>
              <w:rPr>
                <w:rFonts w:hint="default" w:ascii="Times New Roman" w:hAnsi="Times New Roman" w:cs="Times New Roman"/>
                <w:b/>
                <w:bCs/>
                <w:color w:val="auto"/>
                <w:sz w:val="24"/>
                <w:szCs w:val="24"/>
                <w:lang w:eastAsia="zh-CN"/>
              </w:rPr>
              <w:t>土壤</w:t>
            </w:r>
          </w:p>
          <w:p w14:paraId="557AB47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根据《环境影响评价技术导则</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土壤环境》（HJ964-2018）附录A，项目为</w:t>
            </w:r>
            <w:r>
              <w:rPr>
                <w:rFonts w:hint="eastAsia" w:cs="Times New Roman"/>
                <w:color w:val="auto"/>
                <w:sz w:val="24"/>
                <w:szCs w:val="24"/>
                <w:lang w:val="en-US" w:eastAsia="zh-CN"/>
              </w:rPr>
              <w:t>专科</w:t>
            </w:r>
            <w:r>
              <w:rPr>
                <w:rFonts w:hint="default" w:ascii="Times New Roman" w:hAnsi="Times New Roman" w:cs="Times New Roman"/>
                <w:color w:val="auto"/>
                <w:sz w:val="24"/>
                <w:szCs w:val="24"/>
                <w:lang w:val="en-US" w:eastAsia="zh-CN"/>
              </w:rPr>
              <w:t>医院建设项目，项目土壤环境影响评价类别为IV类，根据《环境影响评价技术导则-土壤环境》（HJ964-2018）中4.2.2中要求IV类项目可不开展土壤环境影响评价工作。故本次环评不需要进行土壤环境影响评价分析。</w:t>
            </w:r>
          </w:p>
          <w:p w14:paraId="73128979">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七</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eastAsia="zh-CN"/>
              </w:rPr>
              <w:t>生态</w:t>
            </w:r>
            <w:r>
              <w:rPr>
                <w:rFonts w:hint="eastAsia" w:cs="Times New Roman"/>
                <w:b/>
                <w:bCs/>
                <w:color w:val="auto"/>
                <w:sz w:val="24"/>
                <w:szCs w:val="24"/>
                <w:lang w:val="en-US" w:eastAsia="zh-CN"/>
              </w:rPr>
              <w:t>环境</w:t>
            </w:r>
          </w:p>
          <w:p w14:paraId="109E1138">
            <w:pPr>
              <w:widowControl/>
              <w:spacing w:line="360" w:lineRule="auto"/>
              <w:ind w:firstLine="480" w:firstLineChars="200"/>
              <w:rPr>
                <w:rFonts w:hint="default" w:ascii="Times New Roman" w:hAnsi="Times New Roman" w:eastAsia="宋体" w:cs="Times New Roman"/>
                <w:b/>
                <w:bCs/>
                <w:color w:val="auto"/>
                <w:szCs w:val="21"/>
                <w:lang w:eastAsia="zh-CN"/>
              </w:rPr>
            </w:pPr>
            <w:r>
              <w:rPr>
                <w:rFonts w:hint="default" w:ascii="Times New Roman" w:hAnsi="Times New Roman" w:cs="Times New Roman"/>
                <w:color w:val="auto"/>
                <w:sz w:val="24"/>
                <w:szCs w:val="24"/>
              </w:rPr>
              <w:t>本项目位于</w:t>
            </w:r>
            <w:r>
              <w:rPr>
                <w:rFonts w:hint="eastAsia" w:ascii="宋体" w:hAnsi="宋体" w:eastAsia="宋体" w:cs="宋体"/>
                <w:color w:val="auto"/>
                <w:sz w:val="24"/>
                <w:szCs w:val="24"/>
              </w:rPr>
              <w:t>昆明市寻甸回族彝族自治县倘甸镇白章村委会芭蕉树村108号</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周边人为活动活跃，已无自然植被存在，项目用地范围内无生态环境敏感目标分布。故项目建设对周边生态环境影响不大。</w:t>
            </w:r>
          </w:p>
          <w:p w14:paraId="42722B88">
            <w:pPr>
              <w:pStyle w:val="32"/>
              <w:numPr>
                <w:ilvl w:val="0"/>
                <w:numId w:val="0"/>
              </w:numPr>
              <w:spacing w:line="360" w:lineRule="auto"/>
              <w:ind w:firstLine="498" w:firstLineChars="200"/>
              <w:rPr>
                <w:rFonts w:hint="eastAsia"/>
                <w:b/>
                <w:bCs/>
                <w:color w:val="auto"/>
                <w:sz w:val="24"/>
                <w:szCs w:val="24"/>
                <w:lang w:val="en-US" w:eastAsia="zh-CN"/>
              </w:rPr>
            </w:pPr>
            <w:r>
              <w:rPr>
                <w:rFonts w:hint="eastAsia" w:ascii="Times New Roman" w:hAnsi="Times New Roman" w:eastAsia="宋体" w:cs="Times New Roman"/>
                <w:b/>
                <w:bCs/>
                <w:color w:val="auto"/>
                <w:spacing w:val="4"/>
                <w:kern w:val="24"/>
                <w:sz w:val="24"/>
                <w:szCs w:val="24"/>
                <w:lang w:val="en-US" w:eastAsia="zh-CN" w:bidi="ar-SA"/>
              </w:rPr>
              <w:t>八、</w:t>
            </w:r>
            <w:r>
              <w:rPr>
                <w:rFonts w:hint="eastAsia"/>
                <w:b/>
                <w:bCs/>
                <w:color w:val="auto"/>
                <w:sz w:val="24"/>
                <w:szCs w:val="24"/>
                <w:lang w:val="en-US" w:eastAsia="zh-CN"/>
              </w:rPr>
              <w:t>环境风险分析</w:t>
            </w:r>
          </w:p>
          <w:p w14:paraId="4D2F1176">
            <w:pPr>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风险调查及评价等级判定</w:t>
            </w:r>
          </w:p>
          <w:p w14:paraId="7711003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风险评价技术导则》（HJ169-2018）附录B，计算本项目所涉及的每种危险物质在厂界内的最大存在总量与其在附录B中对应临界量的比值Q。在不同厂区的同一种物质，按其在厂区内的最大存在总量计算。</w:t>
            </w:r>
          </w:p>
          <w:p w14:paraId="32774E3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当只涉及一种危险物质时，计算该物质的总量与其临界量的比值，即为Q；</w:t>
            </w:r>
          </w:p>
          <w:p w14:paraId="21553D6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当存在多种危险物质时，则按下式计算物质总量与其临界量比值Q：</w:t>
            </w:r>
          </w:p>
          <w:p w14:paraId="6000ADBB">
            <w:pPr>
              <w:spacing w:line="360" w:lineRule="auto"/>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30" o:spt="75" type="#_x0000_t75" style="height:33.75pt;width:122.2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p>
          <w:p w14:paraId="07B90BA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、……qn——每种危险物质的最大存在量；</w:t>
            </w:r>
          </w:p>
          <w:p w14:paraId="28F2554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Q</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、……Qn——每种危险物质的临界量；</w:t>
            </w:r>
          </w:p>
          <w:p w14:paraId="7C71637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当Q&lt;1时，该项目环境风险潜势为</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ROMAN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w:t>
            </w:r>
          </w:p>
          <w:p w14:paraId="3076953D">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当Q≥1时，将Q值划分为：1≤Q&lt;10；10≤Q&lt;100；Q≥100。</w:t>
            </w:r>
          </w:p>
          <w:p w14:paraId="2BD5CB3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涉及风险</w:t>
            </w:r>
            <w:r>
              <w:rPr>
                <w:rFonts w:hint="default" w:ascii="Times New Roman" w:hAnsi="Times New Roman" w:eastAsia="宋体" w:cs="Times New Roman"/>
                <w:color w:val="auto"/>
                <w:sz w:val="24"/>
                <w:szCs w:val="24"/>
              </w:rPr>
              <w:t>物质</w:t>
            </w:r>
            <w:r>
              <w:rPr>
                <w:rFonts w:hint="default" w:ascii="Times New Roman" w:hAnsi="Times New Roman" w:eastAsia="宋体" w:cs="Times New Roman"/>
                <w:color w:val="auto"/>
                <w:sz w:val="24"/>
                <w:szCs w:val="24"/>
                <w:lang w:val="en-US" w:eastAsia="zh-CN"/>
              </w:rPr>
              <w:t>为酒精、</w:t>
            </w:r>
            <w:r>
              <w:rPr>
                <w:rFonts w:hint="eastAsia" w:cs="Times New Roman"/>
                <w:color w:val="auto"/>
                <w:sz w:val="24"/>
                <w:szCs w:val="24"/>
                <w:lang w:val="en-US" w:eastAsia="zh-CN"/>
              </w:rPr>
              <w:t>次氯酸钠</w:t>
            </w:r>
            <w:r>
              <w:rPr>
                <w:rFonts w:hint="default" w:ascii="Times New Roman" w:hAnsi="Times New Roman" w:eastAsia="宋体" w:cs="Times New Roman"/>
                <w:color w:val="auto"/>
                <w:sz w:val="24"/>
                <w:szCs w:val="24"/>
              </w:rPr>
              <w:t>，结合HJ169-2018附录B，</w:t>
            </w:r>
            <w:r>
              <w:rPr>
                <w:rFonts w:hint="eastAsia" w:cs="Times New Roman"/>
                <w:color w:val="auto"/>
                <w:sz w:val="24"/>
                <w:szCs w:val="24"/>
                <w:lang w:val="en-US" w:eastAsia="zh-CN"/>
              </w:rPr>
              <w:t>风险</w:t>
            </w:r>
            <w:r>
              <w:rPr>
                <w:rFonts w:hint="default" w:ascii="Times New Roman" w:hAnsi="Times New Roman" w:eastAsia="宋体" w:cs="Times New Roman"/>
                <w:color w:val="auto"/>
                <w:sz w:val="24"/>
                <w:szCs w:val="24"/>
              </w:rPr>
              <w:t>物质Q值如下：</w:t>
            </w:r>
          </w:p>
          <w:p w14:paraId="45F9AAE3">
            <w:pPr>
              <w:adjustRightInd w:val="0"/>
              <w:snapToGrid w:val="0"/>
              <w:spacing w:beforeLines="50"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eastAsia" w:cs="Times New Roman"/>
                <w:b/>
                <w:color w:val="auto"/>
                <w:sz w:val="24"/>
                <w:szCs w:val="24"/>
                <w:lang w:val="en-US" w:eastAsia="zh-CN"/>
              </w:rPr>
              <w:t>13</w:t>
            </w:r>
            <w:r>
              <w:rPr>
                <w:rFonts w:hint="default" w:ascii="Times New Roman" w:hAnsi="Times New Roman" w:eastAsia="宋体" w:cs="Times New Roman"/>
                <w:b/>
                <w:color w:val="auto"/>
                <w:sz w:val="24"/>
                <w:szCs w:val="24"/>
              </w:rPr>
              <w:t xml:space="preserve"> </w:t>
            </w:r>
            <w:r>
              <w:rPr>
                <w:rFonts w:hint="eastAsia"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建设项目Q值确定表</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554"/>
              <w:gridCol w:w="1231"/>
              <w:gridCol w:w="1621"/>
              <w:gridCol w:w="1458"/>
              <w:gridCol w:w="1592"/>
            </w:tblGrid>
            <w:tr w14:paraId="6D10E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1" w:type="dxa"/>
                  <w:tcBorders>
                    <w:top w:val="single" w:color="000000" w:sz="8" w:space="0"/>
                    <w:left w:val="single" w:color="000000" w:sz="8" w:space="0"/>
                    <w:bottom w:val="single" w:color="000000" w:sz="8" w:space="0"/>
                    <w:right w:val="single" w:color="000000" w:sz="8" w:space="0"/>
                  </w:tcBorders>
                  <w:noWrap w:val="0"/>
                  <w:vAlign w:val="center"/>
                </w:tcPr>
                <w:p w14:paraId="29231A9E">
                  <w:pPr>
                    <w:pStyle w:val="36"/>
                    <w:keepNext w:val="0"/>
                    <w:keepLines w:val="0"/>
                    <w:pageBreakBefore w:val="0"/>
                    <w:widowControl/>
                    <w:kinsoku/>
                    <w:wordWrap/>
                    <w:overflowPunct/>
                    <w:topLinePunct w:val="0"/>
                    <w:autoSpaceDE/>
                    <w:autoSpaceDN/>
                    <w:bidi w:val="0"/>
                    <w:spacing w:before="0" w:beforeLines="0" w:after="0" w:afterLines="0" w:line="240" w:lineRule="auto"/>
                    <w:ind w:firstLine="0"/>
                    <w:rPr>
                      <w:rFonts w:hint="eastAsia"/>
                      <w:b/>
                      <w:bCs/>
                      <w:color w:val="auto"/>
                    </w:rPr>
                  </w:pPr>
                  <w:r>
                    <w:rPr>
                      <w:rFonts w:hint="eastAsia"/>
                      <w:b/>
                      <w:bCs/>
                      <w:color w:val="auto"/>
                      <w:lang w:val="en-US" w:eastAsia="zh-CN"/>
                    </w:rPr>
                    <w:t>序号</w:t>
                  </w:r>
                </w:p>
              </w:tc>
              <w:tc>
                <w:tcPr>
                  <w:tcW w:w="1554" w:type="dxa"/>
                  <w:tcBorders>
                    <w:top w:val="single" w:color="000000" w:sz="8" w:space="0"/>
                    <w:left w:val="nil"/>
                    <w:bottom w:val="single" w:color="000000" w:sz="8" w:space="0"/>
                    <w:right w:val="single" w:color="000000" w:sz="8" w:space="0"/>
                  </w:tcBorders>
                  <w:noWrap w:val="0"/>
                  <w:vAlign w:val="center"/>
                </w:tcPr>
                <w:p w14:paraId="7145D8AB">
                  <w:pPr>
                    <w:pStyle w:val="36"/>
                    <w:keepNext w:val="0"/>
                    <w:keepLines w:val="0"/>
                    <w:pageBreakBefore w:val="0"/>
                    <w:widowControl/>
                    <w:kinsoku/>
                    <w:wordWrap/>
                    <w:overflowPunct/>
                    <w:topLinePunct w:val="0"/>
                    <w:autoSpaceDE/>
                    <w:autoSpaceDN/>
                    <w:bidi w:val="0"/>
                    <w:spacing w:before="0" w:beforeLines="0" w:after="0" w:afterLines="0" w:line="240" w:lineRule="auto"/>
                    <w:ind w:firstLine="0"/>
                    <w:rPr>
                      <w:rFonts w:hint="eastAsia"/>
                      <w:b/>
                      <w:bCs/>
                      <w:color w:val="auto"/>
                    </w:rPr>
                  </w:pPr>
                  <w:r>
                    <w:rPr>
                      <w:rFonts w:hint="eastAsia"/>
                      <w:b/>
                      <w:bCs/>
                      <w:color w:val="auto"/>
                      <w:lang w:val="en-US" w:eastAsia="zh-CN"/>
                    </w:rPr>
                    <w:t>风险物质名称</w:t>
                  </w:r>
                </w:p>
              </w:tc>
              <w:tc>
                <w:tcPr>
                  <w:tcW w:w="1231" w:type="dxa"/>
                  <w:tcBorders>
                    <w:top w:val="single" w:color="000000" w:sz="8" w:space="0"/>
                    <w:left w:val="nil"/>
                    <w:bottom w:val="single" w:color="000000" w:sz="8" w:space="0"/>
                    <w:right w:val="single" w:color="000000" w:sz="8" w:space="0"/>
                  </w:tcBorders>
                  <w:noWrap w:val="0"/>
                  <w:vAlign w:val="center"/>
                </w:tcPr>
                <w:p w14:paraId="2548E53A">
                  <w:pPr>
                    <w:pStyle w:val="36"/>
                    <w:keepNext w:val="0"/>
                    <w:keepLines w:val="0"/>
                    <w:pageBreakBefore w:val="0"/>
                    <w:widowControl/>
                    <w:kinsoku/>
                    <w:wordWrap/>
                    <w:overflowPunct/>
                    <w:topLinePunct w:val="0"/>
                    <w:autoSpaceDE/>
                    <w:autoSpaceDN/>
                    <w:bidi w:val="0"/>
                    <w:spacing w:before="0" w:beforeLines="0" w:after="0" w:afterLines="0" w:line="240" w:lineRule="auto"/>
                    <w:ind w:firstLine="0"/>
                    <w:rPr>
                      <w:rFonts w:hint="default"/>
                      <w:b/>
                      <w:bCs/>
                      <w:color w:val="auto"/>
                    </w:rPr>
                  </w:pPr>
                  <w:r>
                    <w:rPr>
                      <w:rFonts w:hint="default"/>
                      <w:b/>
                      <w:bCs/>
                      <w:color w:val="auto"/>
                      <w:lang w:val="en-US" w:eastAsia="zh-CN"/>
                    </w:rPr>
                    <w:t>CAS</w:t>
                  </w:r>
                  <w:r>
                    <w:rPr>
                      <w:rFonts w:hint="eastAsia"/>
                      <w:b/>
                      <w:bCs/>
                      <w:color w:val="auto"/>
                      <w:lang w:val="en-US" w:eastAsia="zh-CN"/>
                    </w:rPr>
                    <w:t>号</w:t>
                  </w:r>
                </w:p>
              </w:tc>
              <w:tc>
                <w:tcPr>
                  <w:tcW w:w="1621" w:type="dxa"/>
                  <w:tcBorders>
                    <w:top w:val="single" w:color="000000" w:sz="8" w:space="0"/>
                    <w:left w:val="nil"/>
                    <w:bottom w:val="single" w:color="000000" w:sz="8" w:space="0"/>
                    <w:right w:val="single" w:color="000000" w:sz="8" w:space="0"/>
                  </w:tcBorders>
                  <w:noWrap w:val="0"/>
                  <w:vAlign w:val="center"/>
                </w:tcPr>
                <w:p w14:paraId="20A1614B">
                  <w:pPr>
                    <w:pStyle w:val="36"/>
                    <w:keepNext w:val="0"/>
                    <w:keepLines w:val="0"/>
                    <w:pageBreakBefore w:val="0"/>
                    <w:widowControl/>
                    <w:kinsoku/>
                    <w:wordWrap/>
                    <w:overflowPunct/>
                    <w:topLinePunct w:val="0"/>
                    <w:autoSpaceDE/>
                    <w:autoSpaceDN/>
                    <w:bidi w:val="0"/>
                    <w:spacing w:before="0" w:beforeLines="0" w:after="0" w:afterLines="0" w:line="240" w:lineRule="auto"/>
                    <w:ind w:firstLine="0"/>
                    <w:rPr>
                      <w:rFonts w:hint="eastAsia"/>
                      <w:b/>
                      <w:bCs/>
                      <w:color w:val="auto"/>
                    </w:rPr>
                  </w:pPr>
                  <w:r>
                    <w:rPr>
                      <w:rFonts w:hint="eastAsia"/>
                      <w:b/>
                      <w:bCs/>
                      <w:color w:val="auto"/>
                      <w:lang w:val="en-US" w:eastAsia="zh-CN"/>
                    </w:rPr>
                    <w:t>最大存在总量</w:t>
                  </w:r>
                  <w:r>
                    <w:rPr>
                      <w:rFonts w:hint="default"/>
                      <w:b/>
                      <w:bCs/>
                      <w:color w:val="auto"/>
                      <w:lang w:val="en-US" w:eastAsia="zh-CN"/>
                    </w:rPr>
                    <w:t>qn/t</w:t>
                  </w:r>
                </w:p>
              </w:tc>
              <w:tc>
                <w:tcPr>
                  <w:tcW w:w="1458" w:type="dxa"/>
                  <w:tcBorders>
                    <w:top w:val="single" w:color="000000" w:sz="8" w:space="0"/>
                    <w:left w:val="nil"/>
                    <w:bottom w:val="single" w:color="000000" w:sz="8" w:space="0"/>
                    <w:right w:val="single" w:color="000000" w:sz="8" w:space="0"/>
                  </w:tcBorders>
                  <w:noWrap w:val="0"/>
                  <w:vAlign w:val="center"/>
                </w:tcPr>
                <w:p w14:paraId="521FA41C">
                  <w:pPr>
                    <w:pStyle w:val="36"/>
                    <w:keepNext w:val="0"/>
                    <w:keepLines w:val="0"/>
                    <w:pageBreakBefore w:val="0"/>
                    <w:widowControl/>
                    <w:kinsoku/>
                    <w:wordWrap/>
                    <w:overflowPunct/>
                    <w:topLinePunct w:val="0"/>
                    <w:autoSpaceDE/>
                    <w:autoSpaceDN/>
                    <w:bidi w:val="0"/>
                    <w:spacing w:before="0" w:beforeLines="0" w:after="0" w:afterLines="0" w:line="240" w:lineRule="auto"/>
                    <w:ind w:firstLine="0"/>
                    <w:rPr>
                      <w:rFonts w:hint="eastAsia"/>
                      <w:b/>
                      <w:bCs/>
                      <w:color w:val="auto"/>
                    </w:rPr>
                  </w:pPr>
                  <w:r>
                    <w:rPr>
                      <w:rFonts w:hint="eastAsia"/>
                      <w:b/>
                      <w:bCs/>
                      <w:color w:val="auto"/>
                      <w:lang w:val="en-US" w:eastAsia="zh-CN"/>
                    </w:rPr>
                    <w:t>临界量</w:t>
                  </w:r>
                  <w:r>
                    <w:rPr>
                      <w:rFonts w:hint="default"/>
                      <w:b/>
                      <w:bCs/>
                      <w:color w:val="auto"/>
                      <w:lang w:val="en-US" w:eastAsia="zh-CN"/>
                    </w:rPr>
                    <w:t>Qn/t</w:t>
                  </w:r>
                </w:p>
              </w:tc>
              <w:tc>
                <w:tcPr>
                  <w:tcW w:w="1592" w:type="dxa"/>
                  <w:tcBorders>
                    <w:top w:val="single" w:color="000000" w:sz="8" w:space="0"/>
                    <w:left w:val="nil"/>
                    <w:bottom w:val="single" w:color="000000" w:sz="8" w:space="0"/>
                    <w:right w:val="single" w:color="000000" w:sz="8" w:space="0"/>
                  </w:tcBorders>
                  <w:noWrap w:val="0"/>
                  <w:vAlign w:val="center"/>
                </w:tcPr>
                <w:p w14:paraId="19D3A366">
                  <w:pPr>
                    <w:pStyle w:val="36"/>
                    <w:keepNext w:val="0"/>
                    <w:keepLines w:val="0"/>
                    <w:pageBreakBefore w:val="0"/>
                    <w:widowControl/>
                    <w:kinsoku/>
                    <w:wordWrap/>
                    <w:overflowPunct/>
                    <w:topLinePunct w:val="0"/>
                    <w:autoSpaceDE/>
                    <w:autoSpaceDN/>
                    <w:bidi w:val="0"/>
                    <w:spacing w:before="0" w:beforeLines="0" w:after="0" w:afterLines="0" w:line="240" w:lineRule="auto"/>
                    <w:ind w:firstLine="0"/>
                    <w:rPr>
                      <w:rFonts w:hint="eastAsia"/>
                      <w:b/>
                      <w:bCs/>
                      <w:color w:val="auto"/>
                    </w:rPr>
                  </w:pPr>
                  <w:r>
                    <w:rPr>
                      <w:rFonts w:hint="eastAsia"/>
                      <w:b/>
                      <w:bCs/>
                      <w:color w:val="auto"/>
                      <w:lang w:val="en-US" w:eastAsia="zh-CN"/>
                    </w:rPr>
                    <w:t>风险物质</w:t>
                  </w:r>
                  <w:r>
                    <w:rPr>
                      <w:rFonts w:hint="default"/>
                      <w:b/>
                      <w:bCs/>
                      <w:color w:val="auto"/>
                      <w:lang w:val="en-US" w:eastAsia="zh-CN"/>
                    </w:rPr>
                    <w:t>Q</w:t>
                  </w:r>
                  <w:r>
                    <w:rPr>
                      <w:rFonts w:hint="eastAsia"/>
                      <w:b/>
                      <w:bCs/>
                      <w:color w:val="auto"/>
                      <w:lang w:val="en-US" w:eastAsia="zh-CN"/>
                    </w:rPr>
                    <w:t>值</w:t>
                  </w:r>
                </w:p>
              </w:tc>
            </w:tr>
            <w:tr w14:paraId="5A8B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01" w:type="dxa"/>
                  <w:tcBorders>
                    <w:top w:val="nil"/>
                    <w:left w:val="single" w:color="000000" w:sz="8" w:space="0"/>
                    <w:bottom w:val="single" w:color="000000" w:sz="8" w:space="0"/>
                    <w:right w:val="single" w:color="000000" w:sz="8" w:space="0"/>
                  </w:tcBorders>
                  <w:noWrap w:val="0"/>
                  <w:vAlign w:val="center"/>
                </w:tcPr>
                <w:p w14:paraId="0A881F00">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54" w:type="dxa"/>
                  <w:tcBorders>
                    <w:top w:val="nil"/>
                    <w:left w:val="nil"/>
                    <w:bottom w:val="single" w:color="000000" w:sz="8" w:space="0"/>
                    <w:right w:val="single" w:color="000000" w:sz="8" w:space="0"/>
                  </w:tcBorders>
                  <w:noWrap w:val="0"/>
                  <w:vAlign w:val="center"/>
                </w:tcPr>
                <w:p w14:paraId="12B2E913">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酒精</w:t>
                  </w:r>
                </w:p>
              </w:tc>
              <w:tc>
                <w:tcPr>
                  <w:tcW w:w="1231" w:type="dxa"/>
                  <w:tcBorders>
                    <w:top w:val="nil"/>
                    <w:left w:val="nil"/>
                    <w:bottom w:val="single" w:color="000000" w:sz="8" w:space="0"/>
                    <w:right w:val="single" w:color="000000" w:sz="8" w:space="0"/>
                  </w:tcBorders>
                  <w:noWrap w:val="0"/>
                  <w:vAlign w:val="center"/>
                </w:tcPr>
                <w:p w14:paraId="7D303493">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64-17-5</w:t>
                  </w:r>
                </w:p>
              </w:tc>
              <w:tc>
                <w:tcPr>
                  <w:tcW w:w="1621" w:type="dxa"/>
                  <w:tcBorders>
                    <w:top w:val="nil"/>
                    <w:left w:val="nil"/>
                    <w:bottom w:val="single" w:color="000000" w:sz="8" w:space="0"/>
                    <w:right w:val="single" w:color="000000" w:sz="8" w:space="0"/>
                  </w:tcBorders>
                  <w:noWrap w:val="0"/>
                  <w:vAlign w:val="center"/>
                </w:tcPr>
                <w:p w14:paraId="75232F36">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02</w:t>
                  </w:r>
                </w:p>
              </w:tc>
              <w:tc>
                <w:tcPr>
                  <w:tcW w:w="1458" w:type="dxa"/>
                  <w:tcBorders>
                    <w:top w:val="nil"/>
                    <w:left w:val="nil"/>
                    <w:bottom w:val="single" w:color="000000" w:sz="8" w:space="0"/>
                    <w:right w:val="single" w:color="000000" w:sz="8" w:space="0"/>
                  </w:tcBorders>
                  <w:noWrap w:val="0"/>
                  <w:vAlign w:val="center"/>
                </w:tcPr>
                <w:p w14:paraId="00B3108E">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92" w:type="dxa"/>
                  <w:tcBorders>
                    <w:top w:val="nil"/>
                    <w:left w:val="nil"/>
                    <w:bottom w:val="single" w:color="000000" w:sz="8" w:space="0"/>
                    <w:right w:val="single" w:color="000000" w:sz="8" w:space="0"/>
                  </w:tcBorders>
                  <w:noWrap w:val="0"/>
                  <w:vAlign w:val="center"/>
                </w:tcPr>
                <w:p w14:paraId="3802772A">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cs="Times New Roman"/>
                      <w:i w:val="0"/>
                      <w:iCs w:val="0"/>
                      <w:color w:val="auto"/>
                      <w:kern w:val="0"/>
                      <w:sz w:val="21"/>
                      <w:szCs w:val="21"/>
                      <w:u w:val="none"/>
                      <w:lang w:val="en-US" w:eastAsia="zh-CN" w:bidi="ar"/>
                    </w:rPr>
                    <w:t>04</w:t>
                  </w:r>
                </w:p>
              </w:tc>
            </w:tr>
            <w:tr w14:paraId="06E3F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1" w:type="dxa"/>
                  <w:tcBorders>
                    <w:top w:val="nil"/>
                    <w:left w:val="single" w:color="000000" w:sz="8" w:space="0"/>
                    <w:bottom w:val="single" w:color="000000" w:sz="8" w:space="0"/>
                    <w:right w:val="single" w:color="000000" w:sz="8" w:space="0"/>
                  </w:tcBorders>
                  <w:noWrap w:val="0"/>
                  <w:vAlign w:val="center"/>
                </w:tcPr>
                <w:p w14:paraId="124355B6">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54" w:type="dxa"/>
                  <w:tcBorders>
                    <w:top w:val="nil"/>
                    <w:left w:val="nil"/>
                    <w:bottom w:val="single" w:color="000000" w:sz="8" w:space="0"/>
                    <w:right w:val="single" w:color="000000" w:sz="8" w:space="0"/>
                  </w:tcBorders>
                  <w:noWrap w:val="0"/>
                  <w:vAlign w:val="center"/>
                </w:tcPr>
                <w:p w14:paraId="60018BBE">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次氯酸钠</w:t>
                  </w:r>
                </w:p>
              </w:tc>
              <w:tc>
                <w:tcPr>
                  <w:tcW w:w="1231" w:type="dxa"/>
                  <w:tcBorders>
                    <w:top w:val="nil"/>
                    <w:left w:val="nil"/>
                    <w:bottom w:val="single" w:color="000000" w:sz="8" w:space="0"/>
                    <w:right w:val="single" w:color="000000" w:sz="8" w:space="0"/>
                  </w:tcBorders>
                  <w:noWrap w:val="0"/>
                  <w:vAlign w:val="center"/>
                </w:tcPr>
                <w:p w14:paraId="4EDFA238">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7681-52-9</w:t>
                  </w:r>
                </w:p>
              </w:tc>
              <w:tc>
                <w:tcPr>
                  <w:tcW w:w="1621" w:type="dxa"/>
                  <w:tcBorders>
                    <w:top w:val="nil"/>
                    <w:left w:val="nil"/>
                    <w:bottom w:val="single" w:color="000000" w:sz="8" w:space="0"/>
                    <w:right w:val="single" w:color="000000" w:sz="8" w:space="0"/>
                  </w:tcBorders>
                  <w:noWrap w:val="0"/>
                  <w:vAlign w:val="center"/>
                </w:tcPr>
                <w:p w14:paraId="382B959F">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458" w:type="dxa"/>
                  <w:tcBorders>
                    <w:top w:val="nil"/>
                    <w:left w:val="nil"/>
                    <w:bottom w:val="single" w:color="000000" w:sz="8" w:space="0"/>
                    <w:right w:val="single" w:color="000000" w:sz="8" w:space="0"/>
                  </w:tcBorders>
                  <w:noWrap w:val="0"/>
                  <w:vAlign w:val="center"/>
                </w:tcPr>
                <w:p w14:paraId="6FC300BA">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92" w:type="dxa"/>
                  <w:tcBorders>
                    <w:top w:val="nil"/>
                    <w:left w:val="nil"/>
                    <w:bottom w:val="single" w:color="000000" w:sz="8" w:space="0"/>
                    <w:right w:val="single" w:color="000000" w:sz="8" w:space="0"/>
                  </w:tcBorders>
                  <w:noWrap w:val="0"/>
                  <w:vAlign w:val="center"/>
                </w:tcPr>
                <w:p w14:paraId="77DAA9CD">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72073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01" w:type="dxa"/>
                  <w:tcBorders>
                    <w:top w:val="nil"/>
                    <w:left w:val="single" w:color="000000" w:sz="8" w:space="0"/>
                    <w:bottom w:val="single" w:color="000000" w:sz="8" w:space="0"/>
                    <w:right w:val="single" w:color="000000" w:sz="8" w:space="0"/>
                  </w:tcBorders>
                  <w:noWrap w:val="0"/>
                  <w:vAlign w:val="center"/>
                </w:tcPr>
                <w:p w14:paraId="365CF997">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w:t>
                  </w:r>
                </w:p>
              </w:tc>
              <w:tc>
                <w:tcPr>
                  <w:tcW w:w="1554" w:type="dxa"/>
                  <w:tcBorders>
                    <w:top w:val="nil"/>
                    <w:left w:val="nil"/>
                    <w:bottom w:val="single" w:color="000000" w:sz="8" w:space="0"/>
                    <w:right w:val="single" w:color="000000" w:sz="8" w:space="0"/>
                  </w:tcBorders>
                  <w:noWrap w:val="0"/>
                  <w:vAlign w:val="center"/>
                </w:tcPr>
                <w:p w14:paraId="57B72DE0">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废矿物油</w:t>
                  </w:r>
                </w:p>
              </w:tc>
              <w:tc>
                <w:tcPr>
                  <w:tcW w:w="1231" w:type="dxa"/>
                  <w:tcBorders>
                    <w:top w:val="nil"/>
                    <w:left w:val="nil"/>
                    <w:bottom w:val="single" w:color="000000" w:sz="8" w:space="0"/>
                    <w:right w:val="single" w:color="000000" w:sz="8" w:space="0"/>
                  </w:tcBorders>
                  <w:noWrap w:val="0"/>
                  <w:vAlign w:val="center"/>
                </w:tcPr>
                <w:p w14:paraId="4837D1CE">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8042-47-5</w:t>
                  </w:r>
                </w:p>
              </w:tc>
              <w:tc>
                <w:tcPr>
                  <w:tcW w:w="1621" w:type="dxa"/>
                  <w:tcBorders>
                    <w:top w:val="nil"/>
                    <w:left w:val="nil"/>
                    <w:bottom w:val="single" w:color="000000" w:sz="8" w:space="0"/>
                    <w:right w:val="single" w:color="000000" w:sz="8" w:space="0"/>
                  </w:tcBorders>
                  <w:noWrap w:val="0"/>
                  <w:vAlign w:val="center"/>
                </w:tcPr>
                <w:p w14:paraId="77971823">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w:t>
                  </w:r>
                </w:p>
              </w:tc>
              <w:tc>
                <w:tcPr>
                  <w:tcW w:w="1458" w:type="dxa"/>
                  <w:tcBorders>
                    <w:top w:val="nil"/>
                    <w:left w:val="nil"/>
                    <w:bottom w:val="single" w:color="000000" w:sz="8" w:space="0"/>
                    <w:right w:val="single" w:color="000000" w:sz="8" w:space="0"/>
                  </w:tcBorders>
                  <w:noWrap w:val="0"/>
                  <w:vAlign w:val="center"/>
                </w:tcPr>
                <w:p w14:paraId="1E374EBA">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2500</w:t>
                  </w:r>
                </w:p>
              </w:tc>
              <w:tc>
                <w:tcPr>
                  <w:tcW w:w="1592" w:type="dxa"/>
                  <w:tcBorders>
                    <w:top w:val="nil"/>
                    <w:left w:val="nil"/>
                    <w:bottom w:val="single" w:color="000000" w:sz="8" w:space="0"/>
                    <w:right w:val="single" w:color="000000" w:sz="8" w:space="0"/>
                  </w:tcBorders>
                  <w:noWrap w:val="0"/>
                  <w:vAlign w:val="center"/>
                </w:tcPr>
                <w:p w14:paraId="471B2E01">
                  <w:pPr>
                    <w:keepNext w:val="0"/>
                    <w:keepLines w:val="0"/>
                    <w:pageBreakBefore w:val="0"/>
                    <w:widowControl/>
                    <w:suppressLineNumbers w:val="0"/>
                    <w:kinsoku/>
                    <w:wordWrap/>
                    <w:overflowPunct/>
                    <w:topLinePunct w:val="0"/>
                    <w:autoSpaceDE/>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r>
            <w:tr w14:paraId="643CA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565" w:type="dxa"/>
                  <w:gridSpan w:val="5"/>
                  <w:tcBorders>
                    <w:top w:val="nil"/>
                    <w:left w:val="single" w:color="000000" w:sz="8" w:space="0"/>
                    <w:bottom w:val="single" w:color="000000" w:sz="8" w:space="0"/>
                    <w:right w:val="single" w:color="000000" w:sz="8" w:space="0"/>
                  </w:tcBorders>
                  <w:noWrap w:val="0"/>
                  <w:vAlign w:val="center"/>
                </w:tcPr>
                <w:p w14:paraId="0F4D717A">
                  <w:pPr>
                    <w:keepNext w:val="0"/>
                    <w:keepLines w:val="0"/>
                    <w:widowControl/>
                    <w:suppressLineNumbers w:val="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项目</w:t>
                  </w:r>
                  <w:r>
                    <w:rPr>
                      <w:rFonts w:hint="default" w:ascii="Times New Roman" w:hAnsi="Times New Roman" w:eastAsia="宋体" w:cs="Times New Roman"/>
                      <w:i w:val="0"/>
                      <w:iCs w:val="0"/>
                      <w:color w:val="auto"/>
                      <w:kern w:val="0"/>
                      <w:sz w:val="21"/>
                      <w:szCs w:val="21"/>
                      <w:u w:val="none"/>
                      <w:lang w:val="en-US" w:eastAsia="zh-CN" w:bidi="ar"/>
                    </w:rPr>
                    <w:t>Q</w:t>
                  </w:r>
                  <w:r>
                    <w:rPr>
                      <w:rFonts w:hint="eastAsia" w:ascii="宋体" w:hAnsi="宋体" w:eastAsia="宋体" w:cs="宋体"/>
                      <w:i w:val="0"/>
                      <w:iCs w:val="0"/>
                      <w:color w:val="auto"/>
                      <w:kern w:val="0"/>
                      <w:sz w:val="21"/>
                      <w:szCs w:val="21"/>
                      <w:u w:val="none"/>
                      <w:lang w:val="en-US" w:eastAsia="zh-CN" w:bidi="ar"/>
                    </w:rPr>
                    <w:t>值</w:t>
                  </w:r>
                  <w:r>
                    <w:rPr>
                      <w:rFonts w:hint="default" w:ascii="Times New Roman" w:hAnsi="Times New Roman" w:eastAsia="宋体" w:cs="Times New Roman"/>
                      <w:i w:val="0"/>
                      <w:iCs w:val="0"/>
                      <w:color w:val="auto"/>
                      <w:kern w:val="0"/>
                      <w:sz w:val="21"/>
                      <w:szCs w:val="21"/>
                      <w:u w:val="none"/>
                      <w:lang w:val="en-US" w:eastAsia="zh-CN" w:bidi="ar"/>
                    </w:rPr>
                    <w:t>∑</w:t>
                  </w:r>
                </w:p>
              </w:tc>
              <w:tc>
                <w:tcPr>
                  <w:tcW w:w="1592" w:type="dxa"/>
                  <w:tcBorders>
                    <w:top w:val="nil"/>
                    <w:left w:val="nil"/>
                    <w:bottom w:val="single" w:color="000000" w:sz="8" w:space="0"/>
                    <w:right w:val="single" w:color="000000" w:sz="8" w:space="0"/>
                  </w:tcBorders>
                  <w:noWrap w:val="0"/>
                  <w:vAlign w:val="center"/>
                </w:tcPr>
                <w:p w14:paraId="1A400049">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cs="Times New Roman"/>
                      <w:i w:val="0"/>
                      <w:iCs w:val="0"/>
                      <w:color w:val="auto"/>
                      <w:kern w:val="0"/>
                      <w:sz w:val="21"/>
                      <w:szCs w:val="21"/>
                      <w:u w:val="none"/>
                      <w:lang w:val="en-US" w:eastAsia="zh-CN" w:bidi="ar"/>
                    </w:rPr>
                    <w:t>0044</w:t>
                  </w:r>
                </w:p>
              </w:tc>
            </w:tr>
          </w:tbl>
          <w:p w14:paraId="7CA5C5C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上表，项目</w:t>
            </w:r>
            <w:r>
              <w:rPr>
                <w:rFonts w:hint="default" w:ascii="Times New Roman" w:hAnsi="Times New Roman" w:eastAsia="宋体" w:cs="Times New Roman"/>
                <w:color w:val="auto"/>
                <w:sz w:val="24"/>
                <w:szCs w:val="24"/>
                <w:lang w:val="en-US" w:eastAsia="zh-CN"/>
              </w:rPr>
              <w:t>Q值</w:t>
            </w:r>
            <w:r>
              <w:rPr>
                <w:rFonts w:hint="eastAsia" w:cs="Times New Roman"/>
                <w:color w:val="auto"/>
                <w:sz w:val="24"/>
                <w:szCs w:val="24"/>
                <w:lang w:val="en-US" w:eastAsia="zh-CN"/>
              </w:rPr>
              <w:t>=0.010044&lt;</w:t>
            </w:r>
            <w:r>
              <w:rPr>
                <w:rFonts w:hint="default" w:ascii="Times New Roman" w:hAnsi="Times New Roman" w:eastAsia="宋体" w:cs="Times New Roman"/>
                <w:color w:val="auto"/>
                <w:sz w:val="24"/>
                <w:szCs w:val="24"/>
                <w:lang w:val="en-US" w:eastAsia="zh-CN"/>
              </w:rPr>
              <w:t>1，环境风险潜势为I</w:t>
            </w:r>
            <w:r>
              <w:rPr>
                <w:rFonts w:hint="default" w:ascii="Times New Roman" w:hAnsi="Times New Roman" w:eastAsia="宋体" w:cs="Times New Roman"/>
                <w:color w:val="auto"/>
                <w:sz w:val="24"/>
                <w:szCs w:val="24"/>
              </w:rPr>
              <w:t>。</w:t>
            </w:r>
          </w:p>
          <w:p w14:paraId="0CB0E465">
            <w:pPr>
              <w:pStyle w:val="13"/>
              <w:spacing w:line="360" w:lineRule="auto"/>
              <w:ind w:firstLine="482" w:firstLineChars="200"/>
              <w:rPr>
                <w:rFonts w:ascii="Times New Roman" w:hAnsi="Times New Roman"/>
                <w:b/>
                <w:color w:val="auto"/>
                <w:sz w:val="24"/>
                <w:szCs w:val="24"/>
              </w:rPr>
            </w:pPr>
            <w:r>
              <w:rPr>
                <w:rFonts w:hint="eastAsia" w:ascii="Times New Roman" w:hAnsi="Times New Roman"/>
                <w:b/>
                <w:color w:val="auto"/>
                <w:sz w:val="24"/>
                <w:szCs w:val="24"/>
                <w:lang w:val="en-US" w:eastAsia="zh-CN"/>
              </w:rPr>
              <w:t>2、</w:t>
            </w:r>
            <w:r>
              <w:rPr>
                <w:rFonts w:ascii="Times New Roman" w:hAnsi="Times New Roman"/>
                <w:b/>
                <w:color w:val="auto"/>
                <w:sz w:val="24"/>
                <w:szCs w:val="24"/>
              </w:rPr>
              <w:t>环境风险识别</w:t>
            </w:r>
          </w:p>
          <w:p w14:paraId="441C3C05">
            <w:pPr>
              <w:pStyle w:val="13"/>
              <w:spacing w:line="360" w:lineRule="auto"/>
              <w:ind w:firstLine="482" w:firstLineChars="200"/>
              <w:rPr>
                <w:rFonts w:ascii="Times New Roman" w:hAnsi="Times New Roman"/>
                <w:b/>
                <w:bCs w:val="0"/>
                <w:color w:val="auto"/>
                <w:sz w:val="24"/>
                <w:szCs w:val="24"/>
              </w:rPr>
            </w:pPr>
            <w:r>
              <w:rPr>
                <w:rFonts w:hint="eastAsia" w:ascii="Times New Roman" w:hAnsi="Times New Roman"/>
                <w:b/>
                <w:bCs w:val="0"/>
                <w:color w:val="auto"/>
                <w:sz w:val="24"/>
                <w:szCs w:val="24"/>
                <w:lang w:eastAsia="zh-CN"/>
              </w:rPr>
              <w:t>（</w:t>
            </w:r>
            <w:r>
              <w:rPr>
                <w:rFonts w:hint="eastAsia" w:ascii="Times New Roman" w:hAnsi="Times New Roman"/>
                <w:b/>
                <w:bCs w:val="0"/>
                <w:color w:val="auto"/>
                <w:sz w:val="24"/>
                <w:szCs w:val="24"/>
                <w:lang w:val="en-US" w:eastAsia="zh-CN"/>
              </w:rPr>
              <w:t>1</w:t>
            </w:r>
            <w:r>
              <w:rPr>
                <w:rFonts w:hint="eastAsia" w:ascii="Times New Roman" w:hAnsi="Times New Roman"/>
                <w:b/>
                <w:bCs w:val="0"/>
                <w:color w:val="auto"/>
                <w:sz w:val="24"/>
                <w:szCs w:val="24"/>
                <w:lang w:eastAsia="zh-CN"/>
              </w:rPr>
              <w:t>）</w:t>
            </w:r>
            <w:r>
              <w:rPr>
                <w:rFonts w:ascii="Times New Roman" w:hAnsi="Times New Roman"/>
                <w:b/>
                <w:bCs w:val="0"/>
                <w:color w:val="auto"/>
                <w:sz w:val="24"/>
                <w:szCs w:val="24"/>
              </w:rPr>
              <w:t>风险物质识别</w:t>
            </w:r>
          </w:p>
          <w:p w14:paraId="7BE13BBA">
            <w:pPr>
              <w:pStyle w:val="13"/>
              <w:spacing w:line="360" w:lineRule="auto"/>
              <w:ind w:firstLine="480" w:firstLineChars="200"/>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涉及风险</w:t>
            </w:r>
            <w:r>
              <w:rPr>
                <w:rFonts w:hint="default" w:ascii="Times New Roman" w:hAnsi="Times New Roman" w:eastAsia="宋体" w:cs="Times New Roman"/>
                <w:color w:val="auto"/>
                <w:sz w:val="24"/>
                <w:szCs w:val="24"/>
              </w:rPr>
              <w:t>物质</w:t>
            </w:r>
            <w:r>
              <w:rPr>
                <w:rFonts w:hint="default" w:ascii="Times New Roman" w:hAnsi="Times New Roman" w:eastAsia="宋体" w:cs="Times New Roman"/>
                <w:color w:val="auto"/>
                <w:sz w:val="24"/>
                <w:szCs w:val="24"/>
                <w:lang w:val="en-US" w:eastAsia="zh-CN"/>
              </w:rPr>
              <w:t>为酒精、</w:t>
            </w:r>
            <w:r>
              <w:rPr>
                <w:rFonts w:hint="eastAsia" w:cs="Times New Roman"/>
                <w:color w:val="auto"/>
                <w:sz w:val="24"/>
                <w:szCs w:val="24"/>
                <w:lang w:val="en-US" w:eastAsia="zh-CN"/>
              </w:rPr>
              <w:t>次氯酸钠</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color w:val="auto"/>
                <w:sz w:val="24"/>
                <w:szCs w:val="24"/>
                <w:lang w:val="en-US" w:eastAsia="zh-CN"/>
              </w:rPr>
              <w:t>风险物质特性见下表</w:t>
            </w:r>
            <w:r>
              <w:rPr>
                <w:rFonts w:hint="default" w:ascii="Times New Roman" w:hAnsi="Times New Roman" w:eastAsia="宋体" w:cs="Times New Roman"/>
                <w:bCs/>
                <w:color w:val="auto"/>
                <w:sz w:val="24"/>
                <w:szCs w:val="24"/>
                <w:lang w:val="en-US" w:eastAsia="zh-CN"/>
              </w:rPr>
              <w:t>：</w:t>
            </w:r>
          </w:p>
          <w:p w14:paraId="09C430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4-</w:t>
            </w:r>
            <w:r>
              <w:rPr>
                <w:rFonts w:hint="eastAsia" w:cs="Times New Roman"/>
                <w:b/>
                <w:color w:val="auto"/>
                <w:kern w:val="2"/>
                <w:sz w:val="24"/>
                <w:szCs w:val="24"/>
                <w:lang w:val="en-US" w:eastAsia="zh-CN" w:bidi="ar-SA"/>
              </w:rPr>
              <w:t>14</w:t>
            </w:r>
            <w:r>
              <w:rPr>
                <w:rFonts w:hint="eastAsia" w:ascii="Times New Roman" w:hAnsi="Times New Roman" w:eastAsia="宋体" w:cs="Times New Roman"/>
                <w:b/>
                <w:color w:val="auto"/>
                <w:kern w:val="2"/>
                <w:sz w:val="24"/>
                <w:szCs w:val="24"/>
                <w:lang w:val="en-US" w:eastAsia="zh-CN" w:bidi="ar-SA"/>
              </w:rPr>
              <w:t xml:space="preserve"> </w:t>
            </w:r>
            <w:r>
              <w:rPr>
                <w:rFonts w:hint="default"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次氯酸钠</w:t>
            </w:r>
            <w:r>
              <w:rPr>
                <w:rFonts w:hint="default" w:ascii="Times New Roman" w:hAnsi="Times New Roman" w:eastAsia="宋体" w:cs="Times New Roman"/>
                <w:b/>
                <w:color w:val="auto"/>
                <w:kern w:val="2"/>
                <w:sz w:val="24"/>
                <w:szCs w:val="24"/>
                <w:lang w:val="en-US" w:eastAsia="zh-CN" w:bidi="ar-SA"/>
              </w:rPr>
              <w:t>理化性质和危险性</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496"/>
              <w:gridCol w:w="3566"/>
            </w:tblGrid>
            <w:tr w14:paraId="1CCB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restart"/>
                  <w:noWrap w:val="0"/>
                  <w:vAlign w:val="center"/>
                </w:tcPr>
                <w:p w14:paraId="573D7A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标识</w:t>
                  </w:r>
                </w:p>
              </w:tc>
              <w:tc>
                <w:tcPr>
                  <w:tcW w:w="7062" w:type="dxa"/>
                  <w:gridSpan w:val="2"/>
                  <w:noWrap w:val="0"/>
                  <w:vAlign w:val="center"/>
                </w:tcPr>
                <w:p w14:paraId="275C6B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中文名：次氯酸钠</w:t>
                  </w:r>
                </w:p>
              </w:tc>
            </w:tr>
            <w:tr w14:paraId="4158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1161CD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0B1576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分子式：NaClO</w:t>
                  </w:r>
                </w:p>
              </w:tc>
              <w:tc>
                <w:tcPr>
                  <w:tcW w:w="3566" w:type="dxa"/>
                  <w:noWrap w:val="0"/>
                  <w:vAlign w:val="center"/>
                </w:tcPr>
                <w:p w14:paraId="1CB37A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分子量：74.44</w:t>
                  </w:r>
                </w:p>
              </w:tc>
            </w:tr>
            <w:tr w14:paraId="72B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restart"/>
                  <w:noWrap w:val="0"/>
                  <w:vAlign w:val="center"/>
                </w:tcPr>
                <w:p w14:paraId="04542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lang w:val="en-US" w:eastAsia="zh-CN"/>
                    </w:rPr>
                    <w:t>理化性质</w:t>
                  </w:r>
                </w:p>
                <w:p w14:paraId="2D804A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0D0551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性状：微黄色溶液，有似氯气的气味。</w:t>
                  </w:r>
                </w:p>
              </w:tc>
            </w:tr>
            <w:tr w14:paraId="3F6F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7B09FE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1BD29F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熔点：-6℃</w:t>
                  </w:r>
                </w:p>
              </w:tc>
              <w:tc>
                <w:tcPr>
                  <w:tcW w:w="3566" w:type="dxa"/>
                  <w:noWrap w:val="0"/>
                  <w:vAlign w:val="center"/>
                </w:tcPr>
                <w:p w14:paraId="562FF6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溶解性：/</w:t>
                  </w:r>
                </w:p>
              </w:tc>
            </w:tr>
            <w:tr w14:paraId="7307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3151B6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128E93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沸点：102.2℃</w:t>
                  </w:r>
                </w:p>
              </w:tc>
              <w:tc>
                <w:tcPr>
                  <w:tcW w:w="3566" w:type="dxa"/>
                  <w:noWrap w:val="0"/>
                  <w:vAlign w:val="center"/>
                </w:tcPr>
                <w:p w14:paraId="0A991E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相对密度：1.10g/ml</w:t>
                  </w:r>
                </w:p>
              </w:tc>
            </w:tr>
            <w:tr w14:paraId="7357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65E973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018A4A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闪点：/</w:t>
                  </w:r>
                </w:p>
              </w:tc>
              <w:tc>
                <w:tcPr>
                  <w:tcW w:w="3566" w:type="dxa"/>
                  <w:noWrap w:val="0"/>
                  <w:vAlign w:val="center"/>
                </w:tcPr>
                <w:p w14:paraId="0F3101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稳定性：不稳定，见光分解</w:t>
                  </w:r>
                </w:p>
              </w:tc>
            </w:tr>
            <w:tr w14:paraId="3B93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07CA27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2CA5EE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聚合危害：不聚合</w:t>
                  </w:r>
                </w:p>
              </w:tc>
              <w:tc>
                <w:tcPr>
                  <w:tcW w:w="3566" w:type="dxa"/>
                  <w:noWrap w:val="0"/>
                  <w:vAlign w:val="center"/>
                </w:tcPr>
                <w:p w14:paraId="0F015E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禁忌物：还原剂、有机物和酸类</w:t>
                  </w:r>
                </w:p>
              </w:tc>
            </w:tr>
            <w:tr w14:paraId="3CE9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restart"/>
                  <w:noWrap w:val="0"/>
                  <w:vAlign w:val="center"/>
                </w:tcPr>
                <w:p w14:paraId="58D4AD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lang w:val="en-US" w:eastAsia="zh-CN"/>
                    </w:rPr>
                    <w:t>燃烧爆炸危险性</w:t>
                  </w:r>
                </w:p>
                <w:p w14:paraId="293886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786B9B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燃烧性：/</w:t>
                  </w:r>
                </w:p>
              </w:tc>
              <w:tc>
                <w:tcPr>
                  <w:tcW w:w="3566" w:type="dxa"/>
                  <w:noWrap w:val="0"/>
                  <w:vAlign w:val="center"/>
                </w:tcPr>
                <w:p w14:paraId="37A6CC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分解产物：氯化物</w:t>
                  </w:r>
                </w:p>
              </w:tc>
            </w:tr>
            <w:tr w14:paraId="02CD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53F77F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3FEC83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爆炸下限（%）：10</w:t>
                  </w:r>
                </w:p>
              </w:tc>
              <w:tc>
                <w:tcPr>
                  <w:tcW w:w="3566" w:type="dxa"/>
                  <w:noWrap w:val="0"/>
                  <w:vAlign w:val="center"/>
                </w:tcPr>
                <w:p w14:paraId="7707B5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爆炸上限（%）：</w:t>
                  </w:r>
                </w:p>
              </w:tc>
            </w:tr>
            <w:tr w14:paraId="3FD9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680A14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6D6B91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火灾危险性：本品不燃。</w:t>
                  </w:r>
                </w:p>
              </w:tc>
            </w:tr>
            <w:tr w14:paraId="29C6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201B42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7659F5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危险特征：</w:t>
                  </w:r>
                  <w:r>
                    <w:rPr>
                      <w:rFonts w:hint="eastAsia" w:cs="Times New Roman"/>
                      <w:color w:val="auto"/>
                      <w:spacing w:val="0"/>
                      <w:w w:val="100"/>
                      <w:sz w:val="21"/>
                      <w:szCs w:val="21"/>
                      <w:lang w:val="en-US" w:eastAsia="zh-CN"/>
                    </w:rPr>
                    <w:t>具有</w:t>
                  </w:r>
                  <w:r>
                    <w:rPr>
                      <w:rFonts w:hint="default" w:ascii="Times New Roman" w:hAnsi="Times New Roman" w:eastAsia="宋体" w:cs="Times New Roman"/>
                      <w:color w:val="auto"/>
                      <w:spacing w:val="0"/>
                      <w:w w:val="100"/>
                      <w:sz w:val="21"/>
                      <w:szCs w:val="21"/>
                      <w:lang w:val="en-US" w:eastAsia="zh-CN"/>
                    </w:rPr>
                    <w:t>腐蚀性，可致人体灼伤，具有致敏性。</w:t>
                  </w:r>
                </w:p>
              </w:tc>
            </w:tr>
            <w:tr w14:paraId="3D2F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7C9A40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7A9D33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灭火方法</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采用雾状水、二氧化碳、</w:t>
                  </w:r>
                  <w:r>
                    <w:rPr>
                      <w:rFonts w:hint="eastAsia" w:cs="Times New Roman"/>
                      <w:color w:val="auto"/>
                      <w:spacing w:val="0"/>
                      <w:w w:val="100"/>
                      <w:sz w:val="21"/>
                      <w:szCs w:val="21"/>
                      <w:lang w:val="en-US" w:eastAsia="zh-CN"/>
                    </w:rPr>
                    <w:t>沙土</w:t>
                  </w:r>
                  <w:r>
                    <w:rPr>
                      <w:rFonts w:hint="default" w:ascii="Times New Roman" w:hAnsi="Times New Roman" w:eastAsia="宋体" w:cs="Times New Roman"/>
                      <w:color w:val="auto"/>
                      <w:spacing w:val="0"/>
                      <w:w w:val="100"/>
                      <w:sz w:val="21"/>
                      <w:szCs w:val="21"/>
                      <w:lang w:val="en-US" w:eastAsia="zh-CN"/>
                    </w:rPr>
                    <w:t>灭火</w:t>
                  </w:r>
                </w:p>
              </w:tc>
            </w:tr>
            <w:tr w14:paraId="7420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5C4D3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健康危害</w:t>
                  </w:r>
                </w:p>
              </w:tc>
              <w:tc>
                <w:tcPr>
                  <w:tcW w:w="7062" w:type="dxa"/>
                  <w:gridSpan w:val="2"/>
                  <w:noWrap w:val="0"/>
                  <w:vAlign w:val="center"/>
                </w:tcPr>
                <w:p w14:paraId="4EB2AA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经常用手接触本品的工人，手掌大量出汗，指甲变薄，毛发脱落。本品有致敏作用。本品放出的氯气有可能引起中毒。</w:t>
                  </w:r>
                </w:p>
              </w:tc>
            </w:tr>
            <w:tr w14:paraId="247D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2A4DB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应急措施</w:t>
                  </w:r>
                </w:p>
              </w:tc>
              <w:tc>
                <w:tcPr>
                  <w:tcW w:w="7062" w:type="dxa"/>
                  <w:gridSpan w:val="2"/>
                  <w:noWrap w:val="0"/>
                  <w:vAlign w:val="top"/>
                </w:tcPr>
                <w:p w14:paraId="45A6F9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皮肤接触</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脱去污染的衣着，用大量流动清水冲洗。</w:t>
                  </w:r>
                </w:p>
                <w:p w14:paraId="573396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眼睛接触:提起眼睑，用流动清水或生理盐水冲洗。就医。</w:t>
                  </w:r>
                </w:p>
                <w:p w14:paraId="19669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吸入:迅速脱离现场至空气新鲜处。保持呼吸道通畅。如呼吸困难，给输氧。如呼吸停止，立即进行人工呼吸，就医。</w:t>
                  </w:r>
                </w:p>
                <w:p w14:paraId="50F887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食入:饮足量温水，催吐。就医。</w:t>
                  </w:r>
                </w:p>
              </w:tc>
            </w:tr>
            <w:tr w14:paraId="3950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576D9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防护</w:t>
                  </w:r>
                </w:p>
              </w:tc>
              <w:tc>
                <w:tcPr>
                  <w:tcW w:w="7062" w:type="dxa"/>
                  <w:gridSpan w:val="2"/>
                  <w:noWrap w:val="0"/>
                  <w:vAlign w:val="top"/>
                </w:tcPr>
                <w:p w14:paraId="0DF82A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职业接触限值</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中国MAC(mg/m3):未制定标准</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前苏联MAC(mg/m3):未制定标准</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TLVTN:未制定标准</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TLVWN:未制定标准</w:t>
                  </w:r>
                  <w:r>
                    <w:rPr>
                      <w:rFonts w:hint="eastAsia" w:ascii="Times New Roman" w:hAnsi="Times New Roman" w:eastAsia="宋体" w:cs="Times New Roman"/>
                      <w:color w:val="auto"/>
                      <w:spacing w:val="0"/>
                      <w:w w:val="100"/>
                      <w:sz w:val="21"/>
                      <w:szCs w:val="21"/>
                      <w:lang w:val="en-US" w:eastAsia="zh-CN"/>
                    </w:rPr>
                    <w:t>。</w:t>
                  </w:r>
                </w:p>
                <w:p w14:paraId="1151AA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工程控制</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生产过程密闭，全面通风。提供安全淋浴和洗眼设备。</w:t>
                  </w:r>
                </w:p>
                <w:p w14:paraId="5F6CE8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呼吸系统防护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高浓度环境中，应该佩戴直接式防毒面具</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半面罩</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。眼睛防护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戴化学安全防护眼镜。身体防护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穿防腐工作服。手防护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戴橡胶手套。</w:t>
                  </w:r>
                </w:p>
                <w:p w14:paraId="1090C3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其他防护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工作现场禁止吸烟、进食和饮水。工作完毕，淋浴更衣。注意个人清洁卫生。</w:t>
                  </w:r>
                </w:p>
              </w:tc>
            </w:tr>
            <w:tr w14:paraId="777D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3371E0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应急泄漏处理</w:t>
                  </w:r>
                </w:p>
              </w:tc>
              <w:tc>
                <w:tcPr>
                  <w:tcW w:w="7062" w:type="dxa"/>
                  <w:gridSpan w:val="2"/>
                  <w:noWrap w:val="0"/>
                  <w:vAlign w:val="top"/>
                </w:tcPr>
                <w:p w14:paraId="7A6927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应急处理: 迅速撤离泄漏污染区人员至安全区，并进行隔离，严格限制出入。建议应急处理人员戴自给正压式呼吸器，穿防酸碱工作服。不要直接接触泄漏物。尽可能切断泄漏源。小量泄漏:用砂土、蛭石或其它惰性材料吸收。大量泄漏:构筑围堤或挖坑收容。用泡沫覆盖，降低蒸气灾害。用泵转移至槽车或专用收集器内，回收或运至废物处理场所处置。</w:t>
                  </w:r>
                </w:p>
              </w:tc>
            </w:tr>
            <w:tr w14:paraId="08FA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10AC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操作注意事项</w:t>
                  </w:r>
                </w:p>
              </w:tc>
              <w:tc>
                <w:tcPr>
                  <w:tcW w:w="7062" w:type="dxa"/>
                  <w:gridSpan w:val="2"/>
                  <w:noWrap w:val="0"/>
                  <w:vAlign w:val="top"/>
                </w:tcPr>
                <w:p w14:paraId="0B29A9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冲洗时不可加压，针头不可堵住根管，以免溶液超出根尖孔，损伤根尖周围组织。为了使药液达到根尖1/3处的根管，应在根管预备充分通畅后使用。应新鲜配制，避光、避热、密闭保存。</w:t>
                  </w:r>
                </w:p>
                <w:p w14:paraId="2BF29D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操作注意事项: 密闭操作，全面通风。操作人员必须经过专门培训，严格遵守操作规程。建议操作人员佩戴直接式防毒面具</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半面罩</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，戴化学安全防护眼镜，穿防腐工作服，戴橡胶手套。防止蒸气泄漏到工作场所空气中。避免与酸类接触。搬运时要轻装轻卸，防止包装及容器损坏。配备泄漏应急处理设备。倒空的容器可能残留有害物。</w:t>
                  </w:r>
                </w:p>
              </w:tc>
            </w:tr>
            <w:tr w14:paraId="7848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1E3A7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储运注意事项</w:t>
                  </w:r>
                </w:p>
              </w:tc>
              <w:tc>
                <w:tcPr>
                  <w:tcW w:w="7062" w:type="dxa"/>
                  <w:gridSpan w:val="2"/>
                  <w:noWrap w:val="0"/>
                  <w:vAlign w:val="top"/>
                </w:tcPr>
                <w:p w14:paraId="4D420F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储存注意事项: 储存于阴凉、通风的库房。远离火种、热源。库温不宜超过30℃。应与酸类分开存放，切忌混储。储区应备有泄漏应急处理设备和合适的收容材料。</w:t>
                  </w:r>
                </w:p>
              </w:tc>
            </w:tr>
          </w:tbl>
          <w:p w14:paraId="667AC7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eastAsia" w:cs="Times New Roman"/>
                <w:b/>
                <w:color w:val="auto"/>
                <w:sz w:val="24"/>
                <w:szCs w:val="24"/>
                <w:lang w:val="en-US" w:eastAsia="zh-CN"/>
              </w:rPr>
              <w:t>15</w:t>
            </w:r>
            <w:r>
              <w:rPr>
                <w:rFonts w:hint="default" w:ascii="Times New Roman" w:hAnsi="Times New Roman" w:eastAsia="宋体" w:cs="Times New Roman"/>
                <w:b/>
                <w:color w:val="auto"/>
                <w:sz w:val="24"/>
                <w:szCs w:val="24"/>
                <w:lang w:val="en-US" w:eastAsia="zh-CN"/>
              </w:rPr>
              <w:t xml:space="preserve"> 医用酒精理化性质一览表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560"/>
              <w:gridCol w:w="1825"/>
              <w:gridCol w:w="431"/>
              <w:gridCol w:w="2313"/>
            </w:tblGrid>
            <w:tr w14:paraId="21E8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09B0965D">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2560" w:type="dxa"/>
                  <w:noWrap w:val="0"/>
                  <w:vAlign w:val="center"/>
                </w:tcPr>
                <w:p w14:paraId="7F1AA944">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中文名：乙醇</w:t>
                  </w:r>
                </w:p>
              </w:tc>
              <w:tc>
                <w:tcPr>
                  <w:tcW w:w="1825" w:type="dxa"/>
                  <w:noWrap w:val="0"/>
                  <w:vAlign w:val="center"/>
                </w:tcPr>
                <w:p w14:paraId="31A751D3">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分子式：C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p>
              </w:tc>
              <w:tc>
                <w:tcPr>
                  <w:tcW w:w="2744" w:type="dxa"/>
                  <w:gridSpan w:val="2"/>
                  <w:noWrap w:val="0"/>
                  <w:vAlign w:val="center"/>
                </w:tcPr>
                <w:p w14:paraId="5CB1753C">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分子量：46.07</w:t>
                  </w:r>
                </w:p>
              </w:tc>
            </w:tr>
            <w:tr w14:paraId="1B82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23C07C1">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37D33ED">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英文名：ethyl alcohol</w:t>
                  </w:r>
                </w:p>
              </w:tc>
              <w:tc>
                <w:tcPr>
                  <w:tcW w:w="1825" w:type="dxa"/>
                  <w:noWrap w:val="0"/>
                  <w:vAlign w:val="center"/>
                </w:tcPr>
                <w:p w14:paraId="20AE3BE9">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UN 编号：1170</w:t>
                  </w:r>
                </w:p>
              </w:tc>
              <w:tc>
                <w:tcPr>
                  <w:tcW w:w="2744" w:type="dxa"/>
                  <w:gridSpan w:val="2"/>
                  <w:noWrap w:val="0"/>
                  <w:vAlign w:val="center"/>
                </w:tcPr>
                <w:p w14:paraId="7C394A40">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危规号：32061</w:t>
                  </w:r>
                </w:p>
              </w:tc>
            </w:tr>
            <w:tr w14:paraId="68C2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6BE0C7FE">
                  <w:pPr>
                    <w:pStyle w:val="46"/>
                    <w:bidi w:val="0"/>
                    <w:jc w:val="center"/>
                    <w:rPr>
                      <w:rFonts w:hint="default" w:ascii="Times New Roman" w:hAnsi="Times New Roman" w:cs="Times New Roman"/>
                      <w:color w:val="auto"/>
                      <w:sz w:val="21"/>
                      <w:szCs w:val="21"/>
                      <w:lang w:val="en-US" w:eastAsia="zh-CN"/>
                    </w:rPr>
                  </w:pPr>
                </w:p>
              </w:tc>
              <w:tc>
                <w:tcPr>
                  <w:tcW w:w="7129" w:type="dxa"/>
                  <w:gridSpan w:val="4"/>
                  <w:noWrap w:val="0"/>
                  <w:vAlign w:val="center"/>
                </w:tcPr>
                <w:p w14:paraId="56326FBA">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危险性类别：第3.2 类 中闪点易燃液体</w:t>
                  </w:r>
                </w:p>
              </w:tc>
            </w:tr>
            <w:tr w14:paraId="3624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74068708">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理化性质</w:t>
                  </w:r>
                </w:p>
              </w:tc>
              <w:tc>
                <w:tcPr>
                  <w:tcW w:w="2560" w:type="dxa"/>
                  <w:noWrap w:val="0"/>
                  <w:vAlign w:val="center"/>
                </w:tcPr>
                <w:p w14:paraId="6592A434">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外观与性状</w:t>
                  </w:r>
                </w:p>
              </w:tc>
              <w:tc>
                <w:tcPr>
                  <w:tcW w:w="4569" w:type="dxa"/>
                  <w:gridSpan w:val="3"/>
                  <w:noWrap w:val="0"/>
                  <w:vAlign w:val="center"/>
                </w:tcPr>
                <w:p w14:paraId="226435EF">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无色液体，有酒香。</w:t>
                  </w:r>
                </w:p>
              </w:tc>
            </w:tr>
            <w:tr w14:paraId="05B4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44F1ECE">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44E52B4E">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熔点：-114.1 ℃</w:t>
                  </w:r>
                </w:p>
              </w:tc>
              <w:tc>
                <w:tcPr>
                  <w:tcW w:w="1825" w:type="dxa"/>
                  <w:vMerge w:val="restart"/>
                  <w:noWrap w:val="0"/>
                  <w:vAlign w:val="center"/>
                </w:tcPr>
                <w:p w14:paraId="6C42AF26">
                  <w:pPr>
                    <w:pStyle w:val="46"/>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相对密度（水=1）：0.79</w:t>
                  </w:r>
                </w:p>
                <w:p w14:paraId="37E52112">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相对密度（空气=1）：1.59</w:t>
                  </w:r>
                </w:p>
              </w:tc>
              <w:tc>
                <w:tcPr>
                  <w:tcW w:w="2744" w:type="dxa"/>
                  <w:gridSpan w:val="2"/>
                  <w:noWrap w:val="0"/>
                  <w:vAlign w:val="center"/>
                </w:tcPr>
                <w:p w14:paraId="47F22C5D">
                  <w:pPr>
                    <w:pStyle w:val="46"/>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燃烧热（KJ/mol）：</w:t>
                  </w:r>
                </w:p>
                <w:p w14:paraId="0A8D4A34">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1365.5</w:t>
                  </w:r>
                </w:p>
              </w:tc>
            </w:tr>
            <w:tr w14:paraId="554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6B95DAD5">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5922C2B0">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沸点：78.3℃</w:t>
                  </w:r>
                </w:p>
              </w:tc>
              <w:tc>
                <w:tcPr>
                  <w:tcW w:w="1825" w:type="dxa"/>
                  <w:vMerge w:val="continue"/>
                  <w:noWrap w:val="0"/>
                  <w:vAlign w:val="center"/>
                </w:tcPr>
                <w:p w14:paraId="681BE9C7">
                  <w:pPr>
                    <w:pStyle w:val="46"/>
                    <w:bidi w:val="0"/>
                    <w:jc w:val="center"/>
                    <w:rPr>
                      <w:rFonts w:hint="default" w:ascii="Times New Roman" w:hAnsi="Times New Roman" w:cs="Times New Roman"/>
                      <w:color w:val="auto"/>
                      <w:sz w:val="21"/>
                      <w:szCs w:val="21"/>
                      <w:lang w:val="en-US" w:eastAsia="zh-CN"/>
                    </w:rPr>
                  </w:pPr>
                </w:p>
              </w:tc>
              <w:tc>
                <w:tcPr>
                  <w:tcW w:w="2744" w:type="dxa"/>
                  <w:gridSpan w:val="2"/>
                  <w:noWrap w:val="0"/>
                  <w:vAlign w:val="center"/>
                </w:tcPr>
                <w:p w14:paraId="42528DC7">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溶解性：与水混溶，可溶于醚、氯仿等多数有机溶剂。</w:t>
                  </w:r>
                </w:p>
              </w:tc>
            </w:tr>
            <w:tr w14:paraId="5CD3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E3D096F">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F29B078">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临界温度：243.1</w:t>
                  </w:r>
                </w:p>
              </w:tc>
              <w:tc>
                <w:tcPr>
                  <w:tcW w:w="4569" w:type="dxa"/>
                  <w:gridSpan w:val="3"/>
                  <w:noWrap w:val="0"/>
                  <w:vAlign w:val="center"/>
                </w:tcPr>
                <w:p w14:paraId="7F52B5AD">
                  <w:pPr>
                    <w:pStyle w:val="46"/>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饱和蒸汽</w:t>
                  </w:r>
                  <w:r>
                    <w:rPr>
                      <w:rFonts w:hint="default" w:ascii="Times New Roman" w:hAnsi="Times New Roman" w:cs="Times New Roman"/>
                      <w:color w:val="auto"/>
                      <w:sz w:val="21"/>
                      <w:szCs w:val="21"/>
                    </w:rPr>
                    <w:t>压（kPa）：5.33(19℃)</w:t>
                  </w:r>
                </w:p>
              </w:tc>
            </w:tr>
            <w:tr w14:paraId="533B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703A35A3">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毒性及健康危害</w:t>
                  </w:r>
                </w:p>
              </w:tc>
              <w:tc>
                <w:tcPr>
                  <w:tcW w:w="2560" w:type="dxa"/>
                  <w:noWrap w:val="0"/>
                  <w:vAlign w:val="center"/>
                </w:tcPr>
                <w:p w14:paraId="13786A43">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侵入途径</w:t>
                  </w:r>
                </w:p>
              </w:tc>
              <w:tc>
                <w:tcPr>
                  <w:tcW w:w="1825" w:type="dxa"/>
                  <w:noWrap w:val="0"/>
                  <w:vAlign w:val="center"/>
                </w:tcPr>
                <w:p w14:paraId="04961800">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吸入、食入、经皮吸收。</w:t>
                  </w:r>
                </w:p>
              </w:tc>
              <w:tc>
                <w:tcPr>
                  <w:tcW w:w="2744" w:type="dxa"/>
                  <w:gridSpan w:val="2"/>
                  <w:noWrap w:val="0"/>
                  <w:vAlign w:val="center"/>
                </w:tcPr>
                <w:p w14:paraId="5548F52E">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急性毒性： LD50 7060 mg/kg</w:t>
                  </w:r>
                  <w:r>
                    <w:rPr>
                      <w:rFonts w:hint="eastAsia" w:cs="Times New Roman"/>
                      <w:color w:val="auto"/>
                      <w:sz w:val="21"/>
                      <w:szCs w:val="21"/>
                      <w:lang w:eastAsia="zh-CN"/>
                    </w:rPr>
                    <w:t>（</w:t>
                  </w:r>
                  <w:r>
                    <w:rPr>
                      <w:rFonts w:hint="default" w:ascii="Times New Roman" w:hAnsi="Times New Roman" w:cs="Times New Roman"/>
                      <w:color w:val="auto"/>
                      <w:sz w:val="21"/>
                      <w:szCs w:val="21"/>
                    </w:rPr>
                    <w:t>兔经口</w:t>
                  </w:r>
                  <w:r>
                    <w:rPr>
                      <w:rFonts w:hint="eastAsia" w:cs="Times New Roman"/>
                      <w:color w:val="auto"/>
                      <w:sz w:val="21"/>
                      <w:szCs w:val="21"/>
                      <w:lang w:eastAsia="zh-CN"/>
                    </w:rPr>
                    <w:t>）</w:t>
                  </w:r>
                  <w:r>
                    <w:rPr>
                      <w:rFonts w:hint="default" w:ascii="Times New Roman" w:hAnsi="Times New Roman" w:cs="Times New Roman"/>
                      <w:color w:val="auto"/>
                      <w:sz w:val="21"/>
                      <w:szCs w:val="21"/>
                    </w:rPr>
                    <w:t>；7430 mg/kg</w:t>
                  </w:r>
                  <w:r>
                    <w:rPr>
                      <w:rFonts w:hint="eastAsia" w:cs="Times New Roman"/>
                      <w:color w:val="auto"/>
                      <w:sz w:val="21"/>
                      <w:szCs w:val="21"/>
                      <w:lang w:eastAsia="zh-CN"/>
                    </w:rPr>
                    <w:t>（</w:t>
                  </w:r>
                  <w:r>
                    <w:rPr>
                      <w:rFonts w:hint="default" w:ascii="Times New Roman" w:hAnsi="Times New Roman" w:cs="Times New Roman"/>
                      <w:color w:val="auto"/>
                      <w:sz w:val="21"/>
                      <w:szCs w:val="21"/>
                    </w:rPr>
                    <w:t>兔经皮</w:t>
                  </w:r>
                  <w:r>
                    <w:rPr>
                      <w:rFonts w:hint="eastAsia" w:cs="Times New Roman"/>
                      <w:color w:val="auto"/>
                      <w:sz w:val="21"/>
                      <w:szCs w:val="21"/>
                      <w:lang w:eastAsia="zh-CN"/>
                    </w:rPr>
                    <w:t>）</w:t>
                  </w:r>
                  <w:r>
                    <w:rPr>
                      <w:rFonts w:hint="default" w:ascii="Times New Roman" w:hAnsi="Times New Roman" w:cs="Times New Roman"/>
                      <w:color w:val="auto"/>
                      <w:sz w:val="21"/>
                      <w:szCs w:val="21"/>
                    </w:rPr>
                    <w:t>LC50 37620mg/</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，10h</w:t>
                  </w:r>
                  <w:r>
                    <w:rPr>
                      <w:rFonts w:hint="eastAsia" w:cs="Times New Roman"/>
                      <w:color w:val="auto"/>
                      <w:sz w:val="21"/>
                      <w:szCs w:val="21"/>
                      <w:lang w:eastAsia="zh-CN"/>
                    </w:rPr>
                    <w:t>（</w:t>
                  </w:r>
                  <w:r>
                    <w:rPr>
                      <w:rFonts w:hint="default" w:ascii="Times New Roman" w:hAnsi="Times New Roman" w:cs="Times New Roman"/>
                      <w:color w:val="auto"/>
                      <w:sz w:val="21"/>
                      <w:szCs w:val="21"/>
                    </w:rPr>
                    <w:t>大鼠吸入</w:t>
                  </w:r>
                  <w:r>
                    <w:rPr>
                      <w:rFonts w:hint="eastAsia" w:cs="Times New Roman"/>
                      <w:color w:val="auto"/>
                      <w:sz w:val="21"/>
                      <w:szCs w:val="21"/>
                      <w:lang w:eastAsia="zh-CN"/>
                    </w:rPr>
                    <w:t>）</w:t>
                  </w:r>
                </w:p>
              </w:tc>
            </w:tr>
            <w:tr w14:paraId="36C5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3910D686">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0BDBEDA">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w:t>
                  </w:r>
                </w:p>
              </w:tc>
              <w:tc>
                <w:tcPr>
                  <w:tcW w:w="4569" w:type="dxa"/>
                  <w:gridSpan w:val="3"/>
                  <w:noWrap w:val="0"/>
                  <w:vAlign w:val="center"/>
                </w:tcPr>
                <w:p w14:paraId="02E5A793">
                  <w:pPr>
                    <w:pStyle w:val="46"/>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本品为中枢神经系统抑制剂。首先引起兴奋，随后抑制。急性中毒：急性中毒多发生于口服。一般可分为兴奋、催眠、麻醉、窒息四阶段。患者进入第三或第四阶段，出现意识丧失、瞳孔扩大、呼吸不规律、休克、心力循环衰竭及呼吸停止。</w:t>
                  </w:r>
                </w:p>
                <w:p w14:paraId="07D189F6">
                  <w:pPr>
                    <w:pStyle w:val="46"/>
                    <w:bidi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慢性影响：在生产中长期接触高浓度本品可引起鼻、眼、</w:t>
                  </w:r>
                  <w:r>
                    <w:rPr>
                      <w:rFonts w:hint="eastAsia" w:cs="Times New Roman"/>
                      <w:color w:val="auto"/>
                      <w:sz w:val="21"/>
                      <w:szCs w:val="21"/>
                      <w:lang w:eastAsia="zh-CN"/>
                    </w:rPr>
                    <w:t>黏膜</w:t>
                  </w:r>
                  <w:r>
                    <w:rPr>
                      <w:rFonts w:hint="default" w:ascii="Times New Roman" w:hAnsi="Times New Roman" w:cs="Times New Roman"/>
                      <w:color w:val="auto"/>
                      <w:sz w:val="21"/>
                      <w:szCs w:val="21"/>
                    </w:rPr>
                    <w:t>刺激症状，以及头痛、头晕、疲乏、恶心等。长期</w:t>
                  </w:r>
                  <w:r>
                    <w:rPr>
                      <w:rFonts w:hint="eastAsia" w:cs="Times New Roman"/>
                      <w:color w:val="auto"/>
                      <w:sz w:val="21"/>
                      <w:szCs w:val="21"/>
                      <w:lang w:eastAsia="zh-CN"/>
                    </w:rPr>
                    <w:t>酗酒</w:t>
                  </w:r>
                  <w:r>
                    <w:rPr>
                      <w:rFonts w:hint="default" w:ascii="Times New Roman" w:hAnsi="Times New Roman" w:cs="Times New Roman"/>
                      <w:color w:val="auto"/>
                      <w:sz w:val="21"/>
                      <w:szCs w:val="21"/>
                    </w:rPr>
                    <w:t>可引起多发性神经病、慢性胃炎、肝硬化、心肌损害及器质性精神病等。皮肤长期接触可引起干燥、脱屑、皲裂和皮炎</w:t>
                  </w:r>
                  <w:r>
                    <w:rPr>
                      <w:rFonts w:hint="eastAsia" w:ascii="Times New Roman" w:hAnsi="Times New Roman" w:cs="Times New Roman"/>
                      <w:color w:val="auto"/>
                      <w:sz w:val="21"/>
                      <w:szCs w:val="21"/>
                      <w:lang w:eastAsia="zh-CN"/>
                    </w:rPr>
                    <w:t>。</w:t>
                  </w:r>
                </w:p>
              </w:tc>
            </w:tr>
            <w:tr w14:paraId="78A8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03C20F5C">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燃烧、爆炸危险性</w:t>
                  </w:r>
                </w:p>
              </w:tc>
              <w:tc>
                <w:tcPr>
                  <w:tcW w:w="2560" w:type="dxa"/>
                  <w:noWrap w:val="0"/>
                  <w:vAlign w:val="center"/>
                </w:tcPr>
                <w:p w14:paraId="17972425">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闪点</w:t>
                  </w:r>
                  <w:r>
                    <w:rPr>
                      <w:rFonts w:hint="eastAsia" w:cs="Times New Roman"/>
                      <w:color w:val="auto"/>
                      <w:sz w:val="21"/>
                      <w:szCs w:val="21"/>
                      <w:lang w:eastAsia="zh-CN"/>
                    </w:rPr>
                    <w:t>（</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rPr>
                    <w:t>： 12</w:t>
                  </w:r>
                </w:p>
              </w:tc>
              <w:tc>
                <w:tcPr>
                  <w:tcW w:w="2256" w:type="dxa"/>
                  <w:gridSpan w:val="2"/>
                  <w:noWrap w:val="0"/>
                  <w:vAlign w:val="center"/>
                </w:tcPr>
                <w:p w14:paraId="6FA6E1DA">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爆炸下限[%(V/V)]：3.3</w:t>
                  </w:r>
                </w:p>
              </w:tc>
              <w:tc>
                <w:tcPr>
                  <w:tcW w:w="2313" w:type="dxa"/>
                  <w:noWrap w:val="0"/>
                  <w:vAlign w:val="center"/>
                </w:tcPr>
                <w:p w14:paraId="17003659">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爆炸上限[%(V/V)]：19.0</w:t>
                  </w:r>
                </w:p>
              </w:tc>
            </w:tr>
            <w:tr w14:paraId="6E9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B3BA184">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9D06F3E">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引燃温度</w:t>
                  </w:r>
                  <w:r>
                    <w:rPr>
                      <w:rFonts w:hint="eastAsia" w:cs="Times New Roman"/>
                      <w:color w:val="auto"/>
                      <w:sz w:val="21"/>
                      <w:szCs w:val="21"/>
                      <w:lang w:eastAsia="zh-CN"/>
                    </w:rPr>
                    <w:t>（</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rPr>
                    <w:t>：363</w:t>
                  </w:r>
                </w:p>
              </w:tc>
              <w:tc>
                <w:tcPr>
                  <w:tcW w:w="4569" w:type="dxa"/>
                  <w:gridSpan w:val="3"/>
                  <w:noWrap w:val="0"/>
                  <w:vAlign w:val="center"/>
                </w:tcPr>
                <w:p w14:paraId="0F23C7A0">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有害燃烧产物：一氧化碳、二氧化碳</w:t>
                  </w:r>
                  <w:r>
                    <w:rPr>
                      <w:rFonts w:hint="default" w:ascii="Times New Roman" w:hAnsi="Times New Roman" w:cs="Times New Roman"/>
                      <w:color w:val="auto"/>
                      <w:sz w:val="21"/>
                      <w:szCs w:val="21"/>
                      <w:lang w:eastAsia="zh-CN"/>
                    </w:rPr>
                    <w:t>。</w:t>
                  </w:r>
                </w:p>
              </w:tc>
            </w:tr>
            <w:tr w14:paraId="16F4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2787524A">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2F072CF5">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禁忌物</w:t>
                  </w:r>
                </w:p>
              </w:tc>
              <w:tc>
                <w:tcPr>
                  <w:tcW w:w="4569" w:type="dxa"/>
                  <w:gridSpan w:val="3"/>
                  <w:noWrap w:val="0"/>
                  <w:vAlign w:val="center"/>
                </w:tcPr>
                <w:p w14:paraId="1B70730A">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禁配物：强氧化剂、酸类、酸酐、碱金属、胺类。</w:t>
                  </w:r>
                </w:p>
              </w:tc>
            </w:tr>
            <w:tr w14:paraId="3BF1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3684C18A">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196532EB">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危险特</w:t>
                  </w:r>
                  <w:r>
                    <w:rPr>
                      <w:rFonts w:hint="default" w:ascii="Times New Roman" w:hAnsi="Times New Roman" w:cs="Times New Roman"/>
                      <w:color w:val="auto"/>
                      <w:sz w:val="21"/>
                      <w:szCs w:val="21"/>
                      <w:lang w:eastAsia="zh-CN"/>
                    </w:rPr>
                    <w:t>性</w:t>
                  </w:r>
                </w:p>
              </w:tc>
              <w:tc>
                <w:tcPr>
                  <w:tcW w:w="4569" w:type="dxa"/>
                  <w:gridSpan w:val="3"/>
                  <w:noWrap w:val="0"/>
                  <w:vAlign w:val="center"/>
                </w:tcPr>
                <w:p w14:paraId="53418BD1">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特征：易燃，其蒸气与空气可形成爆炸性混合物，遇明火、高热能引起燃烧爆炸。与氧化剂接触发生化学反应或引起燃烧。在火场中，受热的容器有爆炸危险。其蒸气比空气重，能在较低处扩散到相当远的地方，遇火源会着火会燃。</w:t>
                  </w:r>
                </w:p>
              </w:tc>
            </w:tr>
            <w:tr w14:paraId="30E6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3DE468B">
                  <w:pPr>
                    <w:pStyle w:val="46"/>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1B938739">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灭火方法</w:t>
                  </w:r>
                </w:p>
              </w:tc>
              <w:tc>
                <w:tcPr>
                  <w:tcW w:w="4569" w:type="dxa"/>
                  <w:gridSpan w:val="3"/>
                  <w:noWrap w:val="0"/>
                  <w:vAlign w:val="center"/>
                </w:tcPr>
                <w:p w14:paraId="4B3AAF8C">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灭火方法：尽可能将容器从火场移至空旷处。喷水保持火场容器冷却，直至灭火结束。灭火剂：抗溶性泡沫、干粉、二氧化碳、砂土。</w:t>
                  </w:r>
                </w:p>
              </w:tc>
            </w:tr>
            <w:tr w14:paraId="4E5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64E0BB0E">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急救措施</w:t>
                  </w:r>
                </w:p>
              </w:tc>
              <w:tc>
                <w:tcPr>
                  <w:tcW w:w="7129" w:type="dxa"/>
                  <w:gridSpan w:val="4"/>
                  <w:noWrap w:val="0"/>
                  <w:vAlign w:val="center"/>
                </w:tcPr>
                <w:p w14:paraId="6217E4C4">
                  <w:pPr>
                    <w:pStyle w:val="46"/>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皮肤接触：脱去污染的衣着，用流动清水冲洗。</w:t>
                  </w:r>
                </w:p>
                <w:p w14:paraId="7FEA1E29">
                  <w:pPr>
                    <w:pStyle w:val="46"/>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眼睛接触：提起眼睑，用流动清水或生理盐水冲洗。就医。</w:t>
                  </w:r>
                </w:p>
                <w:p w14:paraId="56D8079D">
                  <w:pPr>
                    <w:pStyle w:val="46"/>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吸入：迅速脱离现场至空气新鲜处。就医。</w:t>
                  </w:r>
                </w:p>
                <w:p w14:paraId="3DDEF60E">
                  <w:pPr>
                    <w:pStyle w:val="46"/>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食入：饮足量温水，催吐。就医。</w:t>
                  </w:r>
                </w:p>
              </w:tc>
            </w:tr>
            <w:tr w14:paraId="74C1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43783FC4">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防护措施</w:t>
                  </w:r>
                </w:p>
              </w:tc>
              <w:tc>
                <w:tcPr>
                  <w:tcW w:w="7129" w:type="dxa"/>
                  <w:gridSpan w:val="4"/>
                  <w:noWrap w:val="0"/>
                  <w:vAlign w:val="center"/>
                </w:tcPr>
                <w:p w14:paraId="7187F9B1">
                  <w:pPr>
                    <w:pStyle w:val="46"/>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密闭操作，全面通风。操作人员必须经过专门培训，严格遵守操作规程。建议操作人员佩戴过滤式防毒面具（半面罩），穿防静电工作服。远离火种、热源，工作场所严禁吸烟。使用防爆型的通风系统和设备。防止蒸气泄漏到工作场所空气中。避免与氧化剂、酸类、碱金属、胺类接触。灌装时应控制流速，且有接地装置，防止静电积聚。配备相应品种和数量的消防器材及泄漏应急处理设备。倒空的容器可能残留有害物。</w:t>
                  </w:r>
                </w:p>
              </w:tc>
            </w:tr>
            <w:tr w14:paraId="7B06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183B8F6F">
                  <w:pPr>
                    <w:pStyle w:val="46"/>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泄漏</w:t>
                  </w:r>
                  <w:r>
                    <w:rPr>
                      <w:rFonts w:hint="default" w:ascii="Times New Roman" w:hAnsi="Times New Roman" w:cs="Times New Roman"/>
                      <w:color w:val="auto"/>
                      <w:sz w:val="21"/>
                      <w:szCs w:val="21"/>
                      <w:lang w:val="en-US" w:eastAsia="zh-CN"/>
                    </w:rPr>
                    <w:t>应急措施</w:t>
                  </w:r>
                </w:p>
              </w:tc>
              <w:tc>
                <w:tcPr>
                  <w:tcW w:w="7129" w:type="dxa"/>
                  <w:gridSpan w:val="4"/>
                  <w:noWrap w:val="0"/>
                  <w:vAlign w:val="center"/>
                </w:tcPr>
                <w:p w14:paraId="0614FCCC">
                  <w:pPr>
                    <w:pStyle w:val="46"/>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14:paraId="3679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44024148">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储运注意事项</w:t>
                  </w:r>
                </w:p>
              </w:tc>
              <w:tc>
                <w:tcPr>
                  <w:tcW w:w="7129" w:type="dxa"/>
                  <w:gridSpan w:val="4"/>
                  <w:noWrap w:val="0"/>
                  <w:vAlign w:val="center"/>
                </w:tcPr>
                <w:p w14:paraId="769EC8E3">
                  <w:pPr>
                    <w:pStyle w:val="46"/>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储存于阴凉、通风的库房。远离火种、热源。库温不宜超过30℃。保持容器密封。应与氧化剂、酸类、碱金属、胺类等分开存放，切忌混储。采用防爆型照明、通风设施。禁止使用易产生火花的机械设备和工具。储区应备有泄漏应急处理设备和合适的收容材料。</w:t>
                  </w:r>
                </w:p>
              </w:tc>
            </w:tr>
            <w:tr w14:paraId="5E13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4D3D1B3B">
                  <w:pPr>
                    <w:pStyle w:val="46"/>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环境资料</w:t>
                  </w:r>
                </w:p>
              </w:tc>
              <w:tc>
                <w:tcPr>
                  <w:tcW w:w="7129" w:type="dxa"/>
                  <w:gridSpan w:val="4"/>
                  <w:noWrap w:val="0"/>
                  <w:vAlign w:val="center"/>
                </w:tcPr>
                <w:p w14:paraId="012C5D86">
                  <w:pPr>
                    <w:pStyle w:val="46"/>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该物质对环境可能有危害，对水体应给予特别注意。</w:t>
                  </w:r>
                </w:p>
              </w:tc>
            </w:tr>
          </w:tbl>
          <w:p w14:paraId="3C4E2ADF">
            <w:pPr>
              <w:pStyle w:val="43"/>
              <w:keepNext w:val="0"/>
              <w:keepLines w:val="0"/>
              <w:pageBreakBefore w:val="0"/>
              <w:widowControl/>
              <w:kinsoku/>
              <w:wordWrap w:val="0"/>
              <w:overflowPunct/>
              <w:topLinePunct/>
              <w:autoSpaceDE/>
              <w:autoSpaceDN/>
              <w:bidi w:val="0"/>
              <w:adjustRightInd w:val="0"/>
              <w:snapToGrid w:val="0"/>
              <w:spacing w:before="39" w:line="349" w:lineRule="auto"/>
              <w:ind w:left="0" w:leftChars="0" w:right="0" w:rightChars="0" w:firstLine="0" w:firstLineChars="0"/>
              <w:jc w:val="center"/>
              <w:textAlignment w:val="baseline"/>
              <w:rPr>
                <w:rFonts w:hint="default" w:ascii="Times New Roman" w:hAnsi="Times New Roman" w:eastAsia="宋体" w:cs="Times New Roman"/>
                <w:b/>
                <w:bCs/>
                <w:i w:val="0"/>
                <w:iCs w:val="0"/>
                <w:color w:val="auto"/>
                <w:sz w:val="21"/>
                <w:szCs w:val="21"/>
                <w:highlight w:val="none"/>
                <w:lang w:val="en-US" w:eastAsia="zh-CN"/>
              </w:rPr>
            </w:pPr>
            <w:r>
              <w:rPr>
                <w:rFonts w:hint="eastAsia" w:cs="Times New Roman"/>
                <w:b/>
                <w:bCs/>
                <w:i w:val="0"/>
                <w:iCs w:val="0"/>
                <w:color w:val="auto"/>
                <w:sz w:val="21"/>
                <w:szCs w:val="21"/>
                <w:highlight w:val="none"/>
                <w:lang w:val="en-US" w:eastAsia="zh-CN"/>
              </w:rPr>
              <w:t>表4-16  废矿物</w:t>
            </w:r>
            <w:r>
              <w:rPr>
                <w:rFonts w:hint="default" w:ascii="Times New Roman" w:hAnsi="Times New Roman" w:eastAsia="宋体" w:cs="Times New Roman"/>
                <w:b/>
                <w:bCs/>
                <w:i w:val="0"/>
                <w:iCs w:val="0"/>
                <w:color w:val="auto"/>
                <w:sz w:val="21"/>
                <w:szCs w:val="21"/>
                <w:highlight w:val="none"/>
                <w:lang w:val="en-US" w:eastAsia="zh-CN"/>
              </w:rPr>
              <w:t>理化性质及危险特性表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3241"/>
              <w:gridCol w:w="4152"/>
            </w:tblGrid>
            <w:tr w14:paraId="52FD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shd w:val="clear" w:color="auto" w:fill="auto"/>
                  <w:vAlign w:val="center"/>
                </w:tcPr>
                <w:p w14:paraId="21392F68">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标识</w:t>
                  </w:r>
                </w:p>
              </w:tc>
              <w:tc>
                <w:tcPr>
                  <w:tcW w:w="4435" w:type="pct"/>
                  <w:gridSpan w:val="2"/>
                  <w:shd w:val="clear" w:color="auto" w:fill="auto"/>
                  <w:vAlign w:val="center"/>
                </w:tcPr>
                <w:p w14:paraId="6B8B5F73">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w:t>
                  </w:r>
                  <w:r>
                    <w:rPr>
                      <w:rFonts w:hint="default" w:ascii="Times New Roman" w:hAnsi="Times New Roman" w:eastAsia="宋体" w:cs="Times New Roman"/>
                      <w:color w:val="auto"/>
                      <w:sz w:val="21"/>
                      <w:szCs w:val="21"/>
                      <w:lang w:val="en-US" w:eastAsia="zh-CN"/>
                    </w:rPr>
                    <w:t>废矿物油</w:t>
                  </w:r>
                </w:p>
              </w:tc>
            </w:tr>
            <w:tr w14:paraId="5D69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135E96AD">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1944" w:type="pct"/>
                  <w:shd w:val="clear" w:color="auto" w:fill="auto"/>
                  <w:vAlign w:val="center"/>
                </w:tcPr>
                <w:p w14:paraId="53B72177">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废物类别：HW08</w:t>
                  </w:r>
                </w:p>
              </w:tc>
              <w:tc>
                <w:tcPr>
                  <w:tcW w:w="2490" w:type="pct"/>
                  <w:shd w:val="clear" w:color="auto" w:fill="auto"/>
                  <w:vAlign w:val="center"/>
                </w:tcPr>
                <w:p w14:paraId="0A2B419F">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废物代码：251-001-08</w:t>
                  </w:r>
                </w:p>
              </w:tc>
            </w:tr>
            <w:tr w14:paraId="252C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361D4FA2">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36F518DA">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危险特性：T/In</w:t>
                  </w:r>
                </w:p>
              </w:tc>
            </w:tr>
            <w:tr w14:paraId="4759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4" w:type="pct"/>
                  <w:shd w:val="clear" w:color="auto" w:fill="auto"/>
                  <w:vAlign w:val="center"/>
                </w:tcPr>
                <w:p w14:paraId="21F5F178">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理化</w:t>
                  </w:r>
                </w:p>
                <w:p w14:paraId="761CE135">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性质</w:t>
                  </w:r>
                </w:p>
              </w:tc>
              <w:tc>
                <w:tcPr>
                  <w:tcW w:w="4435" w:type="pct"/>
                  <w:gridSpan w:val="2"/>
                  <w:shd w:val="clear" w:color="auto" w:fill="auto"/>
                  <w:vAlign w:val="center"/>
                </w:tcPr>
                <w:p w14:paraId="23B27F25">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性状：液体</w:t>
                  </w:r>
                </w:p>
              </w:tc>
            </w:tr>
            <w:tr w14:paraId="3513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shd w:val="clear" w:color="auto" w:fill="auto"/>
                  <w:vAlign w:val="center"/>
                </w:tcPr>
                <w:p w14:paraId="216DA14C">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燃烧</w:t>
                  </w:r>
                </w:p>
                <w:p w14:paraId="59CDE0B2">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爆炸</w:t>
                  </w:r>
                </w:p>
                <w:p w14:paraId="7CC09771">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w:t>
                  </w:r>
                </w:p>
                <w:p w14:paraId="0C164F35">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性</w:t>
                  </w:r>
                </w:p>
              </w:tc>
              <w:tc>
                <w:tcPr>
                  <w:tcW w:w="4435" w:type="pct"/>
                  <w:gridSpan w:val="2"/>
                  <w:shd w:val="clear" w:color="auto" w:fill="auto"/>
                  <w:vAlign w:val="center"/>
                </w:tcPr>
                <w:p w14:paraId="0F3B0C34">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燃爆危险：可燃。</w:t>
                  </w:r>
                </w:p>
              </w:tc>
            </w:tr>
            <w:tr w14:paraId="2686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4501C5AC">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24AF859F">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危险特性：易燃、火灾、毒性。</w:t>
                  </w:r>
                </w:p>
              </w:tc>
            </w:tr>
            <w:tr w14:paraId="49FB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4F376C0B">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2D9C7D05">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燃烧分解产物：一氧化氮、碳氢化合物、氮氧化物 </w:t>
                  </w:r>
                </w:p>
              </w:tc>
            </w:tr>
            <w:tr w14:paraId="054F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0E587390">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59400948">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禁忌物：明火</w:t>
                  </w:r>
                </w:p>
              </w:tc>
            </w:tr>
            <w:tr w14:paraId="62D0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01496A53">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03029657">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灭火方法：消防人员须佩戴防毒面具、穿全身消防服，在上风向灭火。</w:t>
                  </w:r>
                </w:p>
              </w:tc>
            </w:tr>
            <w:tr w14:paraId="4FE7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273094C4">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0D4F6DA2">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灭火剂：泡沫、干粉、二氧化碳、砂土。</w:t>
                  </w:r>
                </w:p>
              </w:tc>
            </w:tr>
            <w:tr w14:paraId="75FB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shd w:val="clear" w:color="auto" w:fill="auto"/>
                  <w:vAlign w:val="center"/>
                </w:tcPr>
                <w:p w14:paraId="1106F422">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健康</w:t>
                  </w:r>
                </w:p>
                <w:p w14:paraId="0081F9EA">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危害</w:t>
                  </w:r>
                </w:p>
              </w:tc>
              <w:tc>
                <w:tcPr>
                  <w:tcW w:w="4435" w:type="pct"/>
                  <w:gridSpan w:val="2"/>
                  <w:shd w:val="clear" w:color="auto" w:fill="auto"/>
                  <w:vAlign w:val="center"/>
                </w:tcPr>
                <w:p w14:paraId="30F04BFC">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侵入途径：食入、经皮吸收</w:t>
                  </w:r>
                </w:p>
              </w:tc>
            </w:tr>
            <w:tr w14:paraId="2DDD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2F4A1E6C">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5A7F71E7">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健康危害：封闭毛孔，皮肤不能正常代谢，造成皮肤生理功能受损。 </w:t>
                  </w:r>
                </w:p>
              </w:tc>
            </w:tr>
            <w:tr w14:paraId="104D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0190C438">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6B14EC5F">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环境危害：对土壤、水体有危害。</w:t>
                  </w:r>
                </w:p>
              </w:tc>
            </w:tr>
            <w:tr w14:paraId="0B98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shd w:val="clear" w:color="auto" w:fill="auto"/>
                  <w:vAlign w:val="center"/>
                </w:tcPr>
                <w:p w14:paraId="3024346B">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急救</w:t>
                  </w:r>
                </w:p>
                <w:p w14:paraId="674317B5">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措施</w:t>
                  </w:r>
                </w:p>
              </w:tc>
              <w:tc>
                <w:tcPr>
                  <w:tcW w:w="4435" w:type="pct"/>
                  <w:gridSpan w:val="2"/>
                  <w:shd w:val="clear" w:color="auto" w:fill="auto"/>
                  <w:vAlign w:val="center"/>
                </w:tcPr>
                <w:p w14:paraId="14A068E3">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皮肤接触：及时清洗。</w:t>
                  </w:r>
                </w:p>
              </w:tc>
            </w:tr>
            <w:tr w14:paraId="494E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5909E6A1">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74E580B4">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眼睛接触：提起眼睑，用流动清水或生理盐水冲洗。就医。</w:t>
                  </w:r>
                </w:p>
              </w:tc>
            </w:tr>
            <w:tr w14:paraId="0874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shd w:val="clear" w:color="auto" w:fill="auto"/>
                  <w:vAlign w:val="center"/>
                </w:tcPr>
                <w:p w14:paraId="76AC1126">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3DA1CA1B">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 入：饮足量温水，催吐。就医。</w:t>
                  </w:r>
                </w:p>
              </w:tc>
            </w:tr>
            <w:tr w14:paraId="2B51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shd w:val="clear" w:color="auto" w:fill="auto"/>
                  <w:vAlign w:val="center"/>
                </w:tcPr>
                <w:p w14:paraId="19C10294">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防护</w:t>
                  </w:r>
                </w:p>
                <w:p w14:paraId="1FD38B9B">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措施</w:t>
                  </w:r>
                </w:p>
              </w:tc>
              <w:tc>
                <w:tcPr>
                  <w:tcW w:w="4435" w:type="pct"/>
                  <w:gridSpan w:val="2"/>
                  <w:shd w:val="clear" w:color="auto" w:fill="auto"/>
                  <w:vAlign w:val="center"/>
                </w:tcPr>
                <w:p w14:paraId="4A84D9AE">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工程控制：提供良好的自然通风条件，地面采用防渗漏处理。</w:t>
                  </w:r>
                </w:p>
              </w:tc>
            </w:tr>
            <w:tr w14:paraId="1BB5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64" w:type="pct"/>
                  <w:vMerge w:val="continue"/>
                  <w:shd w:val="clear" w:color="auto" w:fill="auto"/>
                  <w:vAlign w:val="center"/>
                </w:tcPr>
                <w:p w14:paraId="6AA52CA2">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p>
              </w:tc>
              <w:tc>
                <w:tcPr>
                  <w:tcW w:w="4435" w:type="pct"/>
                  <w:gridSpan w:val="2"/>
                  <w:shd w:val="clear" w:color="auto" w:fill="auto"/>
                  <w:vAlign w:val="center"/>
                </w:tcPr>
                <w:p w14:paraId="44BAE7F6">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眼睛防护：戴化学安全防护眼镜。</w:t>
                  </w:r>
                </w:p>
                <w:p w14:paraId="490CFCE3">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手防护：戴橡胶耐油手套。</w:t>
                  </w:r>
                </w:p>
                <w:p w14:paraId="3CD7BDB2">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其它防护：工作现场严禁吸烟。</w:t>
                  </w:r>
                </w:p>
              </w:tc>
            </w:tr>
            <w:tr w14:paraId="79C8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64" w:type="pct"/>
                  <w:shd w:val="clear" w:color="auto" w:fill="auto"/>
                  <w:vAlign w:val="center"/>
                </w:tcPr>
                <w:p w14:paraId="6665B6A3">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泄漏</w:t>
                  </w:r>
                </w:p>
                <w:p w14:paraId="49509D9E">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处理</w:t>
                  </w:r>
                </w:p>
              </w:tc>
              <w:tc>
                <w:tcPr>
                  <w:tcW w:w="4435" w:type="pct"/>
                  <w:gridSpan w:val="2"/>
                  <w:shd w:val="clear" w:color="auto" w:fill="auto"/>
                  <w:vAlign w:val="center"/>
                </w:tcPr>
                <w:p w14:paraId="3A3EAFF7">
                  <w:pPr>
                    <w:pStyle w:val="3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应急处置：迅速撤离泄漏污染区人员至安全区，并进行隔离，严格限制出入。切断火源。建议应急处理人员戴自给正压式呼吸器，穿防毒服。尽可能切断泄漏源。防止流入下水道、排洪沟等限制性空间。</w:t>
                  </w:r>
                </w:p>
              </w:tc>
            </w:tr>
          </w:tbl>
          <w:p w14:paraId="3EED6C5A">
            <w:pPr>
              <w:pStyle w:val="13"/>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生产设施风险识别</w:t>
            </w:r>
          </w:p>
          <w:p w14:paraId="25E565FF">
            <w:pPr>
              <w:autoSpaceDE w:val="0"/>
              <w:autoSpaceDN w:val="0"/>
              <w:adjustRightInd w:val="0"/>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val="en-US" w:eastAsia="zh-CN"/>
              </w:rPr>
              <w:t>内</w:t>
            </w:r>
            <w:r>
              <w:rPr>
                <w:rFonts w:hint="eastAsia" w:cs="Times New Roman"/>
                <w:bCs/>
                <w:color w:val="auto"/>
                <w:sz w:val="24"/>
                <w:szCs w:val="24"/>
                <w:lang w:val="en-US" w:eastAsia="zh-CN"/>
              </w:rPr>
              <w:t>主要风险源为药房储存区存放酒精及次氯酸钠，酒精为易燃物质，泄漏遇明火极易引发火灾爆炸事故；次氯酸钠</w:t>
            </w:r>
            <w:r>
              <w:rPr>
                <w:rFonts w:hint="eastAsia" w:ascii="Times New Roman" w:hAnsi="Times New Roman" w:eastAsia="宋体" w:cs="Times New Roman"/>
                <w:color w:val="auto"/>
                <w:spacing w:val="0"/>
                <w:w w:val="100"/>
                <w:sz w:val="24"/>
                <w:szCs w:val="24"/>
                <w:lang w:val="en-US" w:eastAsia="zh-CN"/>
              </w:rPr>
              <w:t>泄漏</w:t>
            </w:r>
            <w:r>
              <w:rPr>
                <w:rFonts w:hint="eastAsia" w:cs="Times New Roman"/>
                <w:bCs/>
                <w:color w:val="auto"/>
                <w:sz w:val="24"/>
                <w:szCs w:val="24"/>
                <w:lang w:val="en-US" w:eastAsia="zh-CN"/>
              </w:rPr>
              <w:t>会造成周边土壤及地表水污染</w:t>
            </w:r>
            <w:r>
              <w:rPr>
                <w:rFonts w:hint="default" w:ascii="Times New Roman" w:hAnsi="Times New Roman" w:eastAsia="宋体" w:cs="Times New Roman"/>
                <w:color w:val="auto"/>
                <w:spacing w:val="0"/>
                <w:w w:val="100"/>
                <w:sz w:val="21"/>
                <w:szCs w:val="21"/>
                <w:lang w:val="en-US" w:eastAsia="zh-CN"/>
              </w:rPr>
              <w:t>。</w:t>
            </w:r>
            <w:r>
              <w:rPr>
                <w:rFonts w:hint="eastAsia" w:cs="Times New Roman"/>
                <w:bCs/>
                <w:color w:val="auto"/>
                <w:sz w:val="24"/>
                <w:szCs w:val="24"/>
                <w:lang w:val="en-US" w:eastAsia="zh-CN"/>
              </w:rPr>
              <w:t>污水处理站，医疗废水中含有大量的病毒和细菌，若污水处理站发生故障，废水异常排放，会造成地表水污染，甚至导致病毒传播；医疗废物暂存间，医疗废物属于危险废物，若收集处置不当，导致医疗废物发生流失、泄漏，会造成环境污染或疾病传播</w:t>
            </w:r>
            <w:r>
              <w:rPr>
                <w:rFonts w:hint="default" w:ascii="Times New Roman" w:hAnsi="Times New Roman" w:eastAsia="宋体" w:cs="Times New Roman"/>
                <w:bCs/>
                <w:color w:val="auto"/>
                <w:sz w:val="24"/>
                <w:szCs w:val="24"/>
              </w:rPr>
              <w:t>。</w:t>
            </w:r>
          </w:p>
          <w:p w14:paraId="774A88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风险事故情景、影响途径及后果分析</w:t>
            </w:r>
          </w:p>
          <w:p w14:paraId="163AEF7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根据项目所属行业及生产工艺特点，按照《建设项目环境风险评价技术导则》（HJ/T169-2018）中表C.1评估生产工艺情况。项目内风险</w:t>
            </w:r>
            <w:r>
              <w:rPr>
                <w:rFonts w:hint="eastAsia" w:ascii="Times New Roman" w:hAnsi="Times New Roman" w:eastAsia="宋体" w:cs="Times New Roman"/>
                <w:color w:val="auto"/>
                <w:kern w:val="0"/>
                <w:sz w:val="24"/>
                <w:szCs w:val="24"/>
                <w:highlight w:val="none"/>
                <w:lang w:val="en-US" w:eastAsia="zh-CN" w:bidi="ar"/>
              </w:rPr>
              <w:t>单元</w:t>
            </w:r>
            <w:r>
              <w:rPr>
                <w:rFonts w:hint="default" w:ascii="Times New Roman" w:hAnsi="Times New Roman" w:eastAsia="宋体" w:cs="Times New Roman"/>
                <w:color w:val="auto"/>
                <w:kern w:val="0"/>
                <w:sz w:val="24"/>
                <w:szCs w:val="24"/>
                <w:highlight w:val="none"/>
                <w:lang w:val="en-US" w:eastAsia="zh-CN" w:bidi="ar"/>
              </w:rPr>
              <w:t>主要</w:t>
            </w:r>
            <w:r>
              <w:rPr>
                <w:rFonts w:hint="eastAsia" w:ascii="Times New Roman" w:hAnsi="Times New Roman" w:eastAsia="宋体" w:cs="Times New Roman"/>
                <w:color w:val="auto"/>
                <w:kern w:val="0"/>
                <w:sz w:val="24"/>
                <w:szCs w:val="24"/>
                <w:highlight w:val="none"/>
                <w:lang w:val="en-US" w:eastAsia="zh-CN" w:bidi="ar"/>
              </w:rPr>
              <w:t>为药房储存的</w:t>
            </w:r>
            <w:r>
              <w:rPr>
                <w:rFonts w:hint="default" w:ascii="Times New Roman" w:hAnsi="Times New Roman" w:eastAsia="宋体" w:cs="Times New Roman"/>
                <w:color w:val="auto"/>
                <w:kern w:val="0"/>
                <w:sz w:val="24"/>
                <w:szCs w:val="24"/>
                <w:highlight w:val="none"/>
                <w:lang w:val="en-US" w:eastAsia="zh-CN" w:bidi="ar"/>
              </w:rPr>
              <w:t>医用</w:t>
            </w:r>
            <w:r>
              <w:rPr>
                <w:rFonts w:hint="eastAsia" w:ascii="Times New Roman" w:hAnsi="Times New Roman" w:eastAsia="宋体" w:cs="Times New Roman"/>
                <w:color w:val="auto"/>
                <w:kern w:val="0"/>
                <w:sz w:val="24"/>
                <w:szCs w:val="24"/>
                <w:highlight w:val="none"/>
                <w:lang w:val="en-US" w:eastAsia="zh-CN" w:bidi="ar"/>
              </w:rPr>
              <w:t>酒精、污水处理站内消毒使用的次氯酸钠、污水处理站医疗废水及医废暂存间的医疗废物</w:t>
            </w:r>
            <w:r>
              <w:rPr>
                <w:rFonts w:hint="default" w:ascii="Times New Roman" w:hAnsi="Times New Roman" w:eastAsia="宋体" w:cs="Times New Roman"/>
                <w:color w:val="auto"/>
                <w:kern w:val="0"/>
                <w:sz w:val="24"/>
                <w:szCs w:val="24"/>
                <w:highlight w:val="none"/>
                <w:lang w:val="en-US" w:eastAsia="zh-CN" w:bidi="ar"/>
              </w:rPr>
              <w:t>。</w:t>
            </w:r>
          </w:p>
          <w:p w14:paraId="2ADCB9C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危险化学品储存、使用风险分析</w:t>
            </w:r>
          </w:p>
          <w:p w14:paraId="036D5DD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.项目内医用乙醇浓度为75%，主要储存在</w:t>
            </w:r>
            <w:r>
              <w:rPr>
                <w:rFonts w:hint="eastAsia" w:ascii="Times New Roman" w:hAnsi="Times New Roman" w:eastAsia="宋体" w:cs="Times New Roman"/>
                <w:color w:val="auto"/>
                <w:kern w:val="0"/>
                <w:sz w:val="24"/>
                <w:szCs w:val="24"/>
                <w:highlight w:val="none"/>
                <w:lang w:val="en-US" w:eastAsia="zh-CN" w:bidi="ar"/>
              </w:rPr>
              <w:t>药房</w:t>
            </w:r>
            <w:r>
              <w:rPr>
                <w:rFonts w:hint="default" w:ascii="Times New Roman" w:hAnsi="Times New Roman" w:eastAsia="宋体" w:cs="Times New Roman"/>
                <w:color w:val="auto"/>
                <w:kern w:val="0"/>
                <w:sz w:val="24"/>
                <w:szCs w:val="24"/>
                <w:highlight w:val="none"/>
                <w:lang w:val="en-US" w:eastAsia="zh-CN" w:bidi="ar"/>
              </w:rPr>
              <w:t>，酒精属于易燃物质，若泄漏遇明火可能引发火灾爆炸事故</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并引发一系列次生环境事件；</w:t>
            </w:r>
          </w:p>
          <w:p w14:paraId="6CA8DFA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b</w:t>
            </w:r>
            <w:r>
              <w:rPr>
                <w:rFonts w:hint="default" w:ascii="Times New Roman" w:hAnsi="Times New Roman" w:eastAsia="宋体" w:cs="Times New Roman"/>
                <w:color w:val="auto"/>
                <w:kern w:val="0"/>
                <w:sz w:val="24"/>
                <w:szCs w:val="24"/>
                <w:highlight w:val="none"/>
                <w:lang w:val="en-US" w:eastAsia="zh-CN" w:bidi="ar"/>
              </w:rPr>
              <w:t>.项目</w:t>
            </w:r>
            <w:r>
              <w:rPr>
                <w:rFonts w:hint="eastAsia" w:ascii="Times New Roman" w:hAnsi="Times New Roman" w:eastAsia="宋体" w:cs="Times New Roman"/>
                <w:color w:val="auto"/>
                <w:kern w:val="0"/>
                <w:sz w:val="24"/>
                <w:szCs w:val="24"/>
                <w:highlight w:val="none"/>
                <w:lang w:val="en-US" w:eastAsia="zh-CN" w:bidi="ar"/>
              </w:rPr>
              <w:t>污水处理站消毒使用次氯酸钠，次氯酸钠泄漏进入水体，会污染水体，释放的氯气有可能引起中毒。但项目内次氯酸钠的最大储存量为0.1t，存储量较小，基本不会泄漏至外环境，对外环境影响较小；</w:t>
            </w:r>
          </w:p>
          <w:p w14:paraId="46B2915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污水处理站风险分析</w:t>
            </w:r>
          </w:p>
          <w:p w14:paraId="6DFB5E7E">
            <w:pPr>
              <w:pStyle w:val="35"/>
              <w:bidi w:val="0"/>
              <w:rPr>
                <w:rFonts w:hint="eastAsia"/>
                <w:color w:val="auto"/>
                <w:lang w:val="en-US" w:eastAsia="zh-CN"/>
              </w:rPr>
            </w:pPr>
            <w:r>
              <w:rPr>
                <w:rFonts w:hint="default"/>
                <w:color w:val="auto"/>
                <w:lang w:val="en-US" w:eastAsia="zh-CN"/>
              </w:rPr>
              <w:t>项目医疗废水来自门诊和病房，</w:t>
            </w:r>
            <w:r>
              <w:rPr>
                <w:rFonts w:hint="eastAsia"/>
                <w:color w:val="auto"/>
                <w:lang w:val="en-US" w:eastAsia="zh-CN"/>
              </w:rPr>
              <w:t>废水</w:t>
            </w:r>
            <w:r>
              <w:rPr>
                <w:rFonts w:hint="default"/>
                <w:color w:val="auto"/>
                <w:lang w:val="en-US" w:eastAsia="zh-CN"/>
              </w:rPr>
              <w:t>量不大，</w:t>
            </w:r>
            <w:r>
              <w:rPr>
                <w:rFonts w:hint="eastAsia"/>
                <w:color w:val="auto"/>
                <w:lang w:val="en-US" w:eastAsia="zh-CN"/>
              </w:rPr>
              <w:t>门诊废水、住院废水、洗衣房废水一同进入项目区污水处理站处理达标后，经市政污水管网排入倘甸镇污水处理厂处理。</w:t>
            </w:r>
            <w:r>
              <w:rPr>
                <w:rFonts w:hint="default"/>
                <w:color w:val="auto"/>
                <w:lang w:val="en-US" w:eastAsia="zh-CN"/>
              </w:rPr>
              <w:t>废水处理过程中的事故因素包括停电导致设备</w:t>
            </w:r>
            <w:r>
              <w:rPr>
                <w:rFonts w:hint="eastAsia"/>
                <w:color w:val="auto"/>
                <w:lang w:val="en-US" w:eastAsia="zh-CN"/>
              </w:rPr>
              <w:t>不能</w:t>
            </w:r>
            <w:r>
              <w:rPr>
                <w:rFonts w:hint="default"/>
                <w:color w:val="auto"/>
                <w:lang w:val="en-US" w:eastAsia="zh-CN"/>
              </w:rPr>
              <w:t>运转、操作不当或处理设施失灵导致废水</w:t>
            </w:r>
            <w:r>
              <w:rPr>
                <w:rFonts w:hint="eastAsia"/>
                <w:color w:val="auto"/>
                <w:lang w:val="en-US" w:eastAsia="zh-CN"/>
              </w:rPr>
              <w:t>未处理后排放到外环境</w:t>
            </w:r>
            <w:r>
              <w:rPr>
                <w:rFonts w:hint="default"/>
                <w:color w:val="auto"/>
                <w:lang w:val="en-US" w:eastAsia="zh-CN"/>
              </w:rPr>
              <w:t>。</w:t>
            </w:r>
            <w:r>
              <w:rPr>
                <w:rFonts w:hint="eastAsia"/>
                <w:color w:val="auto"/>
                <w:lang w:val="en-US" w:eastAsia="zh-CN"/>
              </w:rPr>
              <w:t>医疗废水中</w:t>
            </w:r>
            <w:r>
              <w:rPr>
                <w:rFonts w:hint="default"/>
                <w:color w:val="auto"/>
                <w:lang w:val="en-US" w:eastAsia="zh-CN"/>
              </w:rPr>
              <w:t>含有多种致病菌、病毒和寄生虫卵等病原性微生物，具有</w:t>
            </w:r>
            <w:r>
              <w:rPr>
                <w:rFonts w:hint="eastAsia"/>
                <w:color w:val="auto"/>
                <w:lang w:val="en-US" w:eastAsia="zh-CN"/>
              </w:rPr>
              <w:t>感染</w:t>
            </w:r>
            <w:r>
              <w:rPr>
                <w:rFonts w:hint="default"/>
                <w:color w:val="auto"/>
                <w:lang w:val="en-US" w:eastAsia="zh-CN"/>
              </w:rPr>
              <w:t>性，可以诱发</w:t>
            </w:r>
            <w:r>
              <w:rPr>
                <w:rFonts w:hint="eastAsia"/>
                <w:color w:val="auto"/>
                <w:lang w:val="en-US" w:eastAsia="zh-CN"/>
              </w:rPr>
              <w:t>或传播</w:t>
            </w:r>
            <w:r>
              <w:rPr>
                <w:rFonts w:hint="default"/>
                <w:color w:val="auto"/>
                <w:lang w:val="en-US" w:eastAsia="zh-CN"/>
              </w:rPr>
              <w:t>疾病</w:t>
            </w:r>
            <w:r>
              <w:rPr>
                <w:rFonts w:hint="eastAsia"/>
                <w:color w:val="auto"/>
                <w:lang w:val="en-US" w:eastAsia="zh-CN"/>
              </w:rPr>
              <w:t>。</w:t>
            </w:r>
          </w:p>
          <w:p w14:paraId="4EAE6365">
            <w:pPr>
              <w:pStyle w:val="35"/>
              <w:numPr>
                <w:ilvl w:val="0"/>
                <w:numId w:val="0"/>
              </w:numPr>
              <w:bidi w:val="0"/>
              <w:ind w:firstLine="482" w:firstLineChars="200"/>
              <w:rPr>
                <w:rFonts w:hint="eastAsia"/>
                <w:b/>
                <w:bCs/>
                <w:color w:val="auto"/>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eastAsia"/>
                <w:b/>
                <w:bCs/>
                <w:color w:val="auto"/>
                <w:lang w:val="en-US" w:eastAsia="zh-CN"/>
              </w:rPr>
              <w:t>废矿物油泄漏风险分析</w:t>
            </w:r>
          </w:p>
          <w:p w14:paraId="2A6F485C">
            <w:pPr>
              <w:pStyle w:val="12"/>
              <w:numPr>
                <w:ilvl w:val="0"/>
                <w:numId w:val="0"/>
              </w:numPr>
              <w:bidi w:val="0"/>
              <w:ind w:firstLine="480" w:firstLineChars="200"/>
              <w:rPr>
                <w:rFonts w:hint="default" w:ascii="宋体" w:hAnsi="宋体" w:eastAsia="宋体" w:cs="宋体"/>
                <w:color w:val="auto"/>
                <w:sz w:val="24"/>
                <w:szCs w:val="24"/>
                <w:lang w:val="en-US" w:eastAsia="zh-CN"/>
              </w:rPr>
            </w:pPr>
            <w:r>
              <w:rPr>
                <w:rFonts w:hint="eastAsia" w:cs="Times New Roman"/>
                <w:b w:val="0"/>
                <w:bCs w:val="0"/>
                <w:color w:val="auto"/>
                <w:kern w:val="0"/>
                <w:sz w:val="24"/>
                <w:szCs w:val="24"/>
                <w:highlight w:val="none"/>
                <w:lang w:val="en-US" w:eastAsia="zh-CN" w:bidi="ar"/>
              </w:rPr>
              <w:t>废矿物存放在医废间，</w:t>
            </w:r>
            <w:r>
              <w:rPr>
                <w:rFonts w:hint="default" w:ascii="宋体" w:hAnsi="宋体" w:eastAsia="宋体" w:cs="宋体"/>
                <w:b w:val="0"/>
                <w:bCs w:val="0"/>
                <w:color w:val="auto"/>
                <w:sz w:val="24"/>
                <w:szCs w:val="24"/>
                <w:lang w:val="en-US" w:eastAsia="zh-CN"/>
              </w:rPr>
              <w:t>废矿物油暂存量很少，当发生突发环境事件时，泄漏的废矿物油能控制在</w:t>
            </w:r>
            <w:r>
              <w:rPr>
                <w:rFonts w:hint="eastAsia" w:ascii="宋体" w:hAnsi="宋体" w:eastAsia="宋体" w:cs="宋体"/>
                <w:b w:val="0"/>
                <w:bCs w:val="0"/>
                <w:color w:val="auto"/>
                <w:sz w:val="24"/>
                <w:szCs w:val="24"/>
                <w:lang w:val="en-US" w:eastAsia="zh-CN"/>
              </w:rPr>
              <w:t>医废间</w:t>
            </w:r>
            <w:r>
              <w:rPr>
                <w:rFonts w:hint="default" w:ascii="宋体" w:hAnsi="宋体" w:eastAsia="宋体" w:cs="宋体"/>
                <w:b w:val="0"/>
                <w:bCs w:val="0"/>
                <w:color w:val="auto"/>
                <w:sz w:val="24"/>
                <w:szCs w:val="24"/>
                <w:lang w:val="en-US" w:eastAsia="zh-CN"/>
              </w:rPr>
              <w:t>内，泄漏的废矿物油能有效发现并控制，不会流失到周围环境中，不会进入周围地表水环境中，对周围地表水环境影响小。</w:t>
            </w:r>
          </w:p>
          <w:p w14:paraId="54F323F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医疗废物收集、贮存、运送风险分析</w:t>
            </w:r>
          </w:p>
          <w:p w14:paraId="15081E6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医疗固废中可能存在传染性病菌、病毒、化学污染物等有害物质，由于医疗垃圾具有空间污染、急性传染和潜伏性污染等特征，其病毒、病菌的危害性是普通生活垃圾的几十、几百甚至上千倍，且基本没有回收利用价值，医疗垃圾残留及衍生的大量病菌，如果不经分类收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有效处理的话，很容易引起各种疾病的传播和蔓延。因此需要对医疗固废进行收集、贮存、运送。医疗废物在收集、暂存过程中存在的风险：即医疗废物的收集、暂存过程中接触人员产生的病毒感染事件，此过程对环境产生的危害，以及固体废物处置单位停运造成医疗固体废物无处暂存引起的环境风险。</w:t>
            </w:r>
          </w:p>
          <w:p w14:paraId="2215A8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b/>
                <w:color w:val="auto"/>
                <w:kern w:val="0"/>
                <w:sz w:val="24"/>
                <w:szCs w:val="24"/>
                <w:highlight w:val="none"/>
                <w:lang w:val="en-US" w:eastAsia="zh-CN" w:bidi="ar"/>
              </w:rPr>
              <w:t>4、</w:t>
            </w:r>
            <w:r>
              <w:rPr>
                <w:rFonts w:hint="default" w:ascii="Times New Roman" w:hAnsi="Times New Roman" w:eastAsia="宋体" w:cs="Times New Roman"/>
                <w:b/>
                <w:color w:val="auto"/>
                <w:kern w:val="0"/>
                <w:sz w:val="24"/>
                <w:szCs w:val="24"/>
                <w:highlight w:val="none"/>
                <w:lang w:val="en-US" w:eastAsia="zh-CN" w:bidi="ar"/>
              </w:rPr>
              <w:t xml:space="preserve">风险防范措施 </w:t>
            </w:r>
          </w:p>
          <w:p w14:paraId="06AA3B5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医疗废水事故排放防范措施</w:t>
            </w:r>
          </w:p>
          <w:p w14:paraId="0758639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①废水处理系统保证正常运行，定时定量投加消毒剂保证事故时水质消毒处理需要； </w:t>
            </w:r>
          </w:p>
          <w:p w14:paraId="7F6D11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②如发生停电事故，本评价要求建设单位设置备用发电机，确保设备不断电，保证污水处理设备正常运行。 </w:t>
            </w:r>
          </w:p>
          <w:p w14:paraId="69879A4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③本评价要求若污水处理站出现故障或检修时</w:t>
            </w:r>
            <w:r>
              <w:rPr>
                <w:rFonts w:hint="eastAsia" w:ascii="Times New Roman" w:hAnsi="Times New Roman" w:eastAsia="宋体" w:cs="Times New Roman"/>
                <w:color w:val="auto"/>
                <w:kern w:val="0"/>
                <w:sz w:val="24"/>
                <w:szCs w:val="24"/>
                <w:highlight w:val="none"/>
                <w:lang w:val="en-US" w:eastAsia="zh-CN" w:bidi="ar"/>
              </w:rPr>
              <w:t>，应将产生的污水先在化粪池暂存或者及时排到应急事故池</w:t>
            </w:r>
            <w:r>
              <w:rPr>
                <w:rFonts w:hint="default" w:ascii="Times New Roman" w:hAnsi="Times New Roman" w:eastAsia="宋体" w:cs="Times New Roman"/>
                <w:color w:val="auto"/>
                <w:kern w:val="0"/>
                <w:sz w:val="24"/>
                <w:szCs w:val="24"/>
                <w:highlight w:val="none"/>
                <w:lang w:val="en-US" w:eastAsia="zh-CN" w:bidi="ar"/>
              </w:rPr>
              <w:t>。同时要求建设单位污水处理站出现故障或检修时应尽快抓紧时间进行处理，尽可能在1天之内完成修理及检修工作，避免医疗废水出现乱排现象。</w:t>
            </w:r>
          </w:p>
          <w:p w14:paraId="4C619B7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④定期强化培训管理及操作人员，提高他们处理突发事件的能力，如快速准确关闭总排口阀门，迅速安全启动强化消毒程序，快速报告等。 </w:t>
            </w:r>
          </w:p>
          <w:p w14:paraId="3C24935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⑤加强消毒药剂管理，设置标识，远离人群，严禁闲杂人员接触。操作人员应佩戴手套。原料次氯酸钠禁止与各种酸类物品存放在一起，并远离火源。 </w:t>
            </w:r>
          </w:p>
          <w:p w14:paraId="77F4D5F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rPr>
            </w:pPr>
            <w:r>
              <w:rPr>
                <w:rFonts w:hint="default" w:ascii="Times New Roman" w:hAnsi="Times New Roman" w:eastAsia="宋体" w:cs="Times New Roman"/>
                <w:color w:val="auto"/>
                <w:kern w:val="0"/>
                <w:sz w:val="24"/>
                <w:szCs w:val="24"/>
                <w:highlight w:val="none"/>
                <w:lang w:val="en-US" w:eastAsia="zh-CN" w:bidi="ar"/>
              </w:rPr>
              <w:t>⑥按《医院污水处理工程技术规范》（HJ2029-2013）要求设置事故池，以贮存处理系统事故或其它突发事件时医院污水。事故池有效容积不得低于</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；事故情况下的废水暂存于事故池中，及时检查事故原因，待</w:t>
            </w:r>
            <w:r>
              <w:rPr>
                <w:rFonts w:hint="eastAsia" w:cs="Times New Roman"/>
                <w:color w:val="auto"/>
                <w:kern w:val="0"/>
                <w:sz w:val="24"/>
                <w:szCs w:val="24"/>
                <w:highlight w:val="none"/>
                <w:lang w:val="en-US" w:eastAsia="zh-CN" w:bidi="ar"/>
              </w:rPr>
              <w:t>排除</w:t>
            </w:r>
            <w:r>
              <w:rPr>
                <w:rFonts w:hint="default" w:ascii="Times New Roman" w:hAnsi="Times New Roman" w:eastAsia="宋体" w:cs="Times New Roman"/>
                <w:color w:val="auto"/>
                <w:kern w:val="0"/>
                <w:sz w:val="24"/>
                <w:szCs w:val="24"/>
                <w:highlight w:val="none"/>
                <w:lang w:val="en-US" w:eastAsia="zh-CN" w:bidi="ar"/>
              </w:rPr>
              <w:t xml:space="preserve">事故之后，废水经处理后达标排放。 </w:t>
            </w:r>
          </w:p>
          <w:p w14:paraId="61C77CE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 xml:space="preserve">医疗固废在收集、贮存、运送过程中防范措施 </w:t>
            </w:r>
          </w:p>
          <w:p w14:paraId="21F4746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为保证项目产生的医疗垃圾得到有效处置，使其风险减少到</w:t>
            </w:r>
            <w:r>
              <w:rPr>
                <w:rFonts w:hint="eastAsia" w:cs="Times New Roman"/>
                <w:color w:val="auto"/>
                <w:kern w:val="0"/>
                <w:sz w:val="24"/>
                <w:szCs w:val="24"/>
                <w:highlight w:val="none"/>
                <w:lang w:val="en-US" w:eastAsia="zh-CN" w:bidi="ar"/>
              </w:rPr>
              <w:t>最低程度</w:t>
            </w:r>
            <w:r>
              <w:rPr>
                <w:rFonts w:hint="default" w:ascii="Times New Roman" w:hAnsi="Times New Roman" w:eastAsia="宋体" w:cs="Times New Roman"/>
                <w:color w:val="auto"/>
                <w:kern w:val="0"/>
                <w:sz w:val="24"/>
                <w:szCs w:val="24"/>
                <w:highlight w:val="none"/>
                <w:lang w:val="en-US" w:eastAsia="zh-CN" w:bidi="ar"/>
              </w:rPr>
              <w:t xml:space="preserve">，而不会对周围环境造成不良影响，应具体采取如下措施进行防范。 </w:t>
            </w:r>
          </w:p>
          <w:p w14:paraId="5EE5768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①应对项目产生的医疗废物进行科学的分类收集科学的分类是消除污染、无害化处置的保证，要采用专用容器，明确各类废弃物标识，分类包装，分类堆放，并本着及时、方便、安全、快捷的原则，进行收集。感染性废物、损伤性废物、药物性废物及化学性废物不能混合收集；放入包装物或者容器内的医疗废物不得再取出。当盛装的医疗废物达到包装物或者容器的3/4时，应当使用有效的封口方式，使包装物或者容器的封口紧实、严密。所有锐利物都必须单独存放，收集锐利物的包装容器必须使用硬质、防漏、防刺破材料。针或刀应保存在有明显标记、防泄漏、防刺破的容器内。另外，有害化学废物不能与普通医疗废物混合。有害化学废物在产生后应分别收集、贮存和处理，对其包装及标签要求如下：根据废物种类使用废物容</w:t>
            </w:r>
            <w:r>
              <w:rPr>
                <w:rFonts w:hint="eastAsia" w:ascii="宋体" w:hAnsi="宋体" w:eastAsia="宋体" w:cs="宋体"/>
                <w:color w:val="auto"/>
                <w:kern w:val="0"/>
                <w:sz w:val="24"/>
                <w:szCs w:val="24"/>
                <w:highlight w:val="none"/>
                <w:lang w:val="en-US" w:eastAsia="zh-CN" w:bidi="ar"/>
              </w:rPr>
              <w:t>器、使用“有害废物”的标</w:t>
            </w:r>
            <w:r>
              <w:rPr>
                <w:rFonts w:hint="default" w:ascii="Times New Roman" w:hAnsi="Times New Roman" w:eastAsia="宋体" w:cs="Times New Roman"/>
                <w:color w:val="auto"/>
                <w:kern w:val="0"/>
                <w:sz w:val="24"/>
                <w:szCs w:val="24"/>
                <w:highlight w:val="none"/>
                <w:lang w:val="en-US" w:eastAsia="zh-CN" w:bidi="ar"/>
              </w:rPr>
              <w:t xml:space="preserve">签或标记、在任何时候都确保废物容器的密闭性。采用有皱的包装材料包装易碎的玻璃和塑料制品，在包装中同时加入吸附性材料。 </w:t>
            </w:r>
          </w:p>
          <w:p w14:paraId="7B7A62E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②医疗废物应及时、有效地处理。因为在医疗废物储存过程中，会有恶臭产生。医疗废物暂存间设置应满足以下要求： </w:t>
            </w:r>
          </w:p>
          <w:p w14:paraId="2A0C0C9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a.远离医疗区、食品加工区、人员活动区和生活垃圾存放场所，方便医疗废物运送人员及运送工具、车辆的出入； </w:t>
            </w:r>
          </w:p>
          <w:p w14:paraId="45D30F6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b.有严密的封闭措施，设专（兼）职人员管理，防止非工作人员接触医疗废物； </w:t>
            </w:r>
          </w:p>
          <w:p w14:paraId="5BB6E94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c.有防鼠、防蚊蝇、防蟑螂的安全措施；防止渗漏和雨水冲刷；易于清洁和消毒；避免阳光直射； </w:t>
            </w:r>
          </w:p>
          <w:p w14:paraId="58DD47D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d.设有明显的医疗废物警示标识</w:t>
            </w:r>
            <w:r>
              <w:rPr>
                <w:rFonts w:hint="eastAsia" w:ascii="宋体" w:hAnsi="宋体" w:eastAsia="宋体" w:cs="宋体"/>
                <w:color w:val="auto"/>
                <w:kern w:val="0"/>
                <w:sz w:val="24"/>
                <w:szCs w:val="24"/>
                <w:highlight w:val="none"/>
                <w:lang w:val="en-US" w:eastAsia="zh-CN" w:bidi="ar"/>
              </w:rPr>
              <w:t>和“禁止吸烟、饮食”的警</w:t>
            </w:r>
            <w:r>
              <w:rPr>
                <w:rFonts w:hint="default" w:ascii="Times New Roman" w:hAnsi="Times New Roman" w:eastAsia="宋体" w:cs="Times New Roman"/>
                <w:color w:val="auto"/>
                <w:kern w:val="0"/>
                <w:sz w:val="24"/>
                <w:szCs w:val="24"/>
                <w:highlight w:val="none"/>
                <w:lang w:val="en-US" w:eastAsia="zh-CN" w:bidi="ar"/>
              </w:rPr>
              <w:t xml:space="preserve">示标识； </w:t>
            </w:r>
          </w:p>
          <w:p w14:paraId="56857E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e.暂存间不得对公众开放； </w:t>
            </w:r>
          </w:p>
          <w:p w14:paraId="581BF8F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f.医疗废物转交出去后，应当对暂时贮存地点、设施及时进行清洁和消毒处理； </w:t>
            </w:r>
          </w:p>
          <w:p w14:paraId="56C96FB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g.禁止将医疗废物混入其它废物和生活垃圾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p>
          <w:p w14:paraId="265326B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bidi="ar"/>
              </w:rPr>
              <w:t>h.建立健全医疗废物管理台账和医疗废物转运联单。</w:t>
            </w:r>
          </w:p>
          <w:p w14:paraId="3291587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酒精泄漏</w:t>
            </w:r>
            <w:r>
              <w:rPr>
                <w:rFonts w:hint="default" w:ascii="Times New Roman" w:hAnsi="Times New Roman" w:eastAsia="宋体" w:cs="Times New Roman"/>
                <w:b/>
                <w:bCs/>
                <w:color w:val="auto"/>
                <w:kern w:val="0"/>
                <w:sz w:val="24"/>
                <w:szCs w:val="24"/>
                <w:highlight w:val="none"/>
                <w:lang w:val="en-US" w:eastAsia="zh-CN" w:bidi="ar"/>
              </w:rPr>
              <w:t xml:space="preserve">风险防范措施 </w:t>
            </w:r>
          </w:p>
          <w:p w14:paraId="5E1C292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①本品</w:t>
            </w:r>
            <w:r>
              <w:rPr>
                <w:rFonts w:hint="eastAsia" w:ascii="Times New Roman" w:hAnsi="Times New Roman" w:eastAsia="宋体" w:cs="Times New Roman"/>
                <w:color w:val="auto"/>
                <w:kern w:val="0"/>
                <w:sz w:val="24"/>
                <w:szCs w:val="24"/>
                <w:highlight w:val="none"/>
                <w:lang w:val="en-US" w:eastAsia="zh-CN" w:bidi="ar"/>
              </w:rPr>
              <w:t>属于易燃化学品，储存区</w:t>
            </w:r>
            <w:r>
              <w:rPr>
                <w:rFonts w:hint="default" w:ascii="Times New Roman" w:hAnsi="Times New Roman" w:eastAsia="宋体" w:cs="Times New Roman"/>
                <w:color w:val="auto"/>
                <w:kern w:val="0"/>
                <w:sz w:val="24"/>
                <w:szCs w:val="24"/>
                <w:highlight w:val="none"/>
                <w:lang w:val="en-US" w:eastAsia="zh-CN" w:bidi="ar"/>
              </w:rPr>
              <w:t xml:space="preserve">严禁烟火。 </w:t>
            </w:r>
          </w:p>
          <w:p w14:paraId="49A763E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②本品的贮藏或存放，必须远离火源，配备消防设施，室外应设有禁火标志。 </w:t>
            </w:r>
          </w:p>
          <w:p w14:paraId="59D0252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设置专人对酒精进行管理，定期检查，防止酒精瓶破裂发生泄漏。</w:t>
            </w:r>
          </w:p>
          <w:p w14:paraId="3398C8B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w:t>
            </w:r>
            <w:r>
              <w:rPr>
                <w:rFonts w:hint="eastAsia" w:ascii="Times New Roman" w:hAnsi="Times New Roman" w:eastAsia="宋体" w:cs="Times New Roman"/>
                <w:color w:val="auto"/>
                <w:kern w:val="0"/>
                <w:sz w:val="24"/>
                <w:szCs w:val="24"/>
                <w:highlight w:val="none"/>
                <w:lang w:val="en-US" w:eastAsia="zh-CN" w:bidi="ar"/>
              </w:rPr>
              <w:t>药品房酒精应单独存放，严禁和其他可燃或助燃物质混合存放。</w:t>
            </w:r>
          </w:p>
          <w:p w14:paraId="6D1AC7B8">
            <w:pPr>
              <w:pStyle w:val="30"/>
              <w:jc w:val="both"/>
              <w:rPr>
                <w:rFonts w:hint="default"/>
                <w:b/>
                <w:bCs/>
                <w:color w:val="auto"/>
                <w:lang w:val="en-US"/>
              </w:rPr>
            </w:pPr>
            <w:r>
              <w:rPr>
                <w:rFonts w:hint="eastAsia" w:hAnsi="Times New Roman"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次氯酸钠泄漏风险防范措施</w:t>
            </w:r>
          </w:p>
          <w:p w14:paraId="07D154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污水处理站操作间存放的</w:t>
            </w:r>
            <w:r>
              <w:rPr>
                <w:rFonts w:hint="default" w:ascii="Times New Roman" w:hAnsi="Times New Roman" w:eastAsia="宋体" w:cs="Times New Roman"/>
                <w:color w:val="auto"/>
                <w:kern w:val="0"/>
                <w:sz w:val="24"/>
                <w:szCs w:val="24"/>
                <w:highlight w:val="none"/>
                <w:lang w:val="en-US" w:eastAsia="zh-CN" w:bidi="ar"/>
              </w:rPr>
              <w:t>消毒</w:t>
            </w:r>
            <w:r>
              <w:rPr>
                <w:rFonts w:hint="eastAsia" w:ascii="Times New Roman" w:hAnsi="Times New Roman" w:eastAsia="宋体" w:cs="Times New Roman"/>
                <w:color w:val="auto"/>
                <w:kern w:val="0"/>
                <w:sz w:val="24"/>
                <w:szCs w:val="24"/>
                <w:highlight w:val="none"/>
                <w:lang w:val="en-US" w:eastAsia="zh-CN" w:bidi="ar"/>
              </w:rPr>
              <w:t>剂次氯酸钠设</w:t>
            </w:r>
            <w:r>
              <w:rPr>
                <w:rFonts w:hint="default" w:ascii="Times New Roman" w:hAnsi="Times New Roman" w:eastAsia="宋体" w:cs="Times New Roman"/>
                <w:color w:val="auto"/>
                <w:kern w:val="0"/>
                <w:sz w:val="24"/>
                <w:szCs w:val="24"/>
                <w:highlight w:val="none"/>
                <w:lang w:val="en-US" w:eastAsia="zh-CN" w:bidi="ar"/>
              </w:rPr>
              <w:t>专人</w:t>
            </w:r>
            <w:r>
              <w:rPr>
                <w:rFonts w:hint="eastAsia" w:ascii="Times New Roman" w:hAnsi="Times New Roman" w:eastAsia="宋体" w:cs="Times New Roman"/>
                <w:color w:val="auto"/>
                <w:kern w:val="0"/>
                <w:sz w:val="24"/>
                <w:szCs w:val="24"/>
                <w:highlight w:val="none"/>
                <w:lang w:val="en-US" w:eastAsia="zh-CN" w:bidi="ar"/>
              </w:rPr>
              <w:t>管理，</w:t>
            </w:r>
            <w:r>
              <w:rPr>
                <w:rFonts w:hint="default" w:ascii="Times New Roman" w:hAnsi="Times New Roman" w:eastAsia="宋体" w:cs="Times New Roman"/>
                <w:color w:val="auto"/>
                <w:kern w:val="0"/>
                <w:sz w:val="24"/>
                <w:szCs w:val="24"/>
                <w:highlight w:val="none"/>
                <w:lang w:val="en-US" w:eastAsia="zh-CN" w:bidi="ar"/>
              </w:rPr>
              <w:t>定期检查</w:t>
            </w:r>
            <w:r>
              <w:rPr>
                <w:rFonts w:hint="eastAsia" w:ascii="Times New Roman" w:hAnsi="Times New Roman" w:eastAsia="宋体" w:cs="Times New Roman"/>
                <w:color w:val="auto"/>
                <w:kern w:val="0"/>
                <w:sz w:val="24"/>
                <w:szCs w:val="24"/>
                <w:highlight w:val="none"/>
                <w:lang w:val="en-US" w:eastAsia="zh-CN" w:bidi="ar"/>
              </w:rPr>
              <w:t>包装袋</w:t>
            </w:r>
            <w:r>
              <w:rPr>
                <w:rFonts w:hint="default" w:ascii="Times New Roman" w:hAnsi="Times New Roman" w:eastAsia="宋体" w:cs="Times New Roman"/>
                <w:color w:val="auto"/>
                <w:kern w:val="0"/>
                <w:sz w:val="24"/>
                <w:szCs w:val="24"/>
                <w:highlight w:val="none"/>
                <w:lang w:val="en-US" w:eastAsia="zh-CN" w:bidi="ar"/>
              </w:rPr>
              <w:t>是否</w:t>
            </w:r>
            <w:r>
              <w:rPr>
                <w:rFonts w:hint="eastAsia" w:ascii="Times New Roman" w:hAnsi="Times New Roman" w:eastAsia="宋体" w:cs="Times New Roman"/>
                <w:color w:val="auto"/>
                <w:kern w:val="0"/>
                <w:sz w:val="24"/>
                <w:szCs w:val="24"/>
                <w:highlight w:val="none"/>
                <w:lang w:val="en-US" w:eastAsia="zh-CN" w:bidi="ar"/>
              </w:rPr>
              <w:t>完好；</w:t>
            </w:r>
          </w:p>
          <w:p w14:paraId="299578F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次氯酸钠每次使用后恢复原状保存，防止发生泄漏事故；</w:t>
            </w:r>
          </w:p>
          <w:p w14:paraId="5FE5392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污水处理站操作间保持清洁干燥，便于次氯酸钠泄漏收集；</w:t>
            </w:r>
          </w:p>
          <w:p w14:paraId="61B5F36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④严禁非工作人员进入污水处理站操作间</w:t>
            </w:r>
            <w:r>
              <w:rPr>
                <w:rFonts w:hint="default" w:ascii="Times New Roman" w:hAnsi="Times New Roman" w:eastAsia="宋体" w:cs="Times New Roman"/>
                <w:color w:val="auto"/>
                <w:kern w:val="0"/>
                <w:sz w:val="24"/>
                <w:szCs w:val="24"/>
                <w:highlight w:val="none"/>
                <w:lang w:val="en-US" w:eastAsia="zh-CN" w:bidi="ar"/>
              </w:rPr>
              <w:t>。</w:t>
            </w:r>
          </w:p>
          <w:p w14:paraId="3C148E0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lang w:val="en-US" w:eastAsia="zh-CN" w:bidi="ar"/>
              </w:rPr>
              <w:t>（5）</w:t>
            </w:r>
            <w:r>
              <w:rPr>
                <w:rFonts w:hint="eastAsia" w:cs="Times New Roman"/>
                <w:b/>
                <w:bCs/>
                <w:color w:val="auto"/>
                <w:kern w:val="0"/>
                <w:sz w:val="24"/>
                <w:szCs w:val="24"/>
                <w:highlight w:val="none"/>
                <w:lang w:val="en-US" w:eastAsia="zh-CN" w:bidi="ar"/>
              </w:rPr>
              <w:t>废矿物油</w:t>
            </w:r>
            <w:r>
              <w:rPr>
                <w:rFonts w:hint="eastAsia" w:ascii="Times New Roman" w:hAnsi="Times New Roman" w:eastAsia="宋体" w:cs="Times New Roman"/>
                <w:b/>
                <w:bCs/>
                <w:color w:val="auto"/>
                <w:kern w:val="0"/>
                <w:sz w:val="24"/>
                <w:szCs w:val="24"/>
                <w:highlight w:val="none"/>
                <w:lang w:val="en-US" w:eastAsia="zh-CN" w:bidi="ar"/>
              </w:rPr>
              <w:t>泄漏风险防范措施</w:t>
            </w:r>
          </w:p>
          <w:p w14:paraId="100EF6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shd w:val="clear" w:color="auto" w:fill="FFFFFF"/>
                <w:lang w:val="en-US" w:eastAsia="zh-CN"/>
              </w:rPr>
              <w:t>①定期对医疗废物暂存间的防渗、围堰、防鼠板、消毒设施进行检查，出现破损时及时更换和补救</w:t>
            </w:r>
            <w:r>
              <w:rPr>
                <w:rFonts w:hint="default" w:ascii="Times New Roman" w:hAnsi="Times New Roman" w:eastAsia="宋体" w:cs="Times New Roman"/>
                <w:color w:val="auto"/>
                <w:sz w:val="24"/>
                <w:szCs w:val="24"/>
              </w:rPr>
              <w:t>；</w:t>
            </w:r>
          </w:p>
          <w:p w14:paraId="05E9BC0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定期补充</w:t>
            </w:r>
            <w:r>
              <w:rPr>
                <w:rFonts w:hint="default" w:ascii="Times New Roman" w:hAnsi="Times New Roman" w:eastAsia="宋体" w:cs="Times New Roman"/>
                <w:color w:val="auto"/>
                <w:sz w:val="24"/>
                <w:szCs w:val="24"/>
                <w:lang w:eastAsia="zh-CN"/>
              </w:rPr>
              <w:t>更换应急</w:t>
            </w:r>
            <w:r>
              <w:rPr>
                <w:rFonts w:hint="default" w:ascii="Times New Roman" w:hAnsi="Times New Roman" w:eastAsia="宋体" w:cs="Times New Roman"/>
                <w:color w:val="auto"/>
                <w:sz w:val="24"/>
                <w:szCs w:val="24"/>
              </w:rPr>
              <w:t>物资，确保应急物资</w:t>
            </w:r>
            <w:r>
              <w:rPr>
                <w:rFonts w:hint="default" w:ascii="Times New Roman" w:hAnsi="Times New Roman" w:eastAsia="宋体" w:cs="Times New Roman"/>
                <w:color w:val="auto"/>
                <w:sz w:val="24"/>
                <w:szCs w:val="24"/>
                <w:lang w:eastAsia="zh-CN"/>
              </w:rPr>
              <w:t>配备</w:t>
            </w:r>
            <w:r>
              <w:rPr>
                <w:rFonts w:hint="default" w:ascii="Times New Roman" w:hAnsi="Times New Roman" w:eastAsia="宋体" w:cs="Times New Roman"/>
                <w:color w:val="auto"/>
                <w:sz w:val="24"/>
                <w:szCs w:val="24"/>
              </w:rPr>
              <w:t>齐全</w:t>
            </w:r>
          </w:p>
          <w:p w14:paraId="00718C3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b/>
                <w:color w:val="auto"/>
                <w:kern w:val="0"/>
                <w:sz w:val="24"/>
                <w:szCs w:val="24"/>
                <w:highlight w:val="none"/>
                <w:lang w:val="en-US" w:eastAsia="zh-CN" w:bidi="ar"/>
              </w:rPr>
              <w:t>5、</w:t>
            </w:r>
            <w:r>
              <w:rPr>
                <w:rFonts w:hint="default" w:ascii="Times New Roman" w:hAnsi="Times New Roman" w:eastAsia="宋体" w:cs="Times New Roman"/>
                <w:b/>
                <w:color w:val="auto"/>
                <w:kern w:val="0"/>
                <w:sz w:val="24"/>
                <w:szCs w:val="24"/>
                <w:highlight w:val="none"/>
                <w:lang w:val="en-US" w:eastAsia="zh-CN" w:bidi="ar"/>
              </w:rPr>
              <w:t xml:space="preserve">应急预案编制要求 </w:t>
            </w:r>
          </w:p>
          <w:p w14:paraId="036312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该项目应制</w:t>
            </w:r>
            <w:r>
              <w:rPr>
                <w:rFonts w:hint="eastAsia" w:cs="Times New Roman"/>
                <w:color w:val="auto"/>
                <w:kern w:val="0"/>
                <w:sz w:val="24"/>
                <w:szCs w:val="24"/>
                <w:highlight w:val="none"/>
                <w:lang w:val="en-US" w:eastAsia="zh-CN" w:bidi="ar"/>
              </w:rPr>
              <w:t>定</w:t>
            </w:r>
            <w:r>
              <w:rPr>
                <w:rFonts w:hint="default" w:ascii="Times New Roman" w:hAnsi="Times New Roman" w:eastAsia="宋体" w:cs="Times New Roman"/>
                <w:color w:val="auto"/>
                <w:kern w:val="0"/>
                <w:sz w:val="24"/>
                <w:szCs w:val="24"/>
                <w:highlight w:val="none"/>
                <w:lang w:val="en-US" w:eastAsia="zh-CN" w:bidi="ar"/>
              </w:rPr>
              <w:t>详细的</w:t>
            </w:r>
            <w:r>
              <w:rPr>
                <w:rFonts w:hint="eastAsia" w:ascii="Times New Roman" w:hAnsi="Times New Roman" w:eastAsia="宋体" w:cs="Times New Roman"/>
                <w:color w:val="auto"/>
                <w:kern w:val="0"/>
                <w:sz w:val="24"/>
                <w:szCs w:val="24"/>
                <w:highlight w:val="none"/>
                <w:lang w:val="en-US" w:eastAsia="zh-CN" w:bidi="ar"/>
              </w:rPr>
              <w:t>突发环境</w:t>
            </w:r>
            <w:r>
              <w:rPr>
                <w:rFonts w:hint="default" w:ascii="Times New Roman" w:hAnsi="Times New Roman" w:eastAsia="宋体" w:cs="Times New Roman"/>
                <w:color w:val="auto"/>
                <w:kern w:val="0"/>
                <w:sz w:val="24"/>
                <w:szCs w:val="24"/>
                <w:highlight w:val="none"/>
                <w:lang w:val="en-US" w:eastAsia="zh-CN" w:bidi="ar"/>
              </w:rPr>
              <w:t>事故应急预案，将应急预案要点细化列入，并上报当地</w:t>
            </w:r>
            <w:r>
              <w:rPr>
                <w:rFonts w:hint="eastAsia" w:cs="Times New Roman"/>
                <w:color w:val="auto"/>
                <w:kern w:val="0"/>
                <w:sz w:val="24"/>
                <w:szCs w:val="24"/>
                <w:highlight w:val="none"/>
                <w:lang w:val="en-US" w:eastAsia="zh-CN" w:bidi="ar"/>
              </w:rPr>
              <w:t>生态环境局执法大队</w:t>
            </w:r>
            <w:r>
              <w:rPr>
                <w:rFonts w:hint="default" w:ascii="Times New Roman" w:hAnsi="Times New Roman" w:eastAsia="宋体" w:cs="Times New Roman"/>
                <w:color w:val="auto"/>
                <w:kern w:val="0"/>
                <w:sz w:val="24"/>
                <w:szCs w:val="24"/>
                <w:highlight w:val="none"/>
                <w:lang w:val="en-US" w:eastAsia="zh-CN" w:bidi="ar"/>
              </w:rPr>
              <w:t xml:space="preserve">。 </w:t>
            </w:r>
          </w:p>
          <w:p w14:paraId="6DA99E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rPr>
            </w:pPr>
            <w:r>
              <w:rPr>
                <w:rFonts w:hint="default" w:ascii="Times New Roman" w:hAnsi="Times New Roman" w:eastAsia="宋体" w:cs="Times New Roman"/>
                <w:color w:val="auto"/>
                <w:kern w:val="0"/>
                <w:sz w:val="24"/>
                <w:szCs w:val="24"/>
                <w:highlight w:val="none"/>
                <w:lang w:val="en-US" w:eastAsia="zh-CN" w:bidi="ar"/>
              </w:rPr>
              <w:t>项目应设置专门的组织机构作为应急预案小组，组织机构主要为医院成立的环境安全管理机构，由医院环保第一责任人、环保直接负责人、环保主管部门负责人和其它的专职环境管理人员组成。</w:t>
            </w:r>
          </w:p>
          <w:p w14:paraId="02DEFD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表</w:t>
            </w:r>
            <w:r>
              <w:rPr>
                <w:rFonts w:hint="eastAsia" w:ascii="Times New Roman" w:hAnsi="Times New Roman" w:eastAsia="宋体" w:cs="Times New Roman"/>
                <w:b/>
                <w:color w:val="auto"/>
                <w:kern w:val="0"/>
                <w:sz w:val="21"/>
                <w:szCs w:val="21"/>
                <w:highlight w:val="none"/>
                <w:lang w:val="en-US" w:eastAsia="zh-CN" w:bidi="ar"/>
              </w:rPr>
              <w:t>4-</w:t>
            </w:r>
            <w:r>
              <w:rPr>
                <w:rFonts w:hint="eastAsia" w:cs="Times New Roman"/>
                <w:b/>
                <w:color w:val="auto"/>
                <w:kern w:val="0"/>
                <w:sz w:val="21"/>
                <w:szCs w:val="21"/>
                <w:highlight w:val="none"/>
                <w:lang w:val="en-US" w:eastAsia="zh-CN" w:bidi="ar"/>
              </w:rPr>
              <w:t>17</w:t>
            </w:r>
            <w:r>
              <w:rPr>
                <w:rFonts w:hint="default" w:ascii="Times New Roman" w:hAnsi="Times New Roman" w:eastAsia="宋体" w:cs="Times New Roman"/>
                <w:b/>
                <w:color w:val="auto"/>
                <w:kern w:val="0"/>
                <w:sz w:val="21"/>
                <w:szCs w:val="21"/>
                <w:highlight w:val="none"/>
                <w:lang w:val="en-US" w:eastAsia="zh-CN" w:bidi="ar"/>
              </w:rPr>
              <w:t xml:space="preserve"> </w:t>
            </w:r>
            <w:r>
              <w:rPr>
                <w:rFonts w:hint="eastAsia" w:ascii="Times New Roman" w:hAnsi="Times New Roman" w:eastAsia="宋体" w:cs="Times New Roman"/>
                <w:b/>
                <w:color w:val="auto"/>
                <w:kern w:val="0"/>
                <w:sz w:val="21"/>
                <w:szCs w:val="21"/>
                <w:highlight w:val="none"/>
                <w:lang w:val="en-US" w:eastAsia="zh-CN" w:bidi="ar"/>
              </w:rPr>
              <w:t xml:space="preserve"> </w:t>
            </w:r>
            <w:r>
              <w:rPr>
                <w:rFonts w:hint="default" w:ascii="Times New Roman" w:hAnsi="Times New Roman" w:eastAsia="宋体" w:cs="Times New Roman"/>
                <w:b/>
                <w:color w:val="auto"/>
                <w:kern w:val="0"/>
                <w:sz w:val="21"/>
                <w:szCs w:val="21"/>
                <w:highlight w:val="none"/>
                <w:lang w:val="en-US" w:eastAsia="zh-CN" w:bidi="ar"/>
              </w:rPr>
              <w:t>应急预案内容</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48"/>
              <w:gridCol w:w="5251"/>
            </w:tblGrid>
            <w:tr w14:paraId="6CBC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0BFD07C5">
                  <w:pPr>
                    <w:spacing w:beforeLines="0" w:afterLines="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348" w:type="dxa"/>
                  <w:tcBorders>
                    <w:tl2br w:val="nil"/>
                    <w:tr2bl w:val="nil"/>
                  </w:tcBorders>
                  <w:noWrap w:val="0"/>
                  <w:vAlign w:val="center"/>
                </w:tcPr>
                <w:p w14:paraId="35323083">
                  <w:pPr>
                    <w:spacing w:beforeLines="0" w:afterLines="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5251" w:type="dxa"/>
                  <w:tcBorders>
                    <w:tl2br w:val="nil"/>
                    <w:tr2bl w:val="nil"/>
                  </w:tcBorders>
                  <w:noWrap w:val="0"/>
                  <w:vAlign w:val="center"/>
                </w:tcPr>
                <w:p w14:paraId="375F2F9E">
                  <w:pPr>
                    <w:spacing w:beforeLines="0" w:afterLines="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内容及要求</w:t>
                  </w:r>
                </w:p>
              </w:tc>
            </w:tr>
            <w:tr w14:paraId="3B52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42CE84B5">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48" w:type="dxa"/>
                  <w:tcBorders>
                    <w:tl2br w:val="nil"/>
                    <w:tr2bl w:val="nil"/>
                  </w:tcBorders>
                  <w:noWrap w:val="0"/>
                  <w:vAlign w:val="center"/>
                </w:tcPr>
                <w:p w14:paraId="2EAE0504">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应急计划区</w:t>
                  </w:r>
                </w:p>
              </w:tc>
              <w:tc>
                <w:tcPr>
                  <w:tcW w:w="5251" w:type="dxa"/>
                  <w:tcBorders>
                    <w:tl2br w:val="nil"/>
                    <w:tr2bl w:val="nil"/>
                  </w:tcBorders>
                  <w:noWrap w:val="0"/>
                  <w:vAlign w:val="center"/>
                </w:tcPr>
                <w:p w14:paraId="6CC92202">
                  <w:pPr>
                    <w:spacing w:beforeLines="0" w:afterLines="0"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危险目标：危险废物暂存区及运输沿线环境保护目标、污水处理站</w:t>
                  </w:r>
                  <w:r>
                    <w:rPr>
                      <w:rFonts w:hint="eastAsia" w:ascii="Times New Roman" w:hAnsi="Times New Roman" w:eastAsia="宋体" w:cs="Times New Roman"/>
                      <w:color w:val="auto"/>
                      <w:sz w:val="21"/>
                      <w:szCs w:val="21"/>
                      <w:highlight w:val="none"/>
                      <w:lang w:val="en-US" w:eastAsia="zh-CN"/>
                    </w:rPr>
                    <w:t>和医废暂存间</w:t>
                  </w:r>
                </w:p>
              </w:tc>
            </w:tr>
            <w:tr w14:paraId="1FE9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6BF38DE9">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348" w:type="dxa"/>
                  <w:tcBorders>
                    <w:tl2br w:val="nil"/>
                    <w:tr2bl w:val="nil"/>
                  </w:tcBorders>
                  <w:noWrap w:val="0"/>
                  <w:vAlign w:val="center"/>
                </w:tcPr>
                <w:p w14:paraId="159C0C2F">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应急组织机构、人员</w:t>
                  </w:r>
                </w:p>
              </w:tc>
              <w:tc>
                <w:tcPr>
                  <w:tcW w:w="5251" w:type="dxa"/>
                  <w:tcBorders>
                    <w:tl2br w:val="nil"/>
                    <w:tr2bl w:val="nil"/>
                  </w:tcBorders>
                  <w:noWrap w:val="0"/>
                  <w:vAlign w:val="center"/>
                </w:tcPr>
                <w:p w14:paraId="13AAC729">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医院、地区应急组织机构、人员</w:t>
                  </w:r>
                </w:p>
              </w:tc>
            </w:tr>
            <w:tr w14:paraId="4D6E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121C5D69">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348" w:type="dxa"/>
                  <w:tcBorders>
                    <w:tl2br w:val="nil"/>
                    <w:tr2bl w:val="nil"/>
                  </w:tcBorders>
                  <w:noWrap w:val="0"/>
                  <w:vAlign w:val="center"/>
                </w:tcPr>
                <w:p w14:paraId="4793A5CB">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预案分级响应条件</w:t>
                  </w:r>
                </w:p>
              </w:tc>
              <w:tc>
                <w:tcPr>
                  <w:tcW w:w="5251" w:type="dxa"/>
                  <w:tcBorders>
                    <w:tl2br w:val="nil"/>
                    <w:tr2bl w:val="nil"/>
                  </w:tcBorders>
                  <w:noWrap w:val="0"/>
                  <w:vAlign w:val="center"/>
                </w:tcPr>
                <w:p w14:paraId="49883A50">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规定预案的级别及分级响应程序</w:t>
                  </w:r>
                </w:p>
              </w:tc>
            </w:tr>
            <w:tr w14:paraId="7830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60F61C5F">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348" w:type="dxa"/>
                  <w:tcBorders>
                    <w:tl2br w:val="nil"/>
                    <w:tr2bl w:val="nil"/>
                  </w:tcBorders>
                  <w:noWrap w:val="0"/>
                  <w:vAlign w:val="center"/>
                </w:tcPr>
                <w:p w14:paraId="70CB3A08">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应急救援保障</w:t>
                  </w:r>
                </w:p>
              </w:tc>
              <w:tc>
                <w:tcPr>
                  <w:tcW w:w="5251" w:type="dxa"/>
                  <w:tcBorders>
                    <w:tl2br w:val="nil"/>
                    <w:tr2bl w:val="nil"/>
                  </w:tcBorders>
                  <w:noWrap w:val="0"/>
                  <w:vAlign w:val="center"/>
                </w:tcPr>
                <w:p w14:paraId="2AF8DDF8">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应急设施，设备与器材等</w:t>
                  </w:r>
                </w:p>
              </w:tc>
            </w:tr>
            <w:tr w14:paraId="6DF6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1C0D4CB6">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348" w:type="dxa"/>
                  <w:tcBorders>
                    <w:tl2br w:val="nil"/>
                    <w:tr2bl w:val="nil"/>
                  </w:tcBorders>
                  <w:noWrap w:val="0"/>
                  <w:vAlign w:val="center"/>
                </w:tcPr>
                <w:p w14:paraId="470A82F5">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报警、通讯联络方式</w:t>
                  </w:r>
                </w:p>
              </w:tc>
              <w:tc>
                <w:tcPr>
                  <w:tcW w:w="5251" w:type="dxa"/>
                  <w:tcBorders>
                    <w:tl2br w:val="nil"/>
                    <w:tr2bl w:val="nil"/>
                  </w:tcBorders>
                  <w:noWrap w:val="0"/>
                  <w:vAlign w:val="center"/>
                </w:tcPr>
                <w:p w14:paraId="562BC65E">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规定应急状态下的报警通讯方式、通知方式和交通保障、管制</w:t>
                  </w:r>
                </w:p>
              </w:tc>
            </w:tr>
            <w:tr w14:paraId="639B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247AD0E7">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348" w:type="dxa"/>
                  <w:tcBorders>
                    <w:tl2br w:val="nil"/>
                    <w:tr2bl w:val="nil"/>
                  </w:tcBorders>
                  <w:noWrap w:val="0"/>
                  <w:vAlign w:val="center"/>
                </w:tcPr>
                <w:p w14:paraId="28871DA7">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应急环境监测、抢险、救援及控制措施</w:t>
                  </w:r>
                </w:p>
              </w:tc>
              <w:tc>
                <w:tcPr>
                  <w:tcW w:w="5251" w:type="dxa"/>
                  <w:tcBorders>
                    <w:tl2br w:val="nil"/>
                    <w:tr2bl w:val="nil"/>
                  </w:tcBorders>
                  <w:noWrap w:val="0"/>
                  <w:vAlign w:val="center"/>
                </w:tcPr>
                <w:p w14:paraId="79908136">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由专业队伍负责对事故现场进行侦察监测，对事故性质、参数与后果进行评估，为指挥部门提供决策依据</w:t>
                  </w:r>
                </w:p>
              </w:tc>
            </w:tr>
            <w:tr w14:paraId="27F9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13E956EA">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348" w:type="dxa"/>
                  <w:tcBorders>
                    <w:tl2br w:val="nil"/>
                    <w:tr2bl w:val="nil"/>
                  </w:tcBorders>
                  <w:noWrap w:val="0"/>
                  <w:vAlign w:val="center"/>
                </w:tcPr>
                <w:p w14:paraId="3C1F85BC">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w:t>
                  </w:r>
                  <w:r>
                    <w:rPr>
                      <w:rFonts w:hint="eastAsia"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、防护措施、清除泄漏措施和器材</w:t>
                  </w:r>
                </w:p>
              </w:tc>
              <w:tc>
                <w:tcPr>
                  <w:tcW w:w="5251" w:type="dxa"/>
                  <w:tcBorders>
                    <w:tl2br w:val="nil"/>
                    <w:tr2bl w:val="nil"/>
                  </w:tcBorders>
                  <w:noWrap w:val="0"/>
                  <w:vAlign w:val="center"/>
                </w:tcPr>
                <w:p w14:paraId="6665E0D8">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事故现场、邻近区域、控制区域，控制和清除污染措施及相应设备</w:t>
                  </w:r>
                </w:p>
              </w:tc>
            </w:tr>
            <w:tr w14:paraId="7979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5474498C">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348" w:type="dxa"/>
                  <w:tcBorders>
                    <w:tl2br w:val="nil"/>
                    <w:tr2bl w:val="nil"/>
                  </w:tcBorders>
                  <w:noWrap w:val="0"/>
                  <w:vAlign w:val="top"/>
                </w:tcPr>
                <w:p w14:paraId="39638C9B">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人员紧急撤离、疏散，应急剂量控制、撤离组织计划</w:t>
                  </w:r>
                </w:p>
              </w:tc>
              <w:tc>
                <w:tcPr>
                  <w:tcW w:w="5251" w:type="dxa"/>
                  <w:tcBorders>
                    <w:tl2br w:val="nil"/>
                    <w:tr2bl w:val="nil"/>
                  </w:tcBorders>
                  <w:noWrap w:val="0"/>
                  <w:vAlign w:val="top"/>
                </w:tcPr>
                <w:p w14:paraId="022F8E02">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事故现场、邻近</w:t>
                  </w:r>
                  <w:r>
                    <w:rPr>
                      <w:rFonts w:hint="eastAsia" w:cs="Times New Roman"/>
                      <w:color w:val="auto"/>
                      <w:sz w:val="21"/>
                      <w:szCs w:val="21"/>
                      <w:highlight w:val="none"/>
                      <w:lang w:eastAsia="zh-CN"/>
                    </w:rPr>
                    <w:t>区域</w:t>
                  </w:r>
                  <w:r>
                    <w:rPr>
                      <w:rFonts w:hint="default" w:ascii="Times New Roman" w:hAnsi="Times New Roman" w:eastAsia="宋体" w:cs="Times New Roman"/>
                      <w:color w:val="auto"/>
                      <w:sz w:val="21"/>
                      <w:szCs w:val="21"/>
                      <w:highlight w:val="none"/>
                    </w:rPr>
                    <w:t>、受事故影响的区域人员及公众对毒物应急剂量控制规定，撤离组织计划及救护，医疗救护与公众健康</w:t>
                  </w:r>
                </w:p>
              </w:tc>
            </w:tr>
            <w:tr w14:paraId="322F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0F80967D">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348" w:type="dxa"/>
                  <w:tcBorders>
                    <w:tl2br w:val="nil"/>
                    <w:tr2bl w:val="nil"/>
                  </w:tcBorders>
                  <w:noWrap w:val="0"/>
                  <w:vAlign w:val="center"/>
                </w:tcPr>
                <w:p w14:paraId="6844299C">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事故应急救援关闭程序与恢复措施</w:t>
                  </w:r>
                </w:p>
              </w:tc>
              <w:tc>
                <w:tcPr>
                  <w:tcW w:w="5251" w:type="dxa"/>
                  <w:tcBorders>
                    <w:tl2br w:val="nil"/>
                    <w:tr2bl w:val="nil"/>
                  </w:tcBorders>
                  <w:noWrap w:val="0"/>
                  <w:vAlign w:val="center"/>
                </w:tcPr>
                <w:p w14:paraId="49D98CE9">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规定应急状态终止程序事故现场善后处理，恢复措施邻近区域解除事故警戒及善后恢复措施</w:t>
                  </w:r>
                </w:p>
              </w:tc>
            </w:tr>
            <w:tr w14:paraId="6D9A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4F58A6BF">
                  <w:pPr>
                    <w:spacing w:beforeLines="0" w:afterLines="0" w:line="240" w:lineRule="auto"/>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10</w:t>
                  </w:r>
                </w:p>
              </w:tc>
              <w:tc>
                <w:tcPr>
                  <w:tcW w:w="2348" w:type="dxa"/>
                  <w:tcBorders>
                    <w:tl2br w:val="nil"/>
                    <w:tr2bl w:val="nil"/>
                  </w:tcBorders>
                  <w:noWrap w:val="0"/>
                  <w:vAlign w:val="center"/>
                </w:tcPr>
                <w:p w14:paraId="406F4392">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应急培训计划</w:t>
                  </w:r>
                </w:p>
              </w:tc>
              <w:tc>
                <w:tcPr>
                  <w:tcW w:w="5251" w:type="dxa"/>
                  <w:tcBorders>
                    <w:tl2br w:val="nil"/>
                    <w:tr2bl w:val="nil"/>
                  </w:tcBorders>
                  <w:noWrap w:val="0"/>
                  <w:vAlign w:val="center"/>
                </w:tcPr>
                <w:p w14:paraId="21E2B843">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应急计划制定后，平时安排人员培训与演练</w:t>
                  </w:r>
                </w:p>
              </w:tc>
            </w:tr>
            <w:tr w14:paraId="1C41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4E3F6F81">
                  <w:pPr>
                    <w:spacing w:beforeLines="0" w:afterLines="0" w:line="240" w:lineRule="auto"/>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11</w:t>
                  </w:r>
                </w:p>
              </w:tc>
              <w:tc>
                <w:tcPr>
                  <w:tcW w:w="2348" w:type="dxa"/>
                  <w:tcBorders>
                    <w:tl2br w:val="nil"/>
                    <w:tr2bl w:val="nil"/>
                  </w:tcBorders>
                  <w:noWrap w:val="0"/>
                  <w:vAlign w:val="center"/>
                </w:tcPr>
                <w:p w14:paraId="43F509BC">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公众教育和信息</w:t>
                  </w:r>
                </w:p>
              </w:tc>
              <w:tc>
                <w:tcPr>
                  <w:tcW w:w="5251" w:type="dxa"/>
                  <w:tcBorders>
                    <w:tl2br w:val="nil"/>
                    <w:tr2bl w:val="nil"/>
                  </w:tcBorders>
                  <w:noWrap w:val="0"/>
                  <w:vAlign w:val="center"/>
                </w:tcPr>
                <w:p w14:paraId="681CDD6D">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对邻近地区开展公众教育、培训和发布有关信息</w:t>
                  </w:r>
                </w:p>
              </w:tc>
            </w:tr>
          </w:tbl>
          <w:p w14:paraId="03C1A9D2">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应急程序包括报警、接报、发出应急救援命令、应急救援行动、现场处置、结束应急行动。</w:t>
            </w:r>
          </w:p>
          <w:p w14:paraId="31A1D0DF">
            <w:pPr>
              <w:pStyle w:val="33"/>
              <w:numPr>
                <w:ilvl w:val="0"/>
                <w:numId w:val="0"/>
              </w:numPr>
              <w:bidi w:val="0"/>
              <w:spacing w:line="360" w:lineRule="auto"/>
              <w:ind w:left="488" w:leftChars="0" w:right="0" w:rightChars="0"/>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6、结论</w:t>
            </w:r>
          </w:p>
          <w:p w14:paraId="283354AD">
            <w:pPr>
              <w:pStyle w:val="33"/>
              <w:numPr>
                <w:ilvl w:val="0"/>
                <w:numId w:val="0"/>
              </w:numPr>
              <w:bidi w:val="0"/>
              <w:spacing w:line="360" w:lineRule="auto"/>
              <w:ind w:right="0" w:rightChars="0" w:firstLine="480" w:firstLineChars="200"/>
              <w:rPr>
                <w:rFonts w:hint="eastAsia" w:ascii="Times New Roman" w:hAnsi="Times New Roman" w:cs="Times New Roman"/>
                <w:b w:val="0"/>
                <w:bCs w:val="0"/>
                <w:color w:val="auto"/>
                <w:sz w:val="24"/>
                <w:szCs w:val="24"/>
                <w:highlight w:val="none"/>
                <w:lang w:val="en-US" w:eastAsia="zh-CN"/>
              </w:rPr>
            </w:pPr>
            <w:r>
              <w:rPr>
                <w:rFonts w:hint="default" w:eastAsia="宋体" w:cs="Times New Roman"/>
                <w:b w:val="0"/>
                <w:bCs w:val="0"/>
                <w:color w:val="auto"/>
                <w:sz w:val="24"/>
                <w:szCs w:val="24"/>
                <w:highlight w:val="none"/>
                <w:lang w:val="en-US" w:eastAsia="zh-CN"/>
              </w:rPr>
              <w:t>通过分析，项目建成后对环境产生的环境风险主要表现在相关污染治理设备和必要防护设施的故障，通过采取本报告中的防范措施后，</w:t>
            </w:r>
            <w:r>
              <w:rPr>
                <w:rFonts w:hint="eastAsia" w:eastAsia="宋体" w:cs="Times New Roman"/>
                <w:b w:val="0"/>
                <w:bCs w:val="0"/>
                <w:color w:val="auto"/>
                <w:sz w:val="24"/>
                <w:szCs w:val="24"/>
                <w:highlight w:val="none"/>
                <w:lang w:val="en-US" w:eastAsia="zh-CN"/>
              </w:rPr>
              <w:t>可以</w:t>
            </w:r>
            <w:r>
              <w:rPr>
                <w:rFonts w:hint="default" w:eastAsia="宋体" w:cs="Times New Roman"/>
                <w:b w:val="0"/>
                <w:bCs w:val="0"/>
                <w:color w:val="auto"/>
                <w:sz w:val="24"/>
                <w:szCs w:val="24"/>
                <w:highlight w:val="none"/>
                <w:lang w:val="en-US" w:eastAsia="zh-CN"/>
              </w:rPr>
              <w:t>在较大程度上避免风险的产生，同时项目建设方针对本报告提出的环境风险，制定相应的应急预案，可控制风险对环境的影响范围和程度，因此在项目建设阶段就应充分考虑环境风险的防范措施，减小可能的环境风险发生率，降低环境风险影响</w:t>
            </w:r>
            <w:r>
              <w:rPr>
                <w:rFonts w:hint="eastAsia" w:ascii="Times New Roman" w:hAnsi="Times New Roman" w:cs="Times New Roman"/>
                <w:b w:val="0"/>
                <w:bCs w:val="0"/>
                <w:color w:val="auto"/>
                <w:sz w:val="24"/>
                <w:szCs w:val="24"/>
                <w:highlight w:val="none"/>
                <w:lang w:val="en-US" w:eastAsia="zh-CN"/>
              </w:rPr>
              <w:t>。</w:t>
            </w:r>
          </w:p>
          <w:p w14:paraId="5B1EE34E">
            <w:pPr>
              <w:pStyle w:val="13"/>
              <w:spacing w:line="360" w:lineRule="auto"/>
              <w:ind w:firstLine="482" w:firstLineChars="200"/>
              <w:rPr>
                <w:rFonts w:hint="default" w:ascii="Times New Roman" w:hAnsi="Times New Roman" w:eastAsia="宋体" w:cs="Times New Roman"/>
                <w:b/>
                <w:color w:val="auto"/>
                <w:sz w:val="24"/>
                <w:szCs w:val="24"/>
                <w:lang w:val="en-US" w:eastAsia="zh-CN"/>
              </w:rPr>
            </w:pPr>
            <w:r>
              <w:rPr>
                <w:rFonts w:hint="eastAsia" w:ascii="Times New Roman" w:hAnsi="Times New Roman"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建设项目环境风险简单分析内容表</w:t>
            </w:r>
          </w:p>
          <w:p w14:paraId="203B2864">
            <w:pPr>
              <w:adjustRightInd w:val="0"/>
              <w:snapToGrid w:val="0"/>
              <w:spacing w:beforeLines="50"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w:t>
            </w:r>
            <w:r>
              <w:rPr>
                <w:rFonts w:hint="eastAsia"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18</w:t>
            </w:r>
            <w:r>
              <w:rPr>
                <w:rFonts w:hint="default" w:ascii="Times New Roman" w:hAnsi="Times New Roman" w:eastAsia="宋体" w:cs="Times New Roman"/>
                <w:b/>
                <w:color w:val="auto"/>
                <w:sz w:val="21"/>
                <w:szCs w:val="21"/>
                <w:lang w:val="en-US" w:eastAsia="zh-CN"/>
              </w:rPr>
              <w:t>建设项目环境风险简单分析内容表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231"/>
              <w:gridCol w:w="1633"/>
              <w:gridCol w:w="1117"/>
              <w:gridCol w:w="1143"/>
              <w:gridCol w:w="1153"/>
            </w:tblGrid>
            <w:tr w14:paraId="7955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5B6312B2">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建设项目名称</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3AD20C7B">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昆明</w:t>
                  </w:r>
                  <w:r>
                    <w:rPr>
                      <w:rFonts w:hint="eastAsia" w:ascii="Times New Roman" w:hAnsi="Times New Roman" w:eastAsia="宋体" w:cs="Times New Roman"/>
                      <w:bCs/>
                      <w:color w:val="auto"/>
                      <w:sz w:val="21"/>
                      <w:szCs w:val="21"/>
                      <w:lang w:val="en-US" w:eastAsia="zh-CN"/>
                    </w:rPr>
                    <w:t>长青慈宁精神病医院扩建项目</w:t>
                  </w:r>
                </w:p>
              </w:tc>
            </w:tr>
            <w:tr w14:paraId="4ECE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3BF8D0D6">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建设地点</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9F3E3ED">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（云南）省</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12A12F00">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（昆明）市</w:t>
                  </w:r>
                </w:p>
              </w:tc>
              <w:tc>
                <w:tcPr>
                  <w:tcW w:w="1117" w:type="dxa"/>
                  <w:tcBorders>
                    <w:top w:val="single" w:color="auto" w:sz="4" w:space="0"/>
                    <w:left w:val="single" w:color="auto" w:sz="4" w:space="0"/>
                    <w:bottom w:val="single" w:color="auto" w:sz="4" w:space="0"/>
                    <w:right w:val="single" w:color="auto" w:sz="4" w:space="0"/>
                  </w:tcBorders>
                  <w:noWrap w:val="0"/>
                  <w:vAlign w:val="center"/>
                </w:tcPr>
                <w:p w14:paraId="40BDE2A7">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）区</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4DF1BD6">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寻甸</w:t>
                  </w:r>
                  <w:r>
                    <w:rPr>
                      <w:rFonts w:hint="default" w:ascii="Times New Roman" w:hAnsi="Times New Roman" w:eastAsia="宋体" w:cs="Times New Roman"/>
                      <w:bCs/>
                      <w:color w:val="auto"/>
                      <w:sz w:val="21"/>
                      <w:szCs w:val="21"/>
                      <w:lang w:val="en-US" w:eastAsia="zh-CN"/>
                    </w:rPr>
                    <w:t>）县</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F7BF372">
                  <w:pPr>
                    <w:pStyle w:val="13"/>
                    <w:spacing w:line="240" w:lineRule="auto"/>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4"/>
                      <w:szCs w:val="24"/>
                    </w:rPr>
                    <w:t>倘甸镇白章村委会芭蕉树村108号</w:t>
                  </w:r>
                </w:p>
              </w:tc>
            </w:tr>
            <w:tr w14:paraId="3E54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3C348B38">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地理坐标</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0426050">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经度</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17B6415B">
                  <w:pPr>
                    <w:pStyle w:val="13"/>
                    <w:spacing w:line="240" w:lineRule="auto"/>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1"/>
                      <w:szCs w:val="21"/>
                      <w:u w:val="single"/>
                      <w:lang w:val="en-US" w:eastAsia="zh-CN"/>
                    </w:rPr>
                    <w:t>100</w:t>
                  </w:r>
                  <w:r>
                    <w:rPr>
                      <w:rFonts w:hint="eastAsia" w:ascii="宋体" w:hAnsi="宋体" w:eastAsia="宋体" w:cs="宋体"/>
                      <w:color w:val="auto"/>
                      <w:sz w:val="21"/>
                      <w:szCs w:val="21"/>
                    </w:rPr>
                    <w:t>度</w:t>
                  </w:r>
                  <w:r>
                    <w:rPr>
                      <w:rFonts w:hint="eastAsia" w:ascii="宋体" w:hAnsi="宋体" w:cs="宋体"/>
                      <w:color w:val="auto"/>
                      <w:sz w:val="21"/>
                      <w:szCs w:val="21"/>
                      <w:u w:val="single"/>
                      <w:lang w:val="en-US" w:eastAsia="zh-CN"/>
                    </w:rPr>
                    <w:t>55</w:t>
                  </w:r>
                  <w:r>
                    <w:rPr>
                      <w:rFonts w:hint="eastAsia" w:ascii="宋体" w:hAnsi="宋体" w:eastAsia="宋体" w:cs="宋体"/>
                      <w:color w:val="auto"/>
                      <w:sz w:val="21"/>
                      <w:szCs w:val="21"/>
                    </w:rPr>
                    <w:t>分</w:t>
                  </w:r>
                  <w:r>
                    <w:rPr>
                      <w:rFonts w:hint="eastAsia" w:ascii="宋体" w:hAnsi="宋体" w:cs="宋体"/>
                      <w:color w:val="auto"/>
                      <w:sz w:val="21"/>
                      <w:szCs w:val="21"/>
                      <w:u w:val="single"/>
                      <w:lang w:val="en-US" w:eastAsia="zh-CN"/>
                    </w:rPr>
                    <w:t>20.572</w:t>
                  </w:r>
                  <w:r>
                    <w:rPr>
                      <w:rFonts w:hint="eastAsia" w:ascii="宋体" w:hAnsi="宋体" w:eastAsia="宋体" w:cs="宋体"/>
                      <w:color w:val="auto"/>
                      <w:sz w:val="21"/>
                      <w:szCs w:val="21"/>
                    </w:rPr>
                    <w:t>秒</w:t>
                  </w:r>
                  <w:r>
                    <w:rPr>
                      <w:rFonts w:hint="default" w:ascii="Times New Roman" w:hAnsi="Times New Roman" w:eastAsia="宋体" w:cs="Times New Roman"/>
                      <w:b w:val="0"/>
                      <w:bCs w:val="0"/>
                      <w:color w:val="auto"/>
                      <w:sz w:val="21"/>
                      <w:szCs w:val="21"/>
                    </w:rPr>
                    <w:t xml:space="preserve"> </w:t>
                  </w:r>
                </w:p>
              </w:tc>
              <w:tc>
                <w:tcPr>
                  <w:tcW w:w="1117" w:type="dxa"/>
                  <w:tcBorders>
                    <w:top w:val="single" w:color="auto" w:sz="4" w:space="0"/>
                    <w:left w:val="single" w:color="auto" w:sz="4" w:space="0"/>
                    <w:bottom w:val="single" w:color="auto" w:sz="4" w:space="0"/>
                    <w:right w:val="single" w:color="auto" w:sz="4" w:space="0"/>
                  </w:tcBorders>
                  <w:noWrap w:val="0"/>
                  <w:vAlign w:val="center"/>
                </w:tcPr>
                <w:p w14:paraId="2C5872B6">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纬度</w:t>
                  </w:r>
                </w:p>
              </w:tc>
              <w:tc>
                <w:tcPr>
                  <w:tcW w:w="2296" w:type="dxa"/>
                  <w:gridSpan w:val="2"/>
                  <w:tcBorders>
                    <w:top w:val="single" w:color="auto" w:sz="4" w:space="0"/>
                    <w:left w:val="single" w:color="auto" w:sz="4" w:space="0"/>
                    <w:bottom w:val="single" w:color="auto" w:sz="4" w:space="0"/>
                    <w:right w:val="single" w:color="auto" w:sz="4" w:space="0"/>
                  </w:tcBorders>
                  <w:noWrap w:val="0"/>
                  <w:vAlign w:val="center"/>
                </w:tcPr>
                <w:p w14:paraId="7BA53FE2">
                  <w:pPr>
                    <w:pStyle w:val="13"/>
                    <w:spacing w:line="240" w:lineRule="auto"/>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1"/>
                      <w:szCs w:val="21"/>
                      <w:u w:val="single"/>
                      <w:lang w:val="en-US" w:eastAsia="zh-CN"/>
                    </w:rPr>
                    <w:t>25</w:t>
                  </w:r>
                  <w:r>
                    <w:rPr>
                      <w:rFonts w:hint="eastAsia" w:ascii="宋体" w:hAnsi="宋体" w:eastAsia="宋体" w:cs="宋体"/>
                      <w:color w:val="auto"/>
                      <w:sz w:val="21"/>
                      <w:szCs w:val="21"/>
                    </w:rPr>
                    <w:t>度</w:t>
                  </w:r>
                  <w:r>
                    <w:rPr>
                      <w:rFonts w:hint="eastAsia" w:ascii="宋体" w:hAnsi="宋体" w:cs="宋体"/>
                      <w:color w:val="auto"/>
                      <w:sz w:val="21"/>
                      <w:szCs w:val="21"/>
                      <w:u w:val="single"/>
                      <w:lang w:val="en-US" w:eastAsia="zh-CN"/>
                    </w:rPr>
                    <w:t>45</w:t>
                  </w:r>
                  <w:r>
                    <w:rPr>
                      <w:rFonts w:hint="eastAsia" w:ascii="宋体" w:hAnsi="宋体" w:eastAsia="宋体" w:cs="宋体"/>
                      <w:color w:val="auto"/>
                      <w:sz w:val="21"/>
                      <w:szCs w:val="21"/>
                    </w:rPr>
                    <w:t>分</w:t>
                  </w:r>
                  <w:r>
                    <w:rPr>
                      <w:rFonts w:hint="eastAsia" w:ascii="宋体" w:hAnsi="宋体" w:cs="宋体"/>
                      <w:color w:val="auto"/>
                      <w:sz w:val="21"/>
                      <w:szCs w:val="21"/>
                      <w:u w:val="single"/>
                      <w:lang w:val="en-US" w:eastAsia="zh-CN"/>
                    </w:rPr>
                    <w:t>52.951</w:t>
                  </w:r>
                  <w:r>
                    <w:rPr>
                      <w:rFonts w:hint="eastAsia" w:ascii="宋体" w:hAnsi="宋体" w:eastAsia="宋体" w:cs="宋体"/>
                      <w:color w:val="auto"/>
                      <w:sz w:val="21"/>
                      <w:szCs w:val="21"/>
                    </w:rPr>
                    <w:t>秒）</w:t>
                  </w:r>
                </w:p>
              </w:tc>
            </w:tr>
            <w:tr w14:paraId="5A67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495209AD">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主要危险物质及分布</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4C17AEBC">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污水处理站、医废暂存处、酒精瓶。。</w:t>
                  </w:r>
                </w:p>
              </w:tc>
            </w:tr>
            <w:tr w14:paraId="2DBA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601E6196">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环境影响途径及危害后果（大气、地表水、地下水等）</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6A19306F">
                  <w:pPr>
                    <w:pStyle w:val="47"/>
                    <w:bidi w:val="0"/>
                    <w:rPr>
                      <w:rFonts w:hint="default"/>
                      <w:color w:val="auto"/>
                    </w:rPr>
                  </w:pPr>
                  <w:r>
                    <w:rPr>
                      <w:rFonts w:hint="default"/>
                      <w:color w:val="auto"/>
                    </w:rPr>
                    <w:t>结合拟建项目使用的危险物质，可能影响环境的途径为：</w:t>
                  </w:r>
                </w:p>
                <w:p w14:paraId="2839F060">
                  <w:pPr>
                    <w:pStyle w:val="47"/>
                    <w:bidi w:val="0"/>
                    <w:rPr>
                      <w:rFonts w:hint="eastAsia"/>
                      <w:color w:val="auto"/>
                      <w:lang w:val="en-US" w:eastAsia="zh-CN"/>
                    </w:rPr>
                  </w:pPr>
                  <w:r>
                    <w:rPr>
                      <w:rFonts w:hint="default"/>
                      <w:color w:val="auto"/>
                      <w:lang w:val="en-US" w:eastAsia="zh-CN"/>
                    </w:rPr>
                    <w:t>①</w:t>
                  </w:r>
                  <w:r>
                    <w:rPr>
                      <w:rFonts w:hint="eastAsia"/>
                      <w:color w:val="auto"/>
                      <w:lang w:val="en-US" w:eastAsia="zh-CN"/>
                    </w:rPr>
                    <w:t>乙醇</w:t>
                  </w:r>
                  <w:r>
                    <w:rPr>
                      <w:rFonts w:hint="default"/>
                      <w:color w:val="auto"/>
                    </w:rPr>
                    <w:t>易燃，其蒸气与空气形成爆炸性混合物，遇明火、高热能引起燃烧爆炸。</w:t>
                  </w:r>
                  <w:r>
                    <w:rPr>
                      <w:rFonts w:hint="eastAsia"/>
                      <w:color w:val="auto"/>
                      <w:lang w:eastAsia="zh-CN"/>
                    </w:rPr>
                    <w:t>燃烧产生有毒有害</w:t>
                  </w:r>
                  <w:r>
                    <w:rPr>
                      <w:rFonts w:hint="eastAsia"/>
                      <w:color w:val="auto"/>
                      <w:lang w:val="en-US" w:eastAsia="zh-CN"/>
                    </w:rPr>
                    <w:t>气体</w:t>
                  </w:r>
                  <w:r>
                    <w:rPr>
                      <w:rFonts w:hint="eastAsia"/>
                      <w:color w:val="auto"/>
                      <w:lang w:eastAsia="zh-CN"/>
                    </w:rPr>
                    <w:t>，</w:t>
                  </w:r>
                  <w:r>
                    <w:rPr>
                      <w:rFonts w:hint="eastAsia"/>
                      <w:color w:val="auto"/>
                      <w:lang w:val="en-US" w:eastAsia="zh-CN"/>
                    </w:rPr>
                    <w:t>污染大气环境，产生消防废水进入外环境造成水体污染</w:t>
                  </w:r>
                  <w:r>
                    <w:rPr>
                      <w:rFonts w:hint="default"/>
                      <w:color w:val="auto"/>
                    </w:rPr>
                    <w:t>。</w:t>
                  </w:r>
                </w:p>
                <w:p w14:paraId="408F542F">
                  <w:pPr>
                    <w:pStyle w:val="47"/>
                    <w:bidi w:val="0"/>
                    <w:rPr>
                      <w:rFonts w:hint="eastAsia"/>
                      <w:color w:val="auto"/>
                      <w:lang w:eastAsia="zh-CN"/>
                    </w:rPr>
                  </w:pPr>
                  <w:r>
                    <w:rPr>
                      <w:rFonts w:hint="default"/>
                      <w:color w:val="auto"/>
                      <w:lang w:val="en-US" w:eastAsia="zh-CN"/>
                    </w:rPr>
                    <w:t>②</w:t>
                  </w:r>
                  <w:r>
                    <w:rPr>
                      <w:rFonts w:hint="eastAsia"/>
                      <w:color w:val="auto"/>
                      <w:lang w:val="en-US" w:eastAsia="zh-CN"/>
                    </w:rPr>
                    <w:t>次氯酸钠泄漏进入水体，会污染水体，释放的氯气有可能引起中毒</w:t>
                  </w:r>
                  <w:r>
                    <w:rPr>
                      <w:rFonts w:hint="eastAsia"/>
                      <w:color w:val="auto"/>
                      <w:lang w:eastAsia="zh-CN"/>
                    </w:rPr>
                    <w:t>。</w:t>
                  </w:r>
                </w:p>
                <w:p w14:paraId="3545CA69">
                  <w:pPr>
                    <w:pStyle w:val="47"/>
                    <w:bidi w:val="0"/>
                    <w:rPr>
                      <w:rFonts w:hint="eastAsia"/>
                      <w:color w:val="auto"/>
                      <w:lang w:val="en-US" w:eastAsia="zh-CN"/>
                    </w:rPr>
                  </w:pPr>
                  <w:r>
                    <w:rPr>
                      <w:rFonts w:hint="default"/>
                      <w:color w:val="auto"/>
                      <w:lang w:eastAsia="zh-CN"/>
                    </w:rPr>
                    <w:t>③</w:t>
                  </w:r>
                  <w:r>
                    <w:rPr>
                      <w:rFonts w:hint="eastAsia"/>
                      <w:color w:val="auto"/>
                      <w:lang w:val="en-US" w:eastAsia="zh-CN"/>
                    </w:rPr>
                    <w:t>医疗废水异常排放，造成地表水污染，甚至引发疾病传播。</w:t>
                  </w:r>
                </w:p>
                <w:p w14:paraId="5712C302">
                  <w:pPr>
                    <w:pStyle w:val="47"/>
                    <w:bidi w:val="0"/>
                    <w:rPr>
                      <w:rFonts w:hint="eastAsia"/>
                      <w:color w:val="auto"/>
                      <w:lang w:val="en-US" w:eastAsia="zh-CN"/>
                    </w:rPr>
                  </w:pPr>
                  <w:r>
                    <w:rPr>
                      <w:rFonts w:hint="default"/>
                      <w:color w:val="auto"/>
                      <w:lang w:eastAsia="zh-CN"/>
                    </w:rPr>
                    <w:t>④</w:t>
                  </w:r>
                  <w:r>
                    <w:rPr>
                      <w:rFonts w:hint="eastAsia"/>
                      <w:color w:val="auto"/>
                      <w:lang w:val="en-US" w:eastAsia="zh-CN"/>
                    </w:rPr>
                    <w:t>医疗废物发生流失、泄漏造成环境污染，甚至引发疾病传播。</w:t>
                  </w:r>
                </w:p>
                <w:p w14:paraId="33436A1C">
                  <w:pPr>
                    <w:pStyle w:val="47"/>
                    <w:bidi w:val="0"/>
                    <w:rPr>
                      <w:rFonts w:hint="default"/>
                      <w:color w:val="auto"/>
                      <w:lang w:val="en-US" w:eastAsia="zh-CN"/>
                    </w:rPr>
                  </w:pPr>
                  <w:r>
                    <w:rPr>
                      <w:rFonts w:hint="eastAsia"/>
                      <w:color w:val="auto"/>
                      <w:lang w:val="en-US" w:eastAsia="zh-CN"/>
                    </w:rPr>
                    <w:t>⑤废矿物油泄漏，造成地表水，土壤环境污染。</w:t>
                  </w:r>
                </w:p>
              </w:tc>
            </w:tr>
            <w:tr w14:paraId="35DC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05557323">
                  <w:pPr>
                    <w:pStyle w:val="13"/>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风险防范措施要求</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6173FDD7">
                  <w:pPr>
                    <w:pStyle w:val="47"/>
                    <w:bidi w:val="0"/>
                    <w:rPr>
                      <w:rFonts w:hint="default"/>
                      <w:color w:val="auto"/>
                    </w:rPr>
                  </w:pPr>
                  <w:r>
                    <w:rPr>
                      <w:rFonts w:hint="default"/>
                      <w:color w:val="auto"/>
                    </w:rPr>
                    <w:t>本着</w:t>
                  </w:r>
                  <w:r>
                    <w:rPr>
                      <w:rFonts w:hint="eastAsia"/>
                      <w:color w:val="auto"/>
                      <w:lang w:eastAsia="zh-CN"/>
                    </w:rPr>
                    <w:t>“</w:t>
                  </w:r>
                  <w:r>
                    <w:rPr>
                      <w:rFonts w:hint="default"/>
                      <w:color w:val="auto"/>
                    </w:rPr>
                    <w:t>预防为主，防控结合</w:t>
                  </w:r>
                  <w:r>
                    <w:rPr>
                      <w:rFonts w:hint="eastAsia"/>
                      <w:color w:val="auto"/>
                      <w:lang w:eastAsia="zh-CN"/>
                    </w:rPr>
                    <w:t>”</w:t>
                  </w:r>
                  <w:r>
                    <w:rPr>
                      <w:rFonts w:hint="default"/>
                      <w:color w:val="auto"/>
                    </w:rPr>
                    <w:t>的指导思想在场区内设置安全、及时、有效的事故风险防范体系。</w:t>
                  </w:r>
                </w:p>
                <w:p w14:paraId="2F1269C3">
                  <w:pPr>
                    <w:pStyle w:val="47"/>
                    <w:bidi w:val="0"/>
                    <w:rPr>
                      <w:rFonts w:hint="default"/>
                      <w:color w:val="auto"/>
                      <w:lang w:val="en-US" w:eastAsia="zh-CN"/>
                    </w:rPr>
                  </w:pPr>
                  <w:r>
                    <w:rPr>
                      <w:rFonts w:hint="default"/>
                      <w:color w:val="auto"/>
                      <w:lang w:val="en-US" w:eastAsia="zh-CN"/>
                    </w:rPr>
                    <w:t>①</w:t>
                  </w:r>
                  <w:r>
                    <w:rPr>
                      <w:rFonts w:hint="eastAsia"/>
                      <w:color w:val="auto"/>
                      <w:lang w:val="en-US" w:eastAsia="zh-CN"/>
                    </w:rPr>
                    <w:t>项目设有</w:t>
                  </w:r>
                  <w:r>
                    <w:rPr>
                      <w:rFonts w:hint="default"/>
                      <w:color w:val="auto"/>
                      <w:lang w:val="en-US" w:eastAsia="zh-CN"/>
                    </w:rPr>
                    <w:t>1个</w:t>
                  </w:r>
                  <w:r>
                    <w:rPr>
                      <w:rFonts w:hint="eastAsia"/>
                      <w:color w:val="auto"/>
                      <w:highlight w:val="none"/>
                      <w:lang w:val="en-US" w:eastAsia="zh-CN"/>
                    </w:rPr>
                    <w:t>10</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的事故池</w:t>
                  </w:r>
                  <w:r>
                    <w:rPr>
                      <w:rFonts w:hint="default"/>
                      <w:color w:val="auto"/>
                      <w:lang w:val="en-US" w:eastAsia="zh-CN"/>
                    </w:rPr>
                    <w:t>，</w:t>
                  </w:r>
                  <w:r>
                    <w:rPr>
                      <w:rFonts w:hint="default"/>
                      <w:color w:val="auto"/>
                    </w:rPr>
                    <w:t>污水处理站故障时，首先关闭</w:t>
                  </w:r>
                  <w:r>
                    <w:rPr>
                      <w:rFonts w:hint="default"/>
                      <w:color w:val="auto"/>
                      <w:lang w:val="en-US" w:eastAsia="zh-CN"/>
                    </w:rPr>
                    <w:t>污水处理站出水阀门</w:t>
                  </w:r>
                  <w:r>
                    <w:rPr>
                      <w:rFonts w:hint="default"/>
                      <w:color w:val="auto"/>
                    </w:rPr>
                    <w:t>，停止</w:t>
                  </w:r>
                  <w:r>
                    <w:rPr>
                      <w:rFonts w:hint="default"/>
                      <w:color w:val="auto"/>
                      <w:lang w:val="en-US" w:eastAsia="zh-CN"/>
                    </w:rPr>
                    <w:t>排水</w:t>
                  </w:r>
                  <w:r>
                    <w:rPr>
                      <w:rFonts w:hint="default"/>
                      <w:color w:val="auto"/>
                    </w:rPr>
                    <w:t>，然后将污水处理设备内的污水抽至</w:t>
                  </w:r>
                  <w:r>
                    <w:rPr>
                      <w:rFonts w:hint="default"/>
                      <w:color w:val="auto"/>
                      <w:lang w:val="en-US" w:eastAsia="zh-CN"/>
                    </w:rPr>
                    <w:t>事故池</w:t>
                  </w:r>
                  <w:r>
                    <w:rPr>
                      <w:rFonts w:hint="default"/>
                      <w:color w:val="auto"/>
                    </w:rPr>
                    <w:t>暂存，设备检修好后再进行处理。</w:t>
                  </w:r>
                </w:p>
                <w:p w14:paraId="66EACED1">
                  <w:pPr>
                    <w:pStyle w:val="47"/>
                    <w:bidi w:val="0"/>
                    <w:rPr>
                      <w:rFonts w:hint="default"/>
                      <w:color w:val="auto"/>
                      <w:lang w:eastAsia="zh-CN"/>
                    </w:rPr>
                  </w:pPr>
                  <w:r>
                    <w:rPr>
                      <w:rFonts w:hint="default"/>
                      <w:color w:val="auto"/>
                      <w:lang w:val="en-US" w:eastAsia="zh-CN"/>
                    </w:rPr>
                    <w:t>②</w:t>
                  </w:r>
                  <w:r>
                    <w:rPr>
                      <w:rFonts w:hint="default"/>
                      <w:color w:val="auto"/>
                      <w:lang w:eastAsia="zh-CN"/>
                    </w:rPr>
                    <w:t>化粪池、污水处理站等污水收集处理设施进行防渗、防腐。</w:t>
                  </w:r>
                </w:p>
                <w:p w14:paraId="7B16EE2E">
                  <w:pPr>
                    <w:pStyle w:val="47"/>
                    <w:bidi w:val="0"/>
                    <w:rPr>
                      <w:rFonts w:hint="default"/>
                      <w:color w:val="auto"/>
                      <w:lang w:eastAsia="zh-CN"/>
                    </w:rPr>
                  </w:pPr>
                  <w:r>
                    <w:rPr>
                      <w:rFonts w:hint="default"/>
                      <w:color w:val="auto"/>
                      <w:lang w:eastAsia="zh-CN"/>
                    </w:rPr>
                    <w:t>③定期对污水处理设施进行维护和检修。</w:t>
                  </w:r>
                </w:p>
                <w:p w14:paraId="79AE13A3">
                  <w:pPr>
                    <w:pStyle w:val="47"/>
                    <w:bidi w:val="0"/>
                    <w:rPr>
                      <w:rFonts w:hint="default"/>
                      <w:color w:val="auto"/>
                      <w:lang w:eastAsia="zh-CN"/>
                    </w:rPr>
                  </w:pPr>
                  <w:r>
                    <w:rPr>
                      <w:rFonts w:hint="default"/>
                      <w:color w:val="auto"/>
                      <w:lang w:eastAsia="zh-CN"/>
                    </w:rPr>
                    <w:t>④项目医疗废物暂存间内设有专门的分类收集包装物、容器。</w:t>
                  </w:r>
                </w:p>
                <w:p w14:paraId="759C6EC2">
                  <w:pPr>
                    <w:pStyle w:val="47"/>
                    <w:bidi w:val="0"/>
                    <w:rPr>
                      <w:rFonts w:hint="default" w:ascii="Times New Roman" w:hAnsi="Times New Roman" w:eastAsia="宋体" w:cs="Times New Roman"/>
                      <w:color w:val="auto"/>
                      <w:szCs w:val="21"/>
                      <w:lang w:eastAsia="zh-CN"/>
                    </w:rPr>
                  </w:pPr>
                  <w:r>
                    <w:rPr>
                      <w:rFonts w:hint="default"/>
                      <w:color w:val="auto"/>
                      <w:lang w:eastAsia="zh-CN"/>
                    </w:rPr>
                    <w:t>⑤项目医疗废物暂存间内应设置有截漏的裙角，利用地面与裙角之间所围建的容积对医疗废物暂存间内泄漏的物质进行收集。</w:t>
                  </w:r>
                </w:p>
              </w:tc>
            </w:tr>
            <w:tr w14:paraId="7608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4" w:type="dxa"/>
                  <w:gridSpan w:val="6"/>
                  <w:tcBorders>
                    <w:top w:val="single" w:color="auto" w:sz="4" w:space="0"/>
                    <w:left w:val="single" w:color="auto" w:sz="4" w:space="0"/>
                    <w:bottom w:val="single" w:color="auto" w:sz="4" w:space="0"/>
                    <w:right w:val="single" w:color="auto" w:sz="4" w:space="0"/>
                  </w:tcBorders>
                  <w:noWrap w:val="0"/>
                  <w:vAlign w:val="center"/>
                </w:tcPr>
                <w:p w14:paraId="73A1C146">
                  <w:pPr>
                    <w:pStyle w:val="13"/>
                    <w:spacing w:line="240" w:lineRule="auto"/>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填表说明（列出项目相关信息及评价说明）：无。</w:t>
                  </w:r>
                </w:p>
              </w:tc>
            </w:tr>
          </w:tbl>
          <w:p w14:paraId="0D60609C">
            <w:pPr>
              <w:pStyle w:val="32"/>
              <w:numPr>
                <w:ilvl w:val="0"/>
                <w:numId w:val="0"/>
              </w:numPr>
              <w:spacing w:line="360" w:lineRule="auto"/>
              <w:rPr>
                <w:rFonts w:hint="default"/>
                <w:b/>
                <w:bCs/>
                <w:color w:val="auto"/>
                <w:sz w:val="24"/>
                <w:szCs w:val="24"/>
                <w:lang w:val="en-US" w:eastAsia="zh-CN"/>
              </w:rPr>
            </w:pPr>
          </w:p>
        </w:tc>
      </w:tr>
    </w:tbl>
    <w:p w14:paraId="0C35EDB3">
      <w:pPr>
        <w:rPr>
          <w:color w:val="auto"/>
        </w:rPr>
      </w:pPr>
    </w:p>
    <w:p w14:paraId="1C6DD0FD">
      <w:pPr>
        <w:pStyle w:val="22"/>
        <w:keepNext/>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lang w:val="en-US" w:eastAsia="zh-CN"/>
        </w:rPr>
      </w:pPr>
      <w:bookmarkStart w:id="20" w:name="_Toc22224"/>
      <w:r>
        <w:rPr>
          <w:rFonts w:hint="eastAsia" w:ascii="黑体" w:hAnsi="黑体" w:eastAsia="黑体" w:cs="Times New Roman"/>
          <w:snapToGrid w:val="0"/>
          <w:color w:val="auto"/>
          <w:sz w:val="30"/>
          <w:szCs w:val="30"/>
          <w:lang w:val="en-US" w:eastAsia="zh-CN"/>
        </w:rPr>
        <w:t>五、</w:t>
      </w:r>
      <w:bookmarkStart w:id="21" w:name="_Hlk54167917"/>
      <w:r>
        <w:rPr>
          <w:rFonts w:hint="eastAsia" w:ascii="黑体" w:hAnsi="黑体" w:eastAsia="黑体" w:cs="Times New Roman"/>
          <w:snapToGrid w:val="0"/>
          <w:color w:val="auto"/>
          <w:sz w:val="30"/>
          <w:szCs w:val="30"/>
          <w:lang w:val="en-US" w:eastAsia="zh-CN"/>
        </w:rPr>
        <w:t>环境保护措施监督检查清单</w:t>
      </w:r>
      <w:bookmarkEnd w:id="20"/>
      <w:bookmarkEnd w:id="2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217"/>
        <w:gridCol w:w="1431"/>
        <w:gridCol w:w="3198"/>
        <w:gridCol w:w="1884"/>
      </w:tblGrid>
      <w:tr w14:paraId="4D78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0" w:type="dxa"/>
            <w:tcBorders>
              <w:tl2br w:val="single" w:color="auto" w:sz="4" w:space="0"/>
            </w:tcBorders>
            <w:noWrap w:val="0"/>
            <w:vAlign w:val="top"/>
          </w:tcPr>
          <w:p w14:paraId="73EBF1F2">
            <w:pPr>
              <w:pStyle w:val="42"/>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4454843B">
            <w:pPr>
              <w:pStyle w:val="42"/>
              <w:bidi w:val="0"/>
              <w:spacing w:line="360" w:lineRule="auto"/>
              <w:rPr>
                <w:rFonts w:hint="default" w:ascii="Times New Roman" w:hAnsi="Times New Roman" w:eastAsia="宋体" w:cs="Times New Roman"/>
                <w:b/>
                <w:bCs/>
                <w:color w:val="auto"/>
                <w:sz w:val="24"/>
                <w:szCs w:val="24"/>
              </w:rPr>
            </w:pPr>
          </w:p>
          <w:p w14:paraId="4F62695A">
            <w:pPr>
              <w:pStyle w:val="42"/>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217" w:type="dxa"/>
            <w:noWrap w:val="0"/>
            <w:vAlign w:val="center"/>
          </w:tcPr>
          <w:p w14:paraId="1E13DC68">
            <w:pPr>
              <w:pStyle w:val="42"/>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编号、名称</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431" w:type="dxa"/>
            <w:noWrap w:val="0"/>
            <w:vAlign w:val="center"/>
          </w:tcPr>
          <w:p w14:paraId="629091BB">
            <w:pPr>
              <w:pStyle w:val="42"/>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3198" w:type="dxa"/>
            <w:noWrap w:val="0"/>
            <w:vAlign w:val="center"/>
          </w:tcPr>
          <w:p w14:paraId="7B5AC6C7">
            <w:pPr>
              <w:pStyle w:val="42"/>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884" w:type="dxa"/>
            <w:noWrap w:val="0"/>
            <w:vAlign w:val="center"/>
          </w:tcPr>
          <w:p w14:paraId="090F77EF">
            <w:pPr>
              <w:pStyle w:val="42"/>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675C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070" w:type="dxa"/>
            <w:vMerge w:val="restart"/>
            <w:noWrap w:val="0"/>
            <w:vAlign w:val="center"/>
          </w:tcPr>
          <w:p w14:paraId="1361EA8D">
            <w:pPr>
              <w:pStyle w:val="42"/>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大气环境</w:t>
            </w:r>
          </w:p>
        </w:tc>
        <w:tc>
          <w:tcPr>
            <w:tcW w:w="1217" w:type="dxa"/>
            <w:noWrap w:val="0"/>
            <w:vAlign w:val="center"/>
          </w:tcPr>
          <w:p w14:paraId="7C4A5101">
            <w:pPr>
              <w:pStyle w:val="42"/>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污水处理站</w:t>
            </w:r>
          </w:p>
        </w:tc>
        <w:tc>
          <w:tcPr>
            <w:tcW w:w="1431" w:type="dxa"/>
            <w:noWrap w:val="0"/>
            <w:vAlign w:val="center"/>
          </w:tcPr>
          <w:p w14:paraId="3B44E1F7">
            <w:pPr>
              <w:pStyle w:val="42"/>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氨、硫化氢、臭气</w:t>
            </w:r>
            <w:r>
              <w:rPr>
                <w:rFonts w:hint="eastAsia" w:cs="Times New Roman"/>
                <w:color w:val="auto"/>
                <w:sz w:val="24"/>
                <w:szCs w:val="24"/>
                <w:lang w:val="en-US" w:eastAsia="zh-CN"/>
              </w:rPr>
              <w:t>浓度、甲烷</w:t>
            </w:r>
          </w:p>
        </w:tc>
        <w:tc>
          <w:tcPr>
            <w:tcW w:w="3198" w:type="dxa"/>
            <w:noWrap w:val="0"/>
            <w:vAlign w:val="center"/>
          </w:tcPr>
          <w:p w14:paraId="132BB63A">
            <w:pPr>
              <w:pStyle w:val="42"/>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污水处理设施密闭，大气稀释扩散。</w:t>
            </w:r>
          </w:p>
        </w:tc>
        <w:tc>
          <w:tcPr>
            <w:tcW w:w="1884" w:type="dxa"/>
            <w:noWrap w:val="0"/>
            <w:vAlign w:val="center"/>
          </w:tcPr>
          <w:p w14:paraId="4D4409A6">
            <w:pPr>
              <w:pStyle w:val="42"/>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《医疗机构水污染物排放标准》GB18466-2005中表3标准值，即NH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≤1.0mg/m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S</w:t>
            </w:r>
            <w:r>
              <w:rPr>
                <w:rFonts w:hint="default" w:ascii="Times New Roman" w:hAnsi="Times New Roman" w:eastAsia="宋体" w:cs="Times New Roman"/>
                <w:color w:val="auto"/>
                <w:kern w:val="2"/>
                <w:sz w:val="24"/>
                <w:szCs w:val="24"/>
                <w:vertAlign w:val="baseline"/>
                <w:lang w:val="en-US" w:eastAsia="zh-CN" w:bidi="ar-SA"/>
              </w:rPr>
              <w:t>≤0.03mg/m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w:t>
            </w:r>
            <w:r>
              <w:rPr>
                <w:rFonts w:hint="default" w:ascii="Times New Roman" w:hAnsi="Times New Roman" w:eastAsia="宋体" w:cs="Times New Roman"/>
                <w:color w:val="auto"/>
                <w:kern w:val="2"/>
                <w:sz w:val="24"/>
                <w:szCs w:val="24"/>
                <w:lang w:val="en-US" w:eastAsia="zh-CN" w:bidi="ar-SA"/>
              </w:rPr>
              <w:t>臭气浓度</w:t>
            </w:r>
            <w:r>
              <w:rPr>
                <w:rFonts w:hint="default" w:ascii="Times New Roman" w:hAnsi="Times New Roman" w:eastAsia="宋体" w:cs="Times New Roman"/>
                <w:color w:val="auto"/>
                <w:kern w:val="2"/>
                <w:sz w:val="24"/>
                <w:szCs w:val="24"/>
                <w:vertAlign w:val="baseline"/>
                <w:lang w:val="en-US" w:eastAsia="zh-CN" w:bidi="ar-SA"/>
              </w:rPr>
              <w:t>≤10。</w:t>
            </w:r>
          </w:p>
        </w:tc>
      </w:tr>
      <w:tr w14:paraId="59F4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70" w:type="dxa"/>
            <w:vMerge w:val="continue"/>
            <w:noWrap w:val="0"/>
            <w:vAlign w:val="center"/>
          </w:tcPr>
          <w:p w14:paraId="38C3C63A">
            <w:pPr>
              <w:pStyle w:val="42"/>
              <w:bidi w:val="0"/>
              <w:spacing w:line="360" w:lineRule="auto"/>
              <w:rPr>
                <w:rFonts w:hint="default" w:ascii="Times New Roman" w:hAnsi="Times New Roman" w:eastAsia="宋体" w:cs="Times New Roman"/>
                <w:color w:val="auto"/>
                <w:sz w:val="24"/>
                <w:szCs w:val="24"/>
                <w:lang w:eastAsia="zh-CN"/>
              </w:rPr>
            </w:pPr>
          </w:p>
        </w:tc>
        <w:tc>
          <w:tcPr>
            <w:tcW w:w="1217" w:type="dxa"/>
            <w:noWrap w:val="0"/>
            <w:vAlign w:val="center"/>
          </w:tcPr>
          <w:p w14:paraId="37C89A35">
            <w:pPr>
              <w:pStyle w:val="42"/>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油烟净化器排口</w:t>
            </w:r>
          </w:p>
        </w:tc>
        <w:tc>
          <w:tcPr>
            <w:tcW w:w="1431" w:type="dxa"/>
            <w:noWrap w:val="0"/>
            <w:vAlign w:val="center"/>
          </w:tcPr>
          <w:p w14:paraId="2AC4BCB0">
            <w:pPr>
              <w:pStyle w:val="42"/>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油烟</w:t>
            </w:r>
          </w:p>
        </w:tc>
        <w:tc>
          <w:tcPr>
            <w:tcW w:w="3198" w:type="dxa"/>
            <w:noWrap w:val="0"/>
            <w:vAlign w:val="center"/>
          </w:tcPr>
          <w:p w14:paraId="0724DE48">
            <w:pPr>
              <w:pStyle w:val="42"/>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风机+油烟净化器+烟道，油烟净化器净化效率≥60%。</w:t>
            </w:r>
          </w:p>
        </w:tc>
        <w:tc>
          <w:tcPr>
            <w:tcW w:w="1884" w:type="dxa"/>
            <w:noWrap w:val="0"/>
            <w:vAlign w:val="center"/>
          </w:tcPr>
          <w:p w14:paraId="6CF196C1">
            <w:pPr>
              <w:pStyle w:val="42"/>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《饮食业油烟排放标准（试行）》（GB28083-2001）小型规模标准</w:t>
            </w:r>
            <w:r>
              <w:rPr>
                <w:rFonts w:hint="eastAsia" w:cs="Times New Roman"/>
                <w:color w:val="auto"/>
                <w:kern w:val="2"/>
                <w:sz w:val="24"/>
                <w:szCs w:val="24"/>
                <w:lang w:val="en-US" w:eastAsia="zh-CN" w:bidi="ar-SA"/>
              </w:rPr>
              <w:t>。</w:t>
            </w:r>
          </w:p>
        </w:tc>
      </w:tr>
      <w:tr w14:paraId="6E7A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0" w:type="dxa"/>
            <w:noWrap w:val="0"/>
            <w:vAlign w:val="center"/>
          </w:tcPr>
          <w:p w14:paraId="09663AFA">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217" w:type="dxa"/>
            <w:noWrap w:val="0"/>
            <w:vAlign w:val="center"/>
          </w:tcPr>
          <w:p w14:paraId="678D73A0">
            <w:pPr>
              <w:pStyle w:val="42"/>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DW001</w:t>
            </w:r>
          </w:p>
        </w:tc>
        <w:tc>
          <w:tcPr>
            <w:tcW w:w="1431" w:type="dxa"/>
            <w:noWrap w:val="0"/>
            <w:vAlign w:val="center"/>
          </w:tcPr>
          <w:p w14:paraId="3B29981F">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pH值、总余氯、化学需氧量、悬浮物、粪大肠菌群数、结核杆菌、五日生化需氧量、石油类、挥发酚、动植物油、阴离子表面活性剂、总氰化物</w:t>
            </w:r>
          </w:p>
        </w:tc>
        <w:tc>
          <w:tcPr>
            <w:tcW w:w="3198" w:type="dxa"/>
            <w:noWrap w:val="0"/>
            <w:vAlign w:val="center"/>
          </w:tcPr>
          <w:p w14:paraId="122A0894">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①油水分离器：1个，处理规模为0.5m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4000DBF4">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②化粪池：项目依托租用场地内综合楼西侧的1个化粪池容积为25m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，在活动区域北侧新建1个化粪池，容积为25m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，两个化粪池总容积为50m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2BBD711E">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③污水处理站利用原项目污水处理设备，处理能力为15m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/d，在原设备基础上新增1套污水处理设备，处理能力为35m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/d，处理工艺不变，两套设备并列运行，总处理能力为50m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/d。1个应急池容积10m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p>
          <w:p w14:paraId="140B84C0">
            <w:pPr>
              <w:bidi w:val="0"/>
              <w:spacing w:line="360" w:lineRule="auto"/>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④废水处理方式：食堂废水经隔油处理后同生活废水、医疗废水、检验废水一起进入化粪池、污水处理站处理，由于倘甸镇污水处理厂已建成但未运行，且项目区至倘甸镇污水处理厂的污水管网未接通，待倘甸镇污水处理厂投入运行且项目至污水处理厂的管网接通后，医院废水经自建污水处理站处理达到《医疗机构水污染物排放标准》（GB18466-2005）表2预处理标准后排入市政污水管网，最终排入倘甸镇污水处理厂。（本次评价要求倘甸污水处理厂运营后，本项目方可运营）</w:t>
            </w:r>
          </w:p>
        </w:tc>
        <w:tc>
          <w:tcPr>
            <w:tcW w:w="1884" w:type="dxa"/>
            <w:noWrap w:val="0"/>
            <w:vAlign w:val="center"/>
          </w:tcPr>
          <w:p w14:paraId="2B2E32BD">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《医疗机构水污染物排放标准》（GB18466-2005）表2</w:t>
            </w:r>
            <w:r>
              <w:rPr>
                <w:rFonts w:hint="eastAsia" w:cs="Times New Roman"/>
                <w:color w:val="auto"/>
                <w:sz w:val="24"/>
                <w:szCs w:val="24"/>
                <w:lang w:val="en-US" w:eastAsia="zh-CN"/>
              </w:rPr>
              <w:t>预处理</w:t>
            </w:r>
            <w:r>
              <w:rPr>
                <w:rFonts w:hint="default" w:ascii="Times New Roman" w:hAnsi="Times New Roman" w:eastAsia="宋体" w:cs="Times New Roman"/>
                <w:color w:val="auto"/>
                <w:sz w:val="24"/>
                <w:szCs w:val="24"/>
                <w:lang w:eastAsia="zh-CN"/>
              </w:rPr>
              <w:t>标准</w:t>
            </w:r>
            <w:r>
              <w:rPr>
                <w:rFonts w:hint="eastAsia" w:cs="Times New Roman"/>
                <w:color w:val="auto"/>
                <w:sz w:val="24"/>
                <w:szCs w:val="24"/>
                <w:lang w:eastAsia="zh-CN"/>
              </w:rPr>
              <w:t>。</w:t>
            </w:r>
          </w:p>
        </w:tc>
      </w:tr>
      <w:tr w14:paraId="030E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070" w:type="dxa"/>
            <w:noWrap w:val="0"/>
            <w:vAlign w:val="center"/>
          </w:tcPr>
          <w:p w14:paraId="7B4C795A">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2648" w:type="dxa"/>
            <w:gridSpan w:val="2"/>
            <w:noWrap w:val="0"/>
            <w:vAlign w:val="center"/>
          </w:tcPr>
          <w:p w14:paraId="31862116">
            <w:pPr>
              <w:pStyle w:val="42"/>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设备噪声</w:t>
            </w:r>
          </w:p>
        </w:tc>
        <w:tc>
          <w:tcPr>
            <w:tcW w:w="3198" w:type="dxa"/>
            <w:noWrap w:val="0"/>
            <w:vAlign w:val="center"/>
          </w:tcPr>
          <w:p w14:paraId="2AC70556">
            <w:pPr>
              <w:pStyle w:val="42"/>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产噪设备合理布局，设备基础减震、距离衰减。定期检查，维修设备，使设备处于良好的运行状态</w:t>
            </w:r>
            <w:r>
              <w:rPr>
                <w:rFonts w:hint="default" w:ascii="Times New Roman" w:hAnsi="Times New Roman" w:eastAsia="宋体" w:cs="Times New Roman"/>
                <w:color w:val="auto"/>
                <w:sz w:val="24"/>
                <w:szCs w:val="24"/>
                <w:lang w:eastAsia="zh-CN"/>
              </w:rPr>
              <w:t>。</w:t>
            </w:r>
          </w:p>
        </w:tc>
        <w:tc>
          <w:tcPr>
            <w:tcW w:w="1884" w:type="dxa"/>
            <w:noWrap w:val="0"/>
            <w:vAlign w:val="center"/>
          </w:tcPr>
          <w:p w14:paraId="10317A14">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噪声</w:t>
            </w:r>
            <w:r>
              <w:rPr>
                <w:rFonts w:hint="default" w:ascii="Times New Roman" w:hAnsi="Times New Roman" w:eastAsia="宋体" w:cs="Times New Roman"/>
                <w:color w:val="auto"/>
                <w:sz w:val="24"/>
                <w:szCs w:val="24"/>
              </w:rPr>
              <w:t>达到《工业企业厂界环境噪声排放标准》（GB</w:t>
            </w:r>
            <w:r>
              <w:rPr>
                <w:rFonts w:hint="default" w:ascii="Times New Roman" w:hAnsi="Times New Roman" w:eastAsia="宋体" w:cs="Times New Roman"/>
                <w:b w:val="0"/>
                <w:bCs w:val="0"/>
                <w:color w:val="auto"/>
                <w:sz w:val="24"/>
                <w:szCs w:val="24"/>
              </w:rPr>
              <w:t>12348-2008）2类标准</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即昼间</w:t>
            </w:r>
            <w:r>
              <w:rPr>
                <w:rFonts w:hint="default" w:ascii="Times New Roman" w:hAnsi="Times New Roman" w:eastAsia="宋体" w:cs="Times New Roman"/>
                <w:b w:val="0"/>
                <w:bCs w:val="0"/>
                <w:color w:val="auto"/>
                <w:kern w:val="2"/>
                <w:sz w:val="24"/>
                <w:szCs w:val="24"/>
                <w:vertAlign w:val="baseline"/>
                <w:lang w:val="en-US" w:eastAsia="zh-CN" w:bidi="ar-SA"/>
              </w:rPr>
              <w:t>≤60</w:t>
            </w:r>
            <w:r>
              <w:rPr>
                <w:rFonts w:hint="default" w:ascii="Times New Roman" w:hAnsi="Times New Roman" w:eastAsia="宋体" w:cs="Times New Roman"/>
                <w:b w:val="0"/>
                <w:bCs w:val="0"/>
                <w:color w:val="auto"/>
                <w:sz w:val="24"/>
                <w:szCs w:val="24"/>
              </w:rPr>
              <w:t>dB(A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夜间</w:t>
            </w:r>
            <w:r>
              <w:rPr>
                <w:rFonts w:hint="default" w:ascii="Times New Roman" w:hAnsi="Times New Roman" w:eastAsia="宋体" w:cs="Times New Roman"/>
                <w:b w:val="0"/>
                <w:bCs w:val="0"/>
                <w:color w:val="auto"/>
                <w:kern w:val="2"/>
                <w:sz w:val="24"/>
                <w:szCs w:val="24"/>
                <w:vertAlign w:val="baseline"/>
                <w:lang w:val="en-US" w:eastAsia="zh-CN" w:bidi="ar-SA"/>
              </w:rPr>
              <w:t>≤50</w:t>
            </w:r>
            <w:r>
              <w:rPr>
                <w:rFonts w:hint="default" w:ascii="Times New Roman" w:hAnsi="Times New Roman" w:eastAsia="宋体" w:cs="Times New Roman"/>
                <w:b w:val="0"/>
                <w:bCs w:val="0"/>
                <w:color w:val="auto"/>
                <w:sz w:val="24"/>
                <w:szCs w:val="24"/>
              </w:rPr>
              <w:t>dB(A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w:t>
            </w:r>
          </w:p>
        </w:tc>
      </w:tr>
      <w:tr w14:paraId="0173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0" w:type="dxa"/>
            <w:noWrap w:val="0"/>
            <w:vAlign w:val="center"/>
          </w:tcPr>
          <w:p w14:paraId="0891DD1D">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7730" w:type="dxa"/>
            <w:gridSpan w:val="4"/>
            <w:noWrap w:val="0"/>
            <w:vAlign w:val="center"/>
          </w:tcPr>
          <w:p w14:paraId="5827E1BB">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p>
        </w:tc>
      </w:tr>
      <w:tr w14:paraId="13EE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70" w:type="dxa"/>
            <w:noWrap w:val="0"/>
            <w:vAlign w:val="center"/>
          </w:tcPr>
          <w:p w14:paraId="4EC06AE3">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7730" w:type="dxa"/>
            <w:gridSpan w:val="4"/>
            <w:noWrap w:val="0"/>
            <w:vAlign w:val="center"/>
          </w:tcPr>
          <w:p w14:paraId="154D1C89">
            <w:pPr>
              <w:keepNext w:val="0"/>
              <w:keepLines w:val="0"/>
              <w:pageBreakBefore w:val="0"/>
              <w:widowControl w:val="0"/>
              <w:kinsoku/>
              <w:wordWrap w:val="0"/>
              <w:overflowPunct/>
              <w:topLinePunct/>
              <w:autoSpaceDE/>
              <w:autoSpaceDN/>
              <w:bidi w:val="0"/>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①医疗废物</w:t>
            </w:r>
          </w:p>
          <w:p w14:paraId="00EA2C1C">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暂存于医废暂存</w:t>
            </w:r>
            <w:r>
              <w:rPr>
                <w:rFonts w:hint="eastAsia" w:ascii="Times New Roman" w:hAnsi="Times New Roman" w:eastAsia="宋体" w:cs="Times New Roman"/>
                <w:b w:val="0"/>
                <w:bCs w:val="0"/>
                <w:color w:val="auto"/>
                <w:kern w:val="2"/>
                <w:sz w:val="24"/>
                <w:szCs w:val="24"/>
                <w:highlight w:val="none"/>
                <w:lang w:val="en-US" w:eastAsia="zh-CN" w:bidi="ar-SA"/>
              </w:rPr>
              <w:t>间</w:t>
            </w:r>
            <w:r>
              <w:rPr>
                <w:rFonts w:hint="default" w:ascii="Times New Roman" w:hAnsi="Times New Roman" w:eastAsia="宋体" w:cs="Times New Roman"/>
                <w:b w:val="0"/>
                <w:bCs w:val="0"/>
                <w:color w:val="auto"/>
                <w:kern w:val="2"/>
                <w:sz w:val="24"/>
                <w:szCs w:val="24"/>
                <w:highlight w:val="none"/>
                <w:lang w:val="en-US" w:eastAsia="zh-CN" w:bidi="ar-SA"/>
              </w:rPr>
              <w:t>，委托有资质单位处置定期清运、处置。</w:t>
            </w:r>
          </w:p>
          <w:p w14:paraId="5BB81EF9">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②生活垃圾</w:t>
            </w:r>
          </w:p>
          <w:p w14:paraId="326A925A">
            <w:pPr>
              <w:keepNext w:val="0"/>
              <w:keepLines w:val="0"/>
              <w:pageBreakBefore w:val="0"/>
              <w:widowControl w:val="0"/>
              <w:tabs>
                <w:tab w:val="left" w:pos="6379"/>
              </w:tabs>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使用垃圾桶收集后委托环卫部门处置。</w:t>
            </w:r>
          </w:p>
          <w:p w14:paraId="32D358F9">
            <w:pPr>
              <w:keepNext w:val="0"/>
              <w:keepLines w:val="0"/>
              <w:pageBreakBefore w:val="0"/>
              <w:widowControl w:val="0"/>
              <w:tabs>
                <w:tab w:val="left" w:pos="6379"/>
              </w:tabs>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w:t>
            </w:r>
            <w:r>
              <w:rPr>
                <w:rFonts w:hint="eastAsia" w:ascii="Times New Roman" w:hAnsi="Times New Roman" w:eastAsia="宋体" w:cs="Times New Roman"/>
                <w:b w:val="0"/>
                <w:bCs w:val="0"/>
                <w:color w:val="auto"/>
                <w:kern w:val="2"/>
                <w:sz w:val="24"/>
                <w:szCs w:val="24"/>
                <w:highlight w:val="none"/>
                <w:lang w:val="en-US" w:eastAsia="zh-CN" w:bidi="ar-SA"/>
              </w:rPr>
              <w:t>水处理固废</w:t>
            </w:r>
          </w:p>
          <w:p w14:paraId="17713120">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委托有资质单位直接清掏处理，不再项目区内暂存。项目污水处理系统产生的污泥含有致病菌，清掏前采用投加石灰、漂白粉等药剂先进行消毒达到《医疗机构水污染物排放标准》GB18466-2005表4综合医疗机构污泥控制标准后，委托有资质单位清掏处理</w:t>
            </w:r>
            <w:r>
              <w:rPr>
                <w:rFonts w:hint="eastAsia" w:cs="Times New Roman"/>
                <w:b w:val="0"/>
                <w:bCs w:val="0"/>
                <w:color w:val="auto"/>
                <w:kern w:val="2"/>
                <w:sz w:val="24"/>
                <w:szCs w:val="24"/>
                <w:highlight w:val="none"/>
                <w:lang w:val="en-US" w:eastAsia="zh-CN" w:bidi="ar-SA"/>
              </w:rPr>
              <w:t>，不再项目区内暂存。</w:t>
            </w:r>
          </w:p>
          <w:p w14:paraId="6591297D">
            <w:pPr>
              <w:keepNext w:val="0"/>
              <w:keepLines w:val="0"/>
              <w:pageBreakBefore w:val="0"/>
              <w:widowControl w:val="0"/>
              <w:tabs>
                <w:tab w:val="left" w:pos="6379"/>
              </w:tabs>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④餐厨垃圾</w:t>
            </w:r>
          </w:p>
          <w:p w14:paraId="177362B9">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收集后委托有资质单位清运处理。</w:t>
            </w:r>
          </w:p>
          <w:p w14:paraId="6FD545E5">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⑤油水分离器油污</w:t>
            </w:r>
          </w:p>
          <w:p w14:paraId="42F7B89C">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委托有资质单位清运处理。</w:t>
            </w:r>
          </w:p>
          <w:p w14:paraId="70A9D50F">
            <w:pPr>
              <w:numPr>
                <w:ilvl w:val="0"/>
                <w:numId w:val="0"/>
              </w:numPr>
              <w:spacing w:line="360" w:lineRule="auto"/>
              <w:ind w:firstLine="480" w:firstLineChars="20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⑥药品废包装袋各类玻璃药瓶（未被感染性物质污染的玻璃液体瓶或药瓶）、纸箱纸盒、塑料包装物等</w:t>
            </w:r>
            <w:r>
              <w:rPr>
                <w:rFonts w:hint="default" w:ascii="Times New Roman" w:hAnsi="Times New Roman" w:eastAsia="宋体" w:cs="Times New Roman"/>
                <w:b w:val="0"/>
                <w:bCs w:val="0"/>
                <w:color w:val="auto"/>
                <w:kern w:val="2"/>
                <w:sz w:val="24"/>
                <w:szCs w:val="24"/>
                <w:highlight w:val="none"/>
                <w:lang w:val="en-US" w:eastAsia="zh-CN" w:bidi="ar-SA"/>
              </w:rPr>
              <w:t>属于一般固废，收集后能回收利用的外售给废品回收站</w:t>
            </w:r>
            <w:r>
              <w:rPr>
                <w:rFonts w:hint="eastAsia" w:ascii="Times New Roman" w:hAnsi="Times New Roman" w:eastAsia="宋体" w:cs="Times New Roman"/>
                <w:b w:val="0"/>
                <w:bCs w:val="0"/>
                <w:color w:val="auto"/>
                <w:kern w:val="2"/>
                <w:sz w:val="24"/>
                <w:szCs w:val="24"/>
                <w:highlight w:val="none"/>
                <w:lang w:val="en-US" w:eastAsia="zh-CN" w:bidi="ar-SA"/>
              </w:rPr>
              <w:t>。</w:t>
            </w:r>
          </w:p>
          <w:p w14:paraId="08F5B92A">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⑦废紫外灯管，产生的废灯管密封收集于医疗废物暂存间，定期由厂家回收统一处置。</w:t>
            </w:r>
          </w:p>
          <w:p w14:paraId="1C40A887">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⑧废矿物油，委托有资质单位清运处理。</w:t>
            </w:r>
          </w:p>
          <w:p w14:paraId="20F4CE7F">
            <w:pPr>
              <w:pStyle w:val="42"/>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综上，固废处置率100%。</w:t>
            </w:r>
          </w:p>
        </w:tc>
      </w:tr>
      <w:tr w14:paraId="6036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70" w:type="dxa"/>
            <w:noWrap w:val="0"/>
            <w:vAlign w:val="center"/>
          </w:tcPr>
          <w:p w14:paraId="433E730E">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730" w:type="dxa"/>
            <w:gridSpan w:val="4"/>
            <w:noWrap w:val="0"/>
            <w:vAlign w:val="center"/>
          </w:tcPr>
          <w:p w14:paraId="4669BA7F">
            <w:pPr>
              <w:pStyle w:val="42"/>
              <w:numPr>
                <w:ilvl w:val="0"/>
                <w:numId w:val="0"/>
              </w:numPr>
              <w:bidi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医废暂存间</w:t>
            </w:r>
            <w:r>
              <w:rPr>
                <w:rFonts w:hint="default" w:ascii="Times New Roman" w:hAnsi="Times New Roman" w:eastAsia="宋体" w:cs="Times New Roman"/>
                <w:color w:val="auto"/>
                <w:sz w:val="24"/>
                <w:szCs w:val="24"/>
              </w:rPr>
              <w:t>应进行防渗处理，采用厚度为200mm厚的水泥材料或其它防渗材料，确保渗透系数小于1.0×10</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宋体" w:cs="Times New Roman"/>
                <w:color w:val="auto"/>
                <w:sz w:val="24"/>
                <w:szCs w:val="24"/>
              </w:rPr>
              <w:t>cm/s，防止</w:t>
            </w:r>
            <w:r>
              <w:rPr>
                <w:rFonts w:hint="default" w:ascii="Times New Roman" w:hAnsi="Times New Roman" w:eastAsia="宋体" w:cs="Times New Roman"/>
                <w:color w:val="auto"/>
                <w:sz w:val="24"/>
                <w:szCs w:val="24"/>
                <w:lang w:eastAsia="zh-CN"/>
              </w:rPr>
              <w:t>液体危废</w:t>
            </w:r>
            <w:r>
              <w:rPr>
                <w:rFonts w:hint="default" w:ascii="Times New Roman" w:hAnsi="Times New Roman" w:eastAsia="宋体" w:cs="Times New Roman"/>
                <w:color w:val="auto"/>
                <w:sz w:val="24"/>
                <w:szCs w:val="24"/>
              </w:rPr>
              <w:t>下渗污染地下水水质</w:t>
            </w:r>
            <w:r>
              <w:rPr>
                <w:rFonts w:hint="default" w:ascii="Times New Roman" w:hAnsi="Times New Roman" w:eastAsia="宋体" w:cs="Times New Roman"/>
                <w:color w:val="auto"/>
                <w:sz w:val="24"/>
                <w:szCs w:val="24"/>
                <w:lang w:eastAsia="zh-CN"/>
              </w:rPr>
              <w:t>和土壤环境。</w:t>
            </w:r>
          </w:p>
        </w:tc>
      </w:tr>
      <w:tr w14:paraId="61A0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70" w:type="dxa"/>
            <w:noWrap w:val="0"/>
            <w:vAlign w:val="center"/>
          </w:tcPr>
          <w:p w14:paraId="6F85A8B5">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730" w:type="dxa"/>
            <w:gridSpan w:val="4"/>
            <w:noWrap w:val="0"/>
            <w:vAlign w:val="center"/>
          </w:tcPr>
          <w:p w14:paraId="12F05FB7">
            <w:pPr>
              <w:pStyle w:val="33"/>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项目用地范围内无生态环境敏感目标，项目运行后保证污染物的达标排放，基本对生态环境无较大影响。</w:t>
            </w:r>
          </w:p>
        </w:tc>
      </w:tr>
      <w:tr w14:paraId="0759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1070" w:type="dxa"/>
            <w:noWrap w:val="0"/>
            <w:vAlign w:val="center"/>
          </w:tcPr>
          <w:p w14:paraId="28012EB1">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环境风险防范措施</w:t>
            </w:r>
          </w:p>
        </w:tc>
        <w:tc>
          <w:tcPr>
            <w:tcW w:w="7730" w:type="dxa"/>
            <w:gridSpan w:val="4"/>
            <w:noWrap w:val="0"/>
            <w:vAlign w:val="center"/>
          </w:tcPr>
          <w:p w14:paraId="2DBEDC8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①项目设有1个</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的事故池，</w:t>
            </w:r>
            <w:r>
              <w:rPr>
                <w:rFonts w:hint="default" w:ascii="Times New Roman" w:hAnsi="Times New Roman" w:eastAsia="宋体" w:cs="Times New Roman"/>
                <w:color w:val="auto"/>
                <w:sz w:val="24"/>
                <w:szCs w:val="24"/>
              </w:rPr>
              <w:t>污水处理站故障时，首先关闭</w:t>
            </w:r>
            <w:r>
              <w:rPr>
                <w:rFonts w:hint="default" w:ascii="Times New Roman" w:hAnsi="Times New Roman" w:eastAsia="宋体" w:cs="Times New Roman"/>
                <w:color w:val="auto"/>
                <w:sz w:val="24"/>
                <w:szCs w:val="24"/>
                <w:lang w:val="en-US" w:eastAsia="zh-CN"/>
              </w:rPr>
              <w:t>污水处理站出水阀门</w:t>
            </w:r>
            <w:r>
              <w:rPr>
                <w:rFonts w:hint="default" w:ascii="Times New Roman" w:hAnsi="Times New Roman" w:eastAsia="宋体" w:cs="Times New Roman"/>
                <w:color w:val="auto"/>
                <w:sz w:val="24"/>
                <w:szCs w:val="24"/>
              </w:rPr>
              <w:t>，停止</w:t>
            </w:r>
            <w:r>
              <w:rPr>
                <w:rFonts w:hint="default" w:ascii="Times New Roman" w:hAnsi="Times New Roman" w:eastAsia="宋体" w:cs="Times New Roman"/>
                <w:color w:val="auto"/>
                <w:sz w:val="24"/>
                <w:szCs w:val="24"/>
                <w:lang w:val="en-US" w:eastAsia="zh-CN"/>
              </w:rPr>
              <w:t>排水</w:t>
            </w:r>
            <w:r>
              <w:rPr>
                <w:rFonts w:hint="default" w:ascii="Times New Roman" w:hAnsi="Times New Roman" w:eastAsia="宋体" w:cs="Times New Roman"/>
                <w:color w:val="auto"/>
                <w:sz w:val="24"/>
                <w:szCs w:val="24"/>
              </w:rPr>
              <w:t>，然后将污水处理设备内的污水抽至</w:t>
            </w:r>
            <w:r>
              <w:rPr>
                <w:rFonts w:hint="default" w:ascii="Times New Roman" w:hAnsi="Times New Roman" w:eastAsia="宋体" w:cs="Times New Roman"/>
                <w:color w:val="auto"/>
                <w:sz w:val="24"/>
                <w:szCs w:val="24"/>
                <w:lang w:val="en-US" w:eastAsia="zh-CN"/>
              </w:rPr>
              <w:t>事故池</w:t>
            </w:r>
            <w:r>
              <w:rPr>
                <w:rFonts w:hint="default" w:ascii="Times New Roman" w:hAnsi="Times New Roman" w:eastAsia="宋体" w:cs="Times New Roman"/>
                <w:color w:val="auto"/>
                <w:sz w:val="24"/>
                <w:szCs w:val="24"/>
              </w:rPr>
              <w:t>暂存，设备检修好后再进行处理。</w:t>
            </w:r>
          </w:p>
          <w:p w14:paraId="1A8AA296">
            <w:pPr>
              <w:pStyle w:val="13"/>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eastAsia="zh-CN"/>
              </w:rPr>
              <w:t>化粪池、污水处理站等污水收集处理设施进行防渗、防腐。</w:t>
            </w:r>
          </w:p>
          <w:p w14:paraId="1EDAC5C8">
            <w:pPr>
              <w:pStyle w:val="13"/>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③定期对污水处理设施进行维护和检修。</w:t>
            </w:r>
          </w:p>
          <w:p w14:paraId="5D539ABF">
            <w:pPr>
              <w:pStyle w:val="13"/>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④项目医疗废物暂存间内设有专门的分类收集包装物、容器。</w:t>
            </w:r>
          </w:p>
          <w:p w14:paraId="710D6010">
            <w:pPr>
              <w:pStyle w:val="13"/>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⑤项目医疗废物暂存间内应设置有截漏的裙角，利用地面与裙角之间所围建的容积对医疗废物暂存间内泄漏的物质进行收集。</w:t>
            </w:r>
          </w:p>
        </w:tc>
      </w:tr>
      <w:tr w14:paraId="7916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70" w:type="dxa"/>
            <w:noWrap w:val="0"/>
            <w:vAlign w:val="center"/>
          </w:tcPr>
          <w:p w14:paraId="54356958">
            <w:pPr>
              <w:pStyle w:val="4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其他环境管理要求</w:t>
            </w:r>
          </w:p>
        </w:tc>
        <w:tc>
          <w:tcPr>
            <w:tcW w:w="7730" w:type="dxa"/>
            <w:gridSpan w:val="4"/>
            <w:noWrap w:val="0"/>
            <w:vAlign w:val="center"/>
          </w:tcPr>
          <w:p w14:paraId="42F616E7">
            <w:pPr>
              <w:pStyle w:val="42"/>
              <w:bidi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1、加强生产管理和设备设施的日常维护及监控工作。</w:t>
            </w:r>
          </w:p>
          <w:p w14:paraId="7FE40AB5">
            <w:pPr>
              <w:pStyle w:val="42"/>
              <w:bidi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2、加强环保设施的维护检修，保障环保设施的处理效率。</w:t>
            </w:r>
          </w:p>
          <w:p w14:paraId="48244070">
            <w:pPr>
              <w:pStyle w:val="42"/>
              <w:bidi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3、建立、健全生产环保规章制度。</w:t>
            </w:r>
          </w:p>
          <w:p w14:paraId="2FCC8E33">
            <w:pPr>
              <w:pStyle w:val="42"/>
              <w:bidi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4、严格在岗人员操作管理。</w:t>
            </w:r>
          </w:p>
          <w:p w14:paraId="1E5199B6">
            <w:pPr>
              <w:pStyle w:val="33"/>
              <w:bidi w:val="0"/>
              <w:spacing w:line="360" w:lineRule="auto"/>
              <w:jc w:val="both"/>
              <w:rPr>
                <w:rFonts w:hint="default" w:ascii="Times New Roman" w:hAnsi="Times New Roman" w:eastAsia="宋体" w:cs="Times New Roman"/>
                <w:color w:val="auto"/>
                <w:sz w:val="24"/>
                <w:szCs w:val="24"/>
              </w:rPr>
            </w:pPr>
          </w:p>
          <w:p w14:paraId="0D862363">
            <w:pPr>
              <w:pStyle w:val="33"/>
              <w:bidi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p>
          <w:p w14:paraId="0924702D">
            <w:pPr>
              <w:pStyle w:val="33"/>
              <w:bidi w:val="0"/>
              <w:spacing w:line="360" w:lineRule="auto"/>
              <w:jc w:val="both"/>
              <w:rPr>
                <w:rFonts w:hint="default" w:ascii="Times New Roman" w:hAnsi="Times New Roman" w:eastAsia="宋体" w:cs="Times New Roman"/>
                <w:color w:val="auto"/>
                <w:sz w:val="24"/>
                <w:szCs w:val="24"/>
              </w:rPr>
            </w:pPr>
          </w:p>
          <w:p w14:paraId="034E20C4">
            <w:pPr>
              <w:pStyle w:val="33"/>
              <w:bidi w:val="0"/>
              <w:spacing w:line="360" w:lineRule="auto"/>
              <w:ind w:left="0" w:leftChars="0" w:firstLine="0" w:firstLineChars="0"/>
              <w:jc w:val="both"/>
              <w:rPr>
                <w:rFonts w:hint="default" w:ascii="Times New Roman" w:hAnsi="Times New Roman" w:eastAsia="宋体" w:cs="Times New Roman"/>
                <w:color w:val="auto"/>
                <w:sz w:val="24"/>
                <w:szCs w:val="24"/>
                <w:lang w:val="en-US" w:eastAsia="zh-CN"/>
              </w:rPr>
            </w:pPr>
          </w:p>
        </w:tc>
      </w:tr>
    </w:tbl>
    <w:p w14:paraId="6762B33A">
      <w:pPr>
        <w:pStyle w:val="22"/>
        <w:keepNext/>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lang w:val="en-US" w:eastAsia="zh-CN"/>
        </w:rPr>
      </w:pPr>
      <w:bookmarkStart w:id="22" w:name="_Toc1714"/>
      <w:r>
        <w:rPr>
          <w:rFonts w:hint="eastAsia" w:ascii="黑体" w:hAnsi="黑体" w:eastAsia="黑体" w:cs="Times New Roman"/>
          <w:snapToGrid w:val="0"/>
          <w:color w:val="auto"/>
          <w:sz w:val="30"/>
          <w:szCs w:val="30"/>
          <w:lang w:val="en-US" w:eastAsia="zh-CN"/>
        </w:rPr>
        <w:t>六、结论</w:t>
      </w:r>
      <w:bookmarkEnd w:id="2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00F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63F3C4C">
            <w:pPr>
              <w:spacing w:line="360" w:lineRule="auto"/>
              <w:ind w:firstLine="480" w:firstLineChars="200"/>
              <w:rPr>
                <w:rFonts w:hint="default" w:ascii="Times New Roman" w:hAnsi="Times New Roman" w:eastAsia="宋体" w:cs="Times New Roman"/>
                <w:color w:val="auto"/>
                <w:sz w:val="24"/>
                <w:szCs w:val="24"/>
              </w:rPr>
            </w:pPr>
          </w:p>
          <w:p w14:paraId="1C79A4F0">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本项目的建设符合国家产业政策，符合达标排放、总量控制和不降低当地环境功能的原则要求；环境影响预测分析结果表明，本项目建成后，对当地环境质量及主要关心点环境影响很小，符合国家法律法规要求。本项目在严格执行环境保护 “三同时”规定，严格进行环境管理，保证项目内的污水处理设施及其他环保设施的正常运行</w:t>
            </w:r>
            <w:r>
              <w:rPr>
                <w:rFonts w:hint="eastAsia" w:cs="Times New Roman"/>
                <w:color w:val="auto"/>
                <w:sz w:val="24"/>
                <w:szCs w:val="24"/>
                <w:lang w:eastAsia="zh-CN"/>
              </w:rPr>
              <w:t>，在</w:t>
            </w:r>
            <w:r>
              <w:rPr>
                <w:rFonts w:hint="default" w:ascii="Times New Roman" w:hAnsi="Times New Roman" w:eastAsia="宋体" w:cs="Times New Roman"/>
                <w:color w:val="auto"/>
                <w:sz w:val="24"/>
                <w:szCs w:val="24"/>
              </w:rPr>
              <w:t>污染物达标排放的条件下，对周围环境的影响较小。因此，本项目从环境保护角度论证，是可行的。</w:t>
            </w:r>
          </w:p>
          <w:p w14:paraId="63241F95">
            <w:pPr>
              <w:pStyle w:val="29"/>
              <w:widowControl w:val="0"/>
              <w:numPr>
                <w:ilvl w:val="0"/>
                <w:numId w:val="0"/>
              </w:numPr>
              <w:ind w:right="950" w:rightChars="0"/>
              <w:rPr>
                <w:rFonts w:hint="eastAsia"/>
                <w:color w:val="auto"/>
                <w:vertAlign w:val="baseline"/>
                <w:lang w:val="en-US" w:eastAsia="zh-CN"/>
              </w:rPr>
            </w:pPr>
          </w:p>
          <w:p w14:paraId="77C96614">
            <w:pPr>
              <w:rPr>
                <w:rFonts w:hint="eastAsia"/>
                <w:color w:val="auto"/>
                <w:vertAlign w:val="baseline"/>
                <w:lang w:val="en-US" w:eastAsia="zh-CN"/>
              </w:rPr>
            </w:pPr>
          </w:p>
          <w:p w14:paraId="1100F3A6">
            <w:pPr>
              <w:pStyle w:val="30"/>
              <w:rPr>
                <w:rFonts w:hint="eastAsia"/>
                <w:color w:val="auto"/>
                <w:vertAlign w:val="baseline"/>
                <w:lang w:val="en-US" w:eastAsia="zh-CN"/>
              </w:rPr>
            </w:pPr>
          </w:p>
          <w:p w14:paraId="185750A1">
            <w:pPr>
              <w:pStyle w:val="32"/>
              <w:rPr>
                <w:rFonts w:hint="eastAsia"/>
                <w:color w:val="auto"/>
                <w:vertAlign w:val="baseline"/>
                <w:lang w:val="en-US" w:eastAsia="zh-CN"/>
              </w:rPr>
            </w:pPr>
          </w:p>
          <w:p w14:paraId="18CD6A6E">
            <w:pPr>
              <w:pStyle w:val="32"/>
              <w:rPr>
                <w:rFonts w:hint="eastAsia"/>
                <w:color w:val="auto"/>
                <w:vertAlign w:val="baseline"/>
                <w:lang w:val="en-US" w:eastAsia="zh-CN"/>
              </w:rPr>
            </w:pPr>
          </w:p>
          <w:p w14:paraId="56FD89A8">
            <w:pPr>
              <w:pStyle w:val="32"/>
              <w:rPr>
                <w:rFonts w:hint="eastAsia"/>
                <w:color w:val="auto"/>
                <w:vertAlign w:val="baseline"/>
                <w:lang w:val="en-US" w:eastAsia="zh-CN"/>
              </w:rPr>
            </w:pPr>
          </w:p>
          <w:p w14:paraId="02FDBCA0">
            <w:pPr>
              <w:pStyle w:val="32"/>
              <w:rPr>
                <w:rFonts w:hint="eastAsia"/>
                <w:color w:val="auto"/>
                <w:vertAlign w:val="baseline"/>
                <w:lang w:val="en-US" w:eastAsia="zh-CN"/>
              </w:rPr>
            </w:pPr>
          </w:p>
          <w:p w14:paraId="19B9AA29">
            <w:pPr>
              <w:pStyle w:val="32"/>
              <w:rPr>
                <w:rFonts w:hint="eastAsia"/>
                <w:color w:val="auto"/>
                <w:vertAlign w:val="baseline"/>
                <w:lang w:val="en-US" w:eastAsia="zh-CN"/>
              </w:rPr>
            </w:pPr>
          </w:p>
          <w:p w14:paraId="631E25F8">
            <w:pPr>
              <w:pStyle w:val="32"/>
              <w:rPr>
                <w:rFonts w:hint="eastAsia"/>
                <w:color w:val="auto"/>
                <w:vertAlign w:val="baseline"/>
                <w:lang w:val="en-US" w:eastAsia="zh-CN"/>
              </w:rPr>
            </w:pPr>
          </w:p>
          <w:p w14:paraId="0BEB6851">
            <w:pPr>
              <w:pStyle w:val="32"/>
              <w:rPr>
                <w:rFonts w:hint="eastAsia"/>
                <w:color w:val="auto"/>
                <w:vertAlign w:val="baseline"/>
                <w:lang w:val="en-US" w:eastAsia="zh-CN"/>
              </w:rPr>
            </w:pPr>
          </w:p>
          <w:p w14:paraId="3DE8BE9A">
            <w:pPr>
              <w:pStyle w:val="32"/>
              <w:rPr>
                <w:rFonts w:hint="eastAsia"/>
                <w:color w:val="auto"/>
                <w:vertAlign w:val="baseline"/>
                <w:lang w:val="en-US" w:eastAsia="zh-CN"/>
              </w:rPr>
            </w:pPr>
          </w:p>
          <w:p w14:paraId="4293EA68">
            <w:pPr>
              <w:pStyle w:val="32"/>
              <w:rPr>
                <w:rFonts w:hint="eastAsia"/>
                <w:color w:val="auto"/>
                <w:vertAlign w:val="baseline"/>
                <w:lang w:val="en-US" w:eastAsia="zh-CN"/>
              </w:rPr>
            </w:pPr>
          </w:p>
          <w:p w14:paraId="4B466510">
            <w:pPr>
              <w:pStyle w:val="32"/>
              <w:rPr>
                <w:rFonts w:hint="eastAsia"/>
                <w:color w:val="auto"/>
                <w:vertAlign w:val="baseline"/>
                <w:lang w:val="en-US" w:eastAsia="zh-CN"/>
              </w:rPr>
            </w:pPr>
          </w:p>
          <w:p w14:paraId="2146A21C">
            <w:pPr>
              <w:pStyle w:val="32"/>
              <w:rPr>
                <w:rFonts w:hint="eastAsia"/>
                <w:color w:val="auto"/>
                <w:vertAlign w:val="baseline"/>
                <w:lang w:val="en-US" w:eastAsia="zh-CN"/>
              </w:rPr>
            </w:pPr>
          </w:p>
          <w:p w14:paraId="3831282F">
            <w:pPr>
              <w:pStyle w:val="32"/>
              <w:rPr>
                <w:rFonts w:hint="eastAsia"/>
                <w:color w:val="auto"/>
                <w:vertAlign w:val="baseline"/>
                <w:lang w:val="en-US" w:eastAsia="zh-CN"/>
              </w:rPr>
            </w:pPr>
          </w:p>
          <w:p w14:paraId="2FD71BCB">
            <w:pPr>
              <w:pStyle w:val="32"/>
              <w:rPr>
                <w:rFonts w:hint="eastAsia"/>
                <w:color w:val="auto"/>
                <w:vertAlign w:val="baseline"/>
                <w:lang w:val="en-US" w:eastAsia="zh-CN"/>
              </w:rPr>
            </w:pPr>
          </w:p>
          <w:p w14:paraId="3D6DE3E1">
            <w:pPr>
              <w:pStyle w:val="32"/>
              <w:rPr>
                <w:rFonts w:hint="eastAsia"/>
                <w:color w:val="auto"/>
                <w:vertAlign w:val="baseline"/>
                <w:lang w:val="en-US" w:eastAsia="zh-CN"/>
              </w:rPr>
            </w:pPr>
          </w:p>
          <w:p w14:paraId="446D81C1">
            <w:pPr>
              <w:pStyle w:val="32"/>
              <w:rPr>
                <w:rFonts w:hint="eastAsia"/>
                <w:color w:val="auto"/>
                <w:vertAlign w:val="baseline"/>
                <w:lang w:val="en-US" w:eastAsia="zh-CN"/>
              </w:rPr>
            </w:pPr>
          </w:p>
          <w:p w14:paraId="51B84DE8">
            <w:pPr>
              <w:pStyle w:val="32"/>
              <w:rPr>
                <w:rFonts w:hint="eastAsia"/>
                <w:color w:val="auto"/>
                <w:vertAlign w:val="baseline"/>
                <w:lang w:val="en-US" w:eastAsia="zh-CN"/>
              </w:rPr>
            </w:pPr>
          </w:p>
          <w:p w14:paraId="72B158DD">
            <w:pPr>
              <w:pStyle w:val="32"/>
              <w:ind w:left="0" w:leftChars="0" w:firstLine="0" w:firstLineChars="0"/>
              <w:rPr>
                <w:rFonts w:hint="eastAsia"/>
                <w:color w:val="auto"/>
                <w:vertAlign w:val="baseline"/>
                <w:lang w:val="en-US" w:eastAsia="zh-CN"/>
              </w:rPr>
            </w:pPr>
          </w:p>
          <w:p w14:paraId="144AB518">
            <w:pPr>
              <w:pStyle w:val="32"/>
              <w:rPr>
                <w:rFonts w:hint="eastAsia"/>
                <w:color w:val="auto"/>
                <w:vertAlign w:val="baseline"/>
                <w:lang w:val="en-US" w:eastAsia="zh-CN"/>
              </w:rPr>
            </w:pPr>
          </w:p>
          <w:p w14:paraId="5E68BF2D">
            <w:pPr>
              <w:pStyle w:val="32"/>
              <w:rPr>
                <w:rFonts w:hint="eastAsia"/>
                <w:color w:val="auto"/>
                <w:vertAlign w:val="baseline"/>
                <w:lang w:val="en-US" w:eastAsia="zh-CN"/>
              </w:rPr>
            </w:pPr>
          </w:p>
        </w:tc>
      </w:tr>
    </w:tbl>
    <w:p w14:paraId="61F990A0">
      <w:pPr>
        <w:pStyle w:val="29"/>
        <w:numPr>
          <w:ilvl w:val="0"/>
          <w:numId w:val="0"/>
        </w:numPr>
        <w:ind w:right="950" w:rightChars="0"/>
        <w:jc w:val="both"/>
        <w:rPr>
          <w:rFonts w:hint="eastAsia"/>
          <w:color w:val="auto"/>
          <w:lang w:val="en-US" w:eastAsia="zh-CN"/>
        </w:rPr>
        <w:sectPr>
          <w:footerReference r:id="rId6" w:type="default"/>
          <w:pgSz w:w="11906" w:h="16838"/>
          <w:pgMar w:top="1701" w:right="1531" w:bottom="1701"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769842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320" w:firstLineChars="100"/>
        <w:textAlignment w:val="auto"/>
        <w:outlineLvl w:val="0"/>
        <w:rPr>
          <w:rFonts w:ascii="黑体" w:hAnsi="黑体" w:eastAsia="黑体"/>
          <w:snapToGrid w:val="0"/>
          <w:color w:val="auto"/>
          <w:sz w:val="32"/>
          <w:szCs w:val="32"/>
        </w:rPr>
      </w:pPr>
      <w:bookmarkStart w:id="23" w:name="_Toc11580"/>
      <w:r>
        <w:rPr>
          <w:rFonts w:hint="eastAsia" w:ascii="黑体" w:hAnsi="黑体" w:eastAsia="黑体"/>
          <w:snapToGrid w:val="0"/>
          <w:color w:val="auto"/>
          <w:sz w:val="32"/>
          <w:szCs w:val="32"/>
        </w:rPr>
        <w:t>附表</w:t>
      </w:r>
      <w:bookmarkEnd w:id="23"/>
    </w:p>
    <w:p w14:paraId="6053107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黑体" w:hAnsi="黑体" w:eastAsia="黑体" w:cs="黑体"/>
          <w:b/>
          <w:bCs/>
          <w:snapToGrid w:val="0"/>
          <w:color w:val="auto"/>
          <w:sz w:val="30"/>
          <w:szCs w:val="30"/>
          <w:lang w:val="en-US" w:eastAsia="zh-CN"/>
        </w:rPr>
      </w:pPr>
      <w:bookmarkStart w:id="24" w:name="_Toc12927"/>
      <w:r>
        <w:rPr>
          <w:rFonts w:hint="eastAsia" w:ascii="黑体" w:hAnsi="黑体" w:eastAsia="黑体" w:cs="黑体"/>
          <w:b/>
          <w:bCs/>
          <w:snapToGrid w:val="0"/>
          <w:color w:val="auto"/>
          <w:sz w:val="30"/>
          <w:szCs w:val="30"/>
        </w:rPr>
        <w:t>建设项目污染物排放量汇总表</w:t>
      </w:r>
      <w:r>
        <w:rPr>
          <w:rFonts w:hint="eastAsia" w:ascii="黑体" w:hAnsi="黑体" w:eastAsia="黑体" w:cs="黑体"/>
          <w:b/>
          <w:bCs/>
          <w:snapToGrid w:val="0"/>
          <w:color w:val="auto"/>
          <w:sz w:val="30"/>
          <w:szCs w:val="30"/>
          <w:lang w:val="en-US" w:eastAsia="zh-CN"/>
        </w:rPr>
        <w:t xml:space="preserve">   单位：t/a</w:t>
      </w:r>
      <w:bookmarkEnd w:id="24"/>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023"/>
        <w:gridCol w:w="1610"/>
        <w:gridCol w:w="1003"/>
        <w:gridCol w:w="1701"/>
        <w:gridCol w:w="1559"/>
        <w:gridCol w:w="1390"/>
        <w:gridCol w:w="1669"/>
        <w:gridCol w:w="1487"/>
      </w:tblGrid>
      <w:tr w14:paraId="135B3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46" w:type="dxa"/>
            <w:tcBorders>
              <w:tl2br w:val="single" w:color="auto" w:sz="4" w:space="0"/>
            </w:tcBorders>
            <w:noWrap w:val="0"/>
            <w:tcMar>
              <w:left w:w="28" w:type="dxa"/>
              <w:right w:w="28" w:type="dxa"/>
            </w:tcMar>
            <w:vAlign w:val="center"/>
          </w:tcPr>
          <w:p w14:paraId="50D7C998">
            <w:pPr>
              <w:pStyle w:val="36"/>
              <w:keepNext w:val="0"/>
              <w:keepLines w:val="0"/>
              <w:pageBreakBefore w:val="0"/>
              <w:widowControl/>
              <w:kinsoku/>
              <w:wordWrap/>
              <w:overflowPunct/>
              <w:topLinePunct w:val="0"/>
              <w:autoSpaceDE/>
              <w:autoSpaceDN/>
              <w:bidi w:val="0"/>
              <w:spacing w:before="0" w:beforeLines="0" w:after="0" w:afterLines="0" w:line="240" w:lineRule="auto"/>
              <w:ind w:firstLine="0"/>
              <w:jc w:val="right"/>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项目</w:t>
            </w:r>
          </w:p>
          <w:p w14:paraId="108E4D8D">
            <w:pPr>
              <w:pStyle w:val="36"/>
              <w:keepNext w:val="0"/>
              <w:keepLines w:val="0"/>
              <w:pageBreakBefore w:val="0"/>
              <w:widowControl/>
              <w:kinsoku/>
              <w:wordWrap/>
              <w:overflowPunct/>
              <w:topLinePunct w:val="0"/>
              <w:autoSpaceDE/>
              <w:autoSpaceDN/>
              <w:bidi w:val="0"/>
              <w:spacing w:before="0" w:beforeLines="0" w:after="0" w:afterLines="0" w:line="240" w:lineRule="auto"/>
              <w:ind w:firstLine="0"/>
              <w:jc w:val="left"/>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分类</w:t>
            </w:r>
          </w:p>
        </w:tc>
        <w:tc>
          <w:tcPr>
            <w:tcW w:w="2023" w:type="dxa"/>
            <w:noWrap w:val="0"/>
            <w:tcMar>
              <w:left w:w="28" w:type="dxa"/>
              <w:right w:w="28" w:type="dxa"/>
            </w:tcMar>
            <w:vAlign w:val="center"/>
          </w:tcPr>
          <w:p w14:paraId="7C810755">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污染物名称</w:t>
            </w:r>
          </w:p>
        </w:tc>
        <w:tc>
          <w:tcPr>
            <w:tcW w:w="1610" w:type="dxa"/>
            <w:noWrap w:val="0"/>
            <w:tcMar>
              <w:left w:w="28" w:type="dxa"/>
              <w:right w:w="28" w:type="dxa"/>
            </w:tcMar>
            <w:vAlign w:val="center"/>
          </w:tcPr>
          <w:p w14:paraId="4A16D340">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6F0C113E">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①</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003" w:type="dxa"/>
            <w:noWrap w:val="0"/>
            <w:tcMar>
              <w:left w:w="28" w:type="dxa"/>
              <w:right w:w="28" w:type="dxa"/>
            </w:tcMar>
            <w:vAlign w:val="center"/>
          </w:tcPr>
          <w:p w14:paraId="28C4BC64">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35B06AA6">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许可排放量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snapToGrid w:val="0"/>
                <w:color w:val="auto"/>
                <w:spacing w:val="-6"/>
                <w:kern w:val="21"/>
                <w:sz w:val="24"/>
                <w:szCs w:val="24"/>
                <w:highlight w:val="none"/>
              </w:rPr>
              <w:t>②</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701" w:type="dxa"/>
            <w:noWrap w:val="0"/>
            <w:tcMar>
              <w:left w:w="28" w:type="dxa"/>
              <w:right w:w="28" w:type="dxa"/>
            </w:tcMar>
            <w:vAlign w:val="center"/>
          </w:tcPr>
          <w:p w14:paraId="45BEE790">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在建工程</w:t>
            </w:r>
          </w:p>
          <w:p w14:paraId="37FC03B5">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③</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559" w:type="dxa"/>
            <w:noWrap w:val="0"/>
            <w:tcMar>
              <w:left w:w="28" w:type="dxa"/>
              <w:right w:w="28" w:type="dxa"/>
            </w:tcMar>
            <w:vAlign w:val="center"/>
          </w:tcPr>
          <w:p w14:paraId="346A664A">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本项目</w:t>
            </w:r>
          </w:p>
          <w:p w14:paraId="704A6D4F">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④</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390" w:type="dxa"/>
            <w:noWrap w:val="0"/>
            <w:tcMar>
              <w:left w:w="28" w:type="dxa"/>
              <w:right w:w="28" w:type="dxa"/>
            </w:tcMar>
            <w:vAlign w:val="center"/>
          </w:tcPr>
          <w:p w14:paraId="7E5918AA">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以新带老削减量（新建项目不填）</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⑤</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669" w:type="dxa"/>
            <w:noWrap w:val="0"/>
            <w:tcMar>
              <w:left w:w="28" w:type="dxa"/>
              <w:right w:w="28" w:type="dxa"/>
            </w:tcMar>
            <w:vAlign w:val="center"/>
          </w:tcPr>
          <w:p w14:paraId="004A9175">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本项目建成后</w:t>
            </w:r>
          </w:p>
          <w:p w14:paraId="2D74B450">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全厂排放量（固体废物产生量）</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⑥</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487" w:type="dxa"/>
            <w:noWrap w:val="0"/>
            <w:tcMar>
              <w:left w:w="28" w:type="dxa"/>
              <w:right w:w="28" w:type="dxa"/>
            </w:tcMar>
            <w:vAlign w:val="center"/>
          </w:tcPr>
          <w:p w14:paraId="638D1213">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变化量</w:t>
            </w:r>
          </w:p>
          <w:p w14:paraId="48ED2CE2">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⑦</w:t>
            </w:r>
            <w:r>
              <w:rPr>
                <w:rFonts w:hint="default" w:ascii="Times New Roman" w:hAnsi="Times New Roman" w:eastAsia="宋体" w:cs="Times New Roman"/>
                <w:b/>
                <w:bCs/>
                <w:snapToGrid w:val="0"/>
                <w:color w:val="auto"/>
                <w:spacing w:val="-6"/>
                <w:kern w:val="21"/>
                <w:sz w:val="24"/>
                <w:szCs w:val="24"/>
                <w:highlight w:val="none"/>
              </w:rPr>
              <w:fldChar w:fldCharType="end"/>
            </w:r>
          </w:p>
        </w:tc>
      </w:tr>
      <w:tr w14:paraId="45163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346" w:type="dxa"/>
            <w:vMerge w:val="restart"/>
            <w:noWrap w:val="0"/>
            <w:vAlign w:val="center"/>
          </w:tcPr>
          <w:p w14:paraId="11C1411E">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val="0"/>
                <w:bCs w:val="0"/>
                <w:snapToGrid w:val="0"/>
                <w:color w:val="auto"/>
                <w:kern w:val="21"/>
                <w:sz w:val="24"/>
                <w:szCs w:val="24"/>
                <w:highlight w:val="none"/>
              </w:rPr>
            </w:pPr>
            <w:r>
              <w:rPr>
                <w:rFonts w:hint="default" w:ascii="Times New Roman" w:hAnsi="Times New Roman" w:eastAsia="宋体" w:cs="Times New Roman"/>
                <w:b w:val="0"/>
                <w:bCs w:val="0"/>
                <w:snapToGrid w:val="0"/>
                <w:color w:val="auto"/>
                <w:kern w:val="21"/>
                <w:sz w:val="24"/>
                <w:szCs w:val="24"/>
                <w:highlight w:val="none"/>
              </w:rPr>
              <w:t>废气</w:t>
            </w:r>
          </w:p>
        </w:tc>
        <w:tc>
          <w:tcPr>
            <w:tcW w:w="2023" w:type="dxa"/>
            <w:noWrap w:val="0"/>
            <w:vAlign w:val="center"/>
          </w:tcPr>
          <w:p w14:paraId="0233B54D">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color w:val="auto"/>
                <w:sz w:val="24"/>
                <w:szCs w:val="24"/>
                <w:highlight w:val="none"/>
              </w:rPr>
              <w:t>N</w:t>
            </w:r>
            <w:r>
              <w:rPr>
                <w:rFonts w:hint="default" w:ascii="Times New Roman" w:hAnsi="Times New Roman" w:eastAsia="宋体" w:cs="Times New Roman"/>
                <w:b w:val="0"/>
                <w:color w:val="auto"/>
                <w:sz w:val="24"/>
                <w:szCs w:val="24"/>
                <w:highlight w:val="none"/>
                <w:vertAlign w:val="baseline"/>
              </w:rPr>
              <w:t>H</w:t>
            </w:r>
            <w:r>
              <w:rPr>
                <w:rFonts w:hint="default" w:ascii="Times New Roman" w:hAnsi="Times New Roman" w:eastAsia="宋体" w:cs="Times New Roman"/>
                <w:b w:val="0"/>
                <w:color w:val="auto"/>
                <w:sz w:val="24"/>
                <w:szCs w:val="24"/>
                <w:highlight w:val="none"/>
                <w:vertAlign w:val="subscript"/>
              </w:rPr>
              <w:t>3</w:t>
            </w:r>
          </w:p>
        </w:tc>
        <w:tc>
          <w:tcPr>
            <w:tcW w:w="1610" w:type="dxa"/>
            <w:noWrap w:val="0"/>
            <w:vAlign w:val="center"/>
          </w:tcPr>
          <w:p w14:paraId="2A1F8877">
            <w:pPr>
              <w:pStyle w:val="42"/>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003" w:type="dxa"/>
            <w:noWrap w:val="0"/>
            <w:vAlign w:val="center"/>
          </w:tcPr>
          <w:p w14:paraId="44AD2B98">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3FCFBE9D">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23CD663D">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1.195</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p>
        </w:tc>
        <w:tc>
          <w:tcPr>
            <w:tcW w:w="1390" w:type="dxa"/>
            <w:noWrap w:val="0"/>
            <w:vAlign w:val="center"/>
          </w:tcPr>
          <w:p w14:paraId="5377A0D4">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0</w:t>
            </w:r>
          </w:p>
        </w:tc>
        <w:tc>
          <w:tcPr>
            <w:tcW w:w="1669" w:type="dxa"/>
            <w:noWrap w:val="0"/>
            <w:vAlign w:val="center"/>
          </w:tcPr>
          <w:p w14:paraId="43E7B602">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1.195</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p>
        </w:tc>
        <w:tc>
          <w:tcPr>
            <w:tcW w:w="1487" w:type="dxa"/>
            <w:noWrap w:val="0"/>
            <w:vAlign w:val="center"/>
          </w:tcPr>
          <w:p w14:paraId="77CFDB3A">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+1.195</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p>
        </w:tc>
      </w:tr>
      <w:tr w14:paraId="7DFDC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46" w:type="dxa"/>
            <w:vMerge w:val="continue"/>
            <w:noWrap w:val="0"/>
            <w:vAlign w:val="center"/>
          </w:tcPr>
          <w:p w14:paraId="0FC8BF84">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val="0"/>
                <w:bCs w:val="0"/>
                <w:snapToGrid w:val="0"/>
                <w:color w:val="auto"/>
                <w:kern w:val="21"/>
                <w:sz w:val="24"/>
                <w:szCs w:val="24"/>
                <w:highlight w:val="none"/>
              </w:rPr>
            </w:pPr>
          </w:p>
        </w:tc>
        <w:tc>
          <w:tcPr>
            <w:tcW w:w="2023" w:type="dxa"/>
            <w:noWrap w:val="0"/>
            <w:vAlign w:val="center"/>
          </w:tcPr>
          <w:p w14:paraId="61DF6F26">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color w:val="auto"/>
                <w:sz w:val="24"/>
                <w:szCs w:val="24"/>
                <w:highlight w:val="none"/>
              </w:rPr>
              <w:t>H</w:t>
            </w:r>
            <w:r>
              <w:rPr>
                <w:rFonts w:hint="default" w:ascii="Times New Roman" w:hAnsi="Times New Roman" w:eastAsia="宋体" w:cs="Times New Roman"/>
                <w:b w:val="0"/>
                <w:color w:val="auto"/>
                <w:sz w:val="24"/>
                <w:szCs w:val="24"/>
                <w:highlight w:val="none"/>
                <w:vertAlign w:val="subscript"/>
              </w:rPr>
              <w:t>2</w:t>
            </w:r>
            <w:r>
              <w:rPr>
                <w:rFonts w:hint="default" w:ascii="Times New Roman" w:hAnsi="Times New Roman" w:eastAsia="宋体" w:cs="Times New Roman"/>
                <w:b w:val="0"/>
                <w:color w:val="auto"/>
                <w:sz w:val="24"/>
                <w:szCs w:val="24"/>
                <w:highlight w:val="none"/>
              </w:rPr>
              <w:t>S</w:t>
            </w:r>
          </w:p>
        </w:tc>
        <w:tc>
          <w:tcPr>
            <w:tcW w:w="1610" w:type="dxa"/>
            <w:noWrap w:val="0"/>
            <w:vAlign w:val="center"/>
          </w:tcPr>
          <w:p w14:paraId="706F3196">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003" w:type="dxa"/>
            <w:noWrap w:val="0"/>
            <w:vAlign w:val="center"/>
          </w:tcPr>
          <w:p w14:paraId="1F42F56B">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5966B965">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6CA307C0">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4.6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p>
        </w:tc>
        <w:tc>
          <w:tcPr>
            <w:tcW w:w="1390" w:type="dxa"/>
            <w:noWrap w:val="0"/>
            <w:vAlign w:val="center"/>
          </w:tcPr>
          <w:p w14:paraId="5991A559">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669" w:type="dxa"/>
            <w:noWrap w:val="0"/>
            <w:vAlign w:val="center"/>
          </w:tcPr>
          <w:p w14:paraId="72BCD49A">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p>
        </w:tc>
        <w:tc>
          <w:tcPr>
            <w:tcW w:w="1487" w:type="dxa"/>
            <w:noWrap w:val="0"/>
            <w:vAlign w:val="center"/>
          </w:tcPr>
          <w:p w14:paraId="7C6F0438">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p>
        </w:tc>
      </w:tr>
      <w:tr w14:paraId="34329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346" w:type="dxa"/>
            <w:vMerge w:val="restart"/>
            <w:noWrap w:val="0"/>
            <w:vAlign w:val="center"/>
          </w:tcPr>
          <w:p w14:paraId="4222F024">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b w:val="0"/>
                <w:bCs w:val="0"/>
                <w:snapToGrid w:val="0"/>
                <w:color w:val="auto"/>
                <w:kern w:val="21"/>
                <w:sz w:val="24"/>
                <w:szCs w:val="24"/>
                <w:highlight w:val="none"/>
              </w:rPr>
            </w:pPr>
            <w:r>
              <w:rPr>
                <w:rFonts w:hint="default" w:ascii="Times New Roman" w:hAnsi="Times New Roman" w:eastAsia="宋体" w:cs="Times New Roman"/>
                <w:b w:val="0"/>
                <w:bCs w:val="0"/>
                <w:snapToGrid w:val="0"/>
                <w:color w:val="auto"/>
                <w:kern w:val="21"/>
                <w:sz w:val="24"/>
                <w:szCs w:val="24"/>
                <w:highlight w:val="none"/>
              </w:rPr>
              <w:t>废水</w:t>
            </w:r>
          </w:p>
        </w:tc>
        <w:tc>
          <w:tcPr>
            <w:tcW w:w="2023" w:type="dxa"/>
            <w:noWrap w:val="0"/>
            <w:vAlign w:val="center"/>
          </w:tcPr>
          <w:p w14:paraId="5C35B88E">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废水量</w:t>
            </w:r>
          </w:p>
        </w:tc>
        <w:tc>
          <w:tcPr>
            <w:tcW w:w="1610" w:type="dxa"/>
            <w:noWrap w:val="0"/>
            <w:vAlign w:val="center"/>
          </w:tcPr>
          <w:p w14:paraId="3A66B19B">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24B96071">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0D13F7A2">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4CCF7C35">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11143.2445</w:t>
            </w:r>
          </w:p>
        </w:tc>
        <w:tc>
          <w:tcPr>
            <w:tcW w:w="1390" w:type="dxa"/>
            <w:noWrap w:val="0"/>
            <w:vAlign w:val="center"/>
          </w:tcPr>
          <w:p w14:paraId="3290B26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669" w:type="dxa"/>
            <w:noWrap w:val="0"/>
            <w:vAlign w:val="center"/>
          </w:tcPr>
          <w:p w14:paraId="4BB0EE02">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11143.2445</w:t>
            </w:r>
          </w:p>
        </w:tc>
        <w:tc>
          <w:tcPr>
            <w:tcW w:w="1487" w:type="dxa"/>
            <w:noWrap w:val="0"/>
            <w:vAlign w:val="center"/>
          </w:tcPr>
          <w:p w14:paraId="5CBF26E1">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+11143.2445</w:t>
            </w:r>
          </w:p>
        </w:tc>
      </w:tr>
      <w:tr w14:paraId="3BAC7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346" w:type="dxa"/>
            <w:vMerge w:val="continue"/>
            <w:noWrap w:val="0"/>
            <w:vAlign w:val="center"/>
          </w:tcPr>
          <w:p w14:paraId="7BA22FC8">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yellow"/>
              </w:rPr>
            </w:pPr>
          </w:p>
        </w:tc>
        <w:tc>
          <w:tcPr>
            <w:tcW w:w="2023" w:type="dxa"/>
            <w:noWrap w:val="0"/>
            <w:vAlign w:val="center"/>
          </w:tcPr>
          <w:p w14:paraId="06A36B88">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color w:val="auto"/>
                <w:sz w:val="24"/>
                <w:szCs w:val="24"/>
                <w:highlight w:val="none"/>
              </w:rPr>
              <w:t>COD</w:t>
            </w:r>
            <w:r>
              <w:rPr>
                <w:rFonts w:hint="default" w:ascii="Times New Roman" w:hAnsi="Times New Roman" w:eastAsia="宋体" w:cs="Times New Roman"/>
                <w:color w:val="auto"/>
                <w:sz w:val="24"/>
                <w:szCs w:val="24"/>
                <w:highlight w:val="none"/>
                <w:vertAlign w:val="subscript"/>
              </w:rPr>
              <w:t>Cr</w:t>
            </w:r>
          </w:p>
        </w:tc>
        <w:tc>
          <w:tcPr>
            <w:tcW w:w="1610" w:type="dxa"/>
            <w:noWrap w:val="0"/>
            <w:vAlign w:val="center"/>
          </w:tcPr>
          <w:p w14:paraId="6332F8B3">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003" w:type="dxa"/>
            <w:noWrap w:val="0"/>
            <w:vAlign w:val="center"/>
          </w:tcPr>
          <w:p w14:paraId="3FE1C9D1">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701" w:type="dxa"/>
            <w:noWrap w:val="0"/>
            <w:vAlign w:val="center"/>
          </w:tcPr>
          <w:p w14:paraId="2C17C90E">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559" w:type="dxa"/>
            <w:noWrap w:val="0"/>
            <w:vAlign w:val="center"/>
          </w:tcPr>
          <w:p w14:paraId="018AB7A2">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1390" w:type="dxa"/>
            <w:noWrap w:val="0"/>
            <w:vAlign w:val="center"/>
          </w:tcPr>
          <w:p w14:paraId="6B35A78B">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10D54094">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1487" w:type="dxa"/>
            <w:noWrap w:val="0"/>
            <w:vAlign w:val="center"/>
          </w:tcPr>
          <w:p w14:paraId="7B1189D0">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+0.1</w:t>
            </w:r>
          </w:p>
        </w:tc>
      </w:tr>
      <w:tr w14:paraId="0B377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346" w:type="dxa"/>
            <w:vMerge w:val="continue"/>
            <w:noWrap w:val="0"/>
            <w:vAlign w:val="center"/>
          </w:tcPr>
          <w:p w14:paraId="35F072F5">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yellow"/>
              </w:rPr>
            </w:pPr>
          </w:p>
        </w:tc>
        <w:tc>
          <w:tcPr>
            <w:tcW w:w="2023" w:type="dxa"/>
            <w:noWrap w:val="0"/>
            <w:vAlign w:val="center"/>
          </w:tcPr>
          <w:p w14:paraId="218897BC">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color w:val="auto"/>
                <w:sz w:val="24"/>
                <w:szCs w:val="24"/>
                <w:highlight w:val="none"/>
              </w:rPr>
              <w:t>BOD</w:t>
            </w:r>
            <w:r>
              <w:rPr>
                <w:rFonts w:hint="default" w:ascii="Times New Roman" w:hAnsi="Times New Roman" w:eastAsia="宋体" w:cs="Times New Roman"/>
                <w:color w:val="auto"/>
                <w:sz w:val="24"/>
                <w:szCs w:val="24"/>
                <w:highlight w:val="none"/>
                <w:vertAlign w:val="subscript"/>
              </w:rPr>
              <w:t>5</w:t>
            </w:r>
          </w:p>
        </w:tc>
        <w:tc>
          <w:tcPr>
            <w:tcW w:w="1610" w:type="dxa"/>
            <w:noWrap w:val="0"/>
            <w:vAlign w:val="center"/>
          </w:tcPr>
          <w:p w14:paraId="4B19DEAB">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003" w:type="dxa"/>
            <w:noWrap w:val="0"/>
            <w:vAlign w:val="center"/>
          </w:tcPr>
          <w:p w14:paraId="6624CFFC">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701" w:type="dxa"/>
            <w:noWrap w:val="0"/>
            <w:vAlign w:val="center"/>
          </w:tcPr>
          <w:p w14:paraId="3AD4D0DA">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559" w:type="dxa"/>
            <w:noWrap w:val="0"/>
            <w:vAlign w:val="center"/>
          </w:tcPr>
          <w:p w14:paraId="35AAC965">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0.044</w:t>
            </w:r>
          </w:p>
        </w:tc>
        <w:tc>
          <w:tcPr>
            <w:tcW w:w="1390" w:type="dxa"/>
            <w:noWrap w:val="0"/>
            <w:vAlign w:val="center"/>
          </w:tcPr>
          <w:p w14:paraId="238DCF0D">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116F6AD9">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0.045</w:t>
            </w:r>
          </w:p>
        </w:tc>
        <w:tc>
          <w:tcPr>
            <w:tcW w:w="1487" w:type="dxa"/>
            <w:noWrap w:val="0"/>
            <w:vAlign w:val="center"/>
          </w:tcPr>
          <w:p w14:paraId="48715509">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+0.044</w:t>
            </w:r>
          </w:p>
        </w:tc>
      </w:tr>
      <w:tr w14:paraId="73BF1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46" w:type="dxa"/>
            <w:vMerge w:val="continue"/>
            <w:noWrap w:val="0"/>
            <w:vAlign w:val="center"/>
          </w:tcPr>
          <w:p w14:paraId="180FB908">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yellow"/>
              </w:rPr>
            </w:pPr>
          </w:p>
        </w:tc>
        <w:tc>
          <w:tcPr>
            <w:tcW w:w="2023" w:type="dxa"/>
            <w:noWrap w:val="0"/>
            <w:vAlign w:val="center"/>
          </w:tcPr>
          <w:p w14:paraId="7F1D7743">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 w:val="0"/>
                <w:bCs/>
                <w:color w:val="auto"/>
                <w:sz w:val="24"/>
                <w:szCs w:val="24"/>
              </w:rPr>
              <w:t>NH</w:t>
            </w:r>
            <w:r>
              <w:rPr>
                <w:rFonts w:hint="default" w:ascii="Times New Roman" w:hAnsi="Times New Roman" w:cs="Times New Roman"/>
                <w:b w:val="0"/>
                <w:bCs/>
                <w:color w:val="auto"/>
                <w:sz w:val="24"/>
                <w:szCs w:val="24"/>
                <w:vertAlign w:val="subscript"/>
              </w:rPr>
              <w:t>3</w:t>
            </w:r>
            <w:r>
              <w:rPr>
                <w:rFonts w:hint="default" w:ascii="Times New Roman" w:hAnsi="Times New Roman" w:cs="Times New Roman"/>
                <w:b w:val="0"/>
                <w:bCs/>
                <w:color w:val="auto"/>
                <w:sz w:val="24"/>
                <w:szCs w:val="24"/>
              </w:rPr>
              <w:t>-N</w:t>
            </w:r>
          </w:p>
        </w:tc>
        <w:tc>
          <w:tcPr>
            <w:tcW w:w="1610" w:type="dxa"/>
            <w:noWrap w:val="0"/>
            <w:vAlign w:val="center"/>
          </w:tcPr>
          <w:p w14:paraId="10A5EF99">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003" w:type="dxa"/>
            <w:noWrap w:val="0"/>
            <w:vAlign w:val="center"/>
          </w:tcPr>
          <w:p w14:paraId="1766EB33">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6EE98D01">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6A1EA6C9">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0.08</w:t>
            </w:r>
          </w:p>
        </w:tc>
        <w:tc>
          <w:tcPr>
            <w:tcW w:w="1390" w:type="dxa"/>
            <w:noWrap w:val="0"/>
            <w:vAlign w:val="center"/>
          </w:tcPr>
          <w:p w14:paraId="34C46C84">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6B4B9DA4">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0.08</w:t>
            </w:r>
          </w:p>
        </w:tc>
        <w:tc>
          <w:tcPr>
            <w:tcW w:w="1487" w:type="dxa"/>
            <w:noWrap w:val="0"/>
            <w:vAlign w:val="center"/>
          </w:tcPr>
          <w:p w14:paraId="41C6D275">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+0.08</w:t>
            </w:r>
          </w:p>
        </w:tc>
      </w:tr>
      <w:tr w14:paraId="354DC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restart"/>
            <w:noWrap w:val="0"/>
            <w:vAlign w:val="center"/>
          </w:tcPr>
          <w:p w14:paraId="3A97BAAD">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一般</w:t>
            </w:r>
            <w:r>
              <w:rPr>
                <w:rFonts w:hint="eastAsia" w:cs="Times New Roman"/>
                <w:snapToGrid w:val="0"/>
                <w:color w:val="auto"/>
                <w:kern w:val="21"/>
                <w:sz w:val="24"/>
                <w:szCs w:val="24"/>
                <w:highlight w:val="none"/>
                <w:lang w:val="en-US" w:eastAsia="zh-CN"/>
              </w:rPr>
              <w:t>固</w:t>
            </w:r>
            <w:r>
              <w:rPr>
                <w:rFonts w:hint="default" w:ascii="Times New Roman" w:hAnsi="Times New Roman" w:eastAsia="宋体" w:cs="Times New Roman"/>
                <w:snapToGrid w:val="0"/>
                <w:color w:val="auto"/>
                <w:kern w:val="21"/>
                <w:sz w:val="24"/>
                <w:szCs w:val="24"/>
                <w:highlight w:val="none"/>
              </w:rPr>
              <w:t>废</w:t>
            </w:r>
          </w:p>
        </w:tc>
        <w:tc>
          <w:tcPr>
            <w:tcW w:w="2023" w:type="dxa"/>
            <w:noWrap w:val="0"/>
            <w:vAlign w:val="center"/>
          </w:tcPr>
          <w:p w14:paraId="0B557F3B">
            <w:pPr>
              <w:keepNext w:val="0"/>
              <w:keepLines w:val="0"/>
              <w:pageBreakBefore w:val="0"/>
              <w:widowControl/>
              <w:suppressLineNumbers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lang w:val="en-US" w:eastAsia="zh-CN"/>
              </w:rPr>
              <w:t>药品废包装</w:t>
            </w:r>
            <w:r>
              <w:rPr>
                <w:rFonts w:hint="eastAsia" w:cs="Times New Roman"/>
                <w:snapToGrid w:val="0"/>
                <w:color w:val="auto"/>
                <w:kern w:val="21"/>
                <w:sz w:val="24"/>
                <w:szCs w:val="24"/>
                <w:highlight w:val="none"/>
                <w:lang w:val="en-US" w:eastAsia="zh-CN"/>
              </w:rPr>
              <w:t>（</w:t>
            </w:r>
            <w:r>
              <w:rPr>
                <w:rFonts w:hint="default" w:ascii="Times New Roman" w:hAnsi="Times New Roman" w:eastAsia="宋体" w:cs="Times New Roman"/>
                <w:color w:val="auto"/>
                <w:sz w:val="24"/>
                <w:szCs w:val="24"/>
                <w:lang w:val="en-US" w:eastAsia="zh-CN"/>
              </w:rPr>
              <w:t>未</w:t>
            </w:r>
            <w:r>
              <w:rPr>
                <w:rFonts w:hint="eastAsia" w:eastAsia="宋体" w:cs="Times New Roman"/>
                <w:color w:val="auto"/>
                <w:sz w:val="24"/>
                <w:szCs w:val="24"/>
                <w:lang w:val="en-US" w:eastAsia="zh-CN"/>
              </w:rPr>
              <w:t>沾染</w:t>
            </w:r>
            <w:r>
              <w:rPr>
                <w:rFonts w:hint="default" w:ascii="Times New Roman" w:hAnsi="Times New Roman" w:eastAsia="宋体" w:cs="Times New Roman"/>
                <w:color w:val="auto"/>
                <w:sz w:val="24"/>
                <w:szCs w:val="24"/>
                <w:lang w:val="en-US" w:eastAsia="zh-CN"/>
              </w:rPr>
              <w:t>感染性</w:t>
            </w:r>
            <w:r>
              <w:rPr>
                <w:rFonts w:hint="eastAsia" w:eastAsia="宋体" w:cs="Times New Roman"/>
                <w:color w:val="auto"/>
                <w:sz w:val="24"/>
                <w:szCs w:val="24"/>
                <w:lang w:val="en-US" w:eastAsia="zh-CN"/>
              </w:rPr>
              <w:t>物质</w:t>
            </w:r>
            <w:r>
              <w:rPr>
                <w:rFonts w:hint="eastAsia" w:cs="Times New Roman"/>
                <w:snapToGrid w:val="0"/>
                <w:color w:val="auto"/>
                <w:kern w:val="21"/>
                <w:sz w:val="24"/>
                <w:szCs w:val="24"/>
                <w:highlight w:val="none"/>
                <w:lang w:val="en-US" w:eastAsia="zh-CN"/>
              </w:rPr>
              <w:t>）</w:t>
            </w:r>
          </w:p>
        </w:tc>
        <w:tc>
          <w:tcPr>
            <w:tcW w:w="1610" w:type="dxa"/>
            <w:noWrap w:val="0"/>
            <w:vAlign w:val="center"/>
          </w:tcPr>
          <w:p w14:paraId="7CD78150">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5A66C064">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701" w:type="dxa"/>
            <w:noWrap w:val="0"/>
            <w:vAlign w:val="center"/>
          </w:tcPr>
          <w:p w14:paraId="6838313F">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67DB89B2">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1.825</w:t>
            </w:r>
          </w:p>
        </w:tc>
        <w:tc>
          <w:tcPr>
            <w:tcW w:w="1390" w:type="dxa"/>
            <w:noWrap w:val="0"/>
            <w:vAlign w:val="center"/>
          </w:tcPr>
          <w:p w14:paraId="56E9C548">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74E04E34">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1.825</w:t>
            </w:r>
          </w:p>
        </w:tc>
        <w:tc>
          <w:tcPr>
            <w:tcW w:w="1487" w:type="dxa"/>
            <w:noWrap w:val="0"/>
            <w:vAlign w:val="center"/>
          </w:tcPr>
          <w:p w14:paraId="055978D2">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1.825</w:t>
            </w:r>
          </w:p>
        </w:tc>
      </w:tr>
      <w:tr w14:paraId="4569C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continue"/>
            <w:noWrap w:val="0"/>
            <w:vAlign w:val="center"/>
          </w:tcPr>
          <w:p w14:paraId="1B949A03">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none"/>
              </w:rPr>
            </w:pPr>
          </w:p>
        </w:tc>
        <w:tc>
          <w:tcPr>
            <w:tcW w:w="2023" w:type="dxa"/>
            <w:noWrap w:val="0"/>
            <w:vAlign w:val="center"/>
          </w:tcPr>
          <w:p w14:paraId="6B417657">
            <w:pPr>
              <w:keepNext w:val="0"/>
              <w:keepLines w:val="0"/>
              <w:pageBreakBefore w:val="0"/>
              <w:widowControl/>
              <w:suppressLineNumbers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餐厨垃圾</w:t>
            </w:r>
          </w:p>
        </w:tc>
        <w:tc>
          <w:tcPr>
            <w:tcW w:w="1610" w:type="dxa"/>
            <w:noWrap w:val="0"/>
            <w:vAlign w:val="center"/>
          </w:tcPr>
          <w:p w14:paraId="04D988C8">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6FC0C3D9">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0E5D2503">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4D3F495E">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11.446</w:t>
            </w:r>
          </w:p>
        </w:tc>
        <w:tc>
          <w:tcPr>
            <w:tcW w:w="1390" w:type="dxa"/>
            <w:noWrap w:val="0"/>
            <w:vAlign w:val="center"/>
          </w:tcPr>
          <w:p w14:paraId="1595CD9D">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1F8FBEFC">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11.446</w:t>
            </w:r>
          </w:p>
        </w:tc>
        <w:tc>
          <w:tcPr>
            <w:tcW w:w="1487" w:type="dxa"/>
            <w:noWrap w:val="0"/>
            <w:vAlign w:val="center"/>
          </w:tcPr>
          <w:p w14:paraId="2112F0FB">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11.446</w:t>
            </w:r>
          </w:p>
        </w:tc>
      </w:tr>
      <w:tr w14:paraId="1F885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continue"/>
            <w:noWrap w:val="0"/>
            <w:vAlign w:val="center"/>
          </w:tcPr>
          <w:p w14:paraId="18DF83C7">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none"/>
              </w:rPr>
            </w:pPr>
          </w:p>
        </w:tc>
        <w:tc>
          <w:tcPr>
            <w:tcW w:w="2023" w:type="dxa"/>
            <w:noWrap w:val="0"/>
            <w:vAlign w:val="center"/>
          </w:tcPr>
          <w:p w14:paraId="58C256C1">
            <w:pPr>
              <w:keepNext w:val="0"/>
              <w:keepLines w:val="0"/>
              <w:pageBreakBefore w:val="0"/>
              <w:widowControl/>
              <w:suppressLineNumbers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油水分离器油污</w:t>
            </w:r>
          </w:p>
        </w:tc>
        <w:tc>
          <w:tcPr>
            <w:tcW w:w="1610" w:type="dxa"/>
            <w:noWrap w:val="0"/>
            <w:vAlign w:val="center"/>
          </w:tcPr>
          <w:p w14:paraId="4989244B">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409ADEE5">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3470CF62">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04289606">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0.035</w:t>
            </w:r>
          </w:p>
        </w:tc>
        <w:tc>
          <w:tcPr>
            <w:tcW w:w="1390" w:type="dxa"/>
            <w:noWrap w:val="0"/>
            <w:vAlign w:val="center"/>
          </w:tcPr>
          <w:p w14:paraId="1994A9A7">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358D5603">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0.035</w:t>
            </w:r>
          </w:p>
        </w:tc>
        <w:tc>
          <w:tcPr>
            <w:tcW w:w="1487" w:type="dxa"/>
            <w:noWrap w:val="0"/>
            <w:vAlign w:val="center"/>
          </w:tcPr>
          <w:p w14:paraId="64595880">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0.035</w:t>
            </w:r>
          </w:p>
        </w:tc>
      </w:tr>
      <w:tr w14:paraId="564ED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noWrap w:val="0"/>
            <w:vAlign w:val="center"/>
          </w:tcPr>
          <w:p w14:paraId="205F4D5F">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生活垃圾</w:t>
            </w:r>
          </w:p>
        </w:tc>
        <w:tc>
          <w:tcPr>
            <w:tcW w:w="2023" w:type="dxa"/>
            <w:noWrap w:val="0"/>
            <w:vAlign w:val="center"/>
          </w:tcPr>
          <w:p w14:paraId="605320F1">
            <w:pPr>
              <w:keepNext w:val="0"/>
              <w:keepLines w:val="0"/>
              <w:pageBreakBefore w:val="0"/>
              <w:widowControl/>
              <w:suppressLineNumbers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生活垃圾</w:t>
            </w:r>
          </w:p>
        </w:tc>
        <w:tc>
          <w:tcPr>
            <w:tcW w:w="1610" w:type="dxa"/>
            <w:noWrap w:val="0"/>
            <w:vAlign w:val="center"/>
          </w:tcPr>
          <w:p w14:paraId="11917611">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4464CAD5">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1745115B">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0B36567B">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pacing w:val="4"/>
                <w:kern w:val="24"/>
                <w:sz w:val="24"/>
                <w:szCs w:val="24"/>
                <w:vertAlign w:val="baseline"/>
                <w:lang w:val="en-US" w:eastAsia="zh-CN" w:bidi="ar-SA"/>
              </w:rPr>
              <w:t>24.321</w:t>
            </w:r>
          </w:p>
        </w:tc>
        <w:tc>
          <w:tcPr>
            <w:tcW w:w="1390" w:type="dxa"/>
            <w:noWrap w:val="0"/>
            <w:vAlign w:val="center"/>
          </w:tcPr>
          <w:p w14:paraId="04E637FB">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45DE0717">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pacing w:val="4"/>
                <w:kern w:val="24"/>
                <w:sz w:val="24"/>
                <w:szCs w:val="24"/>
                <w:vertAlign w:val="baseline"/>
                <w:lang w:val="en-US" w:eastAsia="zh-CN" w:bidi="ar-SA"/>
              </w:rPr>
              <w:t>24.321</w:t>
            </w:r>
          </w:p>
        </w:tc>
        <w:tc>
          <w:tcPr>
            <w:tcW w:w="1487" w:type="dxa"/>
            <w:noWrap w:val="0"/>
            <w:vAlign w:val="center"/>
          </w:tcPr>
          <w:p w14:paraId="4723DA1A">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pacing w:val="4"/>
                <w:kern w:val="24"/>
                <w:sz w:val="24"/>
                <w:szCs w:val="24"/>
                <w:vertAlign w:val="baseline"/>
                <w:lang w:val="en-US" w:eastAsia="zh-CN" w:bidi="ar-SA"/>
              </w:rPr>
              <w:t>24.321</w:t>
            </w:r>
          </w:p>
        </w:tc>
      </w:tr>
      <w:tr w14:paraId="2AB9A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restart"/>
            <w:noWrap w:val="0"/>
            <w:vAlign w:val="center"/>
          </w:tcPr>
          <w:p w14:paraId="36E6D61D">
            <w:pPr>
              <w:pStyle w:val="36"/>
              <w:keepNext w:val="0"/>
              <w:keepLines w:val="0"/>
              <w:pageBreakBefore w:val="0"/>
              <w:widowControl/>
              <w:kinsoku/>
              <w:wordWrap/>
              <w:overflowPunct/>
              <w:topLinePunct w:val="0"/>
              <w:autoSpaceDE/>
              <w:autoSpaceDN/>
              <w:bidi w:val="0"/>
              <w:spacing w:before="0" w:beforeLines="0" w:after="0" w:afterLines="0" w:line="240" w:lineRule="auto"/>
              <w:ind w:firstLine="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危险废物</w:t>
            </w:r>
          </w:p>
        </w:tc>
        <w:tc>
          <w:tcPr>
            <w:tcW w:w="2023" w:type="dxa"/>
            <w:noWrap w:val="0"/>
            <w:vAlign w:val="center"/>
          </w:tcPr>
          <w:p w14:paraId="6D7031FF">
            <w:pPr>
              <w:keepNext w:val="0"/>
              <w:keepLines w:val="0"/>
              <w:pageBreakBefore w:val="0"/>
              <w:widowControl/>
              <w:suppressLineNumbers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eastAsia="宋体" w:cs="Times New Roman"/>
                <w:color w:val="auto"/>
                <w:sz w:val="24"/>
                <w:szCs w:val="24"/>
                <w:highlight w:val="none"/>
                <w:lang w:eastAsia="zh-CN"/>
              </w:rPr>
              <w:t>医疗废物</w:t>
            </w:r>
          </w:p>
        </w:tc>
        <w:tc>
          <w:tcPr>
            <w:tcW w:w="1610" w:type="dxa"/>
            <w:noWrap w:val="0"/>
            <w:vAlign w:val="center"/>
          </w:tcPr>
          <w:p w14:paraId="2C64AA00">
            <w:pPr>
              <w:keepNext w:val="0"/>
              <w:keepLines w:val="0"/>
              <w:pageBreakBefore w:val="0"/>
              <w:widowControl/>
              <w:kinsoku/>
              <w:wordWrap/>
              <w:overflowPunct/>
              <w:topLinePunct w:val="0"/>
              <w:autoSpaceDE/>
              <w:autoSpaceDN/>
              <w:bidi w:val="0"/>
              <w:spacing w:line="240" w:lineRule="auto"/>
              <w:ind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6A3A50F9">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snapToGrid w:val="0"/>
                <w:color w:val="auto"/>
                <w:kern w:val="21"/>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295D6EF7">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4B8EE275">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20.929</w:t>
            </w:r>
          </w:p>
        </w:tc>
        <w:tc>
          <w:tcPr>
            <w:tcW w:w="1390" w:type="dxa"/>
            <w:noWrap w:val="0"/>
            <w:vAlign w:val="center"/>
          </w:tcPr>
          <w:p w14:paraId="07B913DD">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669" w:type="dxa"/>
            <w:noWrap w:val="0"/>
            <w:vAlign w:val="center"/>
          </w:tcPr>
          <w:p w14:paraId="1216FC8F">
            <w:pPr>
              <w:pStyle w:val="42"/>
              <w:keepNext w:val="0"/>
              <w:keepLines w:val="0"/>
              <w:pageBreakBefore w:val="0"/>
              <w:widowControl/>
              <w:kinsoku/>
              <w:wordWrap/>
              <w:overflowPunct/>
              <w:topLinePunct w:val="0"/>
              <w:autoSpaceDE/>
              <w:autoSpaceDN/>
              <w:bidi w:val="0"/>
              <w:spacing w:line="240" w:lineRule="auto"/>
              <w:ind w:firstLine="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20.929</w:t>
            </w:r>
          </w:p>
        </w:tc>
        <w:tc>
          <w:tcPr>
            <w:tcW w:w="1487" w:type="dxa"/>
            <w:noWrap w:val="0"/>
            <w:vAlign w:val="center"/>
          </w:tcPr>
          <w:p w14:paraId="350EFF82">
            <w:pPr>
              <w:keepNext w:val="0"/>
              <w:keepLines w:val="0"/>
              <w:pageBreakBefore w:val="0"/>
              <w:widowControl/>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+20.9291</w:t>
            </w:r>
          </w:p>
        </w:tc>
      </w:tr>
      <w:tr w14:paraId="170E2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continue"/>
            <w:noWrap w:val="0"/>
            <w:vAlign w:val="center"/>
          </w:tcPr>
          <w:p w14:paraId="00397DD6">
            <w:pPr>
              <w:pStyle w:val="36"/>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2023" w:type="dxa"/>
            <w:noWrap w:val="0"/>
            <w:vAlign w:val="center"/>
          </w:tcPr>
          <w:p w14:paraId="099050DF">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eastAsia="宋体" w:cs="Times New Roman"/>
                <w:snapToGrid w:val="0"/>
                <w:color w:val="auto"/>
                <w:kern w:val="21"/>
                <w:sz w:val="24"/>
                <w:szCs w:val="24"/>
                <w:highlight w:val="none"/>
                <w:lang w:val="en-US" w:eastAsia="zh-CN"/>
              </w:rPr>
              <w:t>水处理固废</w:t>
            </w:r>
          </w:p>
        </w:tc>
        <w:tc>
          <w:tcPr>
            <w:tcW w:w="1610" w:type="dxa"/>
            <w:noWrap w:val="0"/>
            <w:vAlign w:val="center"/>
          </w:tcPr>
          <w:p w14:paraId="32BB6541">
            <w:pPr>
              <w:bidi w:val="0"/>
              <w:jc w:val="center"/>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6A5C0510">
            <w:pPr>
              <w:bidi w:val="0"/>
              <w:jc w:val="center"/>
              <w:rPr>
                <w:rFonts w:hint="default" w:ascii="Times New Roman" w:hAnsi="Times New Roman" w:eastAsia="宋体" w:cs="Times New Roman"/>
                <w:snapToGrid w:val="0"/>
                <w:color w:val="auto"/>
                <w:kern w:val="21"/>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4196FFF5">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7A3A0890">
            <w:pPr>
              <w:pStyle w:val="42"/>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18.61</w:t>
            </w:r>
          </w:p>
        </w:tc>
        <w:tc>
          <w:tcPr>
            <w:tcW w:w="1390" w:type="dxa"/>
            <w:noWrap w:val="0"/>
            <w:vAlign w:val="center"/>
          </w:tcPr>
          <w:p w14:paraId="49178034">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0</w:t>
            </w:r>
          </w:p>
        </w:tc>
        <w:tc>
          <w:tcPr>
            <w:tcW w:w="1669" w:type="dxa"/>
            <w:noWrap w:val="0"/>
            <w:vAlign w:val="center"/>
          </w:tcPr>
          <w:p w14:paraId="4DEEAF7B">
            <w:pPr>
              <w:pStyle w:val="42"/>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18.61</w:t>
            </w:r>
          </w:p>
        </w:tc>
        <w:tc>
          <w:tcPr>
            <w:tcW w:w="1487" w:type="dxa"/>
            <w:noWrap w:val="0"/>
            <w:vAlign w:val="center"/>
          </w:tcPr>
          <w:p w14:paraId="22BD616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+18.61</w:t>
            </w:r>
          </w:p>
        </w:tc>
      </w:tr>
      <w:tr w14:paraId="38C56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continue"/>
            <w:noWrap w:val="0"/>
            <w:vAlign w:val="center"/>
          </w:tcPr>
          <w:p w14:paraId="5977B1D3">
            <w:pPr>
              <w:pStyle w:val="36"/>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2023" w:type="dxa"/>
            <w:noWrap w:val="0"/>
            <w:vAlign w:val="center"/>
          </w:tcPr>
          <w:p w14:paraId="63AA4E0C">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4"/>
                <w:szCs w:val="24"/>
                <w:highlight w:val="none"/>
                <w:lang w:val="en-US" w:eastAsia="zh-CN"/>
              </w:rPr>
            </w:pPr>
            <w:r>
              <w:rPr>
                <w:rFonts w:hint="eastAsia"/>
                <w:b w:val="0"/>
                <w:bCs w:val="0"/>
                <w:color w:val="auto"/>
                <w:sz w:val="24"/>
                <w:szCs w:val="24"/>
                <w:lang w:val="en-US" w:eastAsia="zh-CN"/>
              </w:rPr>
              <w:t>废紫外灯管</w:t>
            </w:r>
          </w:p>
        </w:tc>
        <w:tc>
          <w:tcPr>
            <w:tcW w:w="1610" w:type="dxa"/>
            <w:noWrap w:val="0"/>
            <w:vAlign w:val="center"/>
          </w:tcPr>
          <w:p w14:paraId="062696A8">
            <w:pPr>
              <w:bidi w:val="0"/>
              <w:jc w:val="center"/>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729CBCFB">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111DD410">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4BB7D338">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0.0027</w:t>
            </w:r>
          </w:p>
        </w:tc>
        <w:tc>
          <w:tcPr>
            <w:tcW w:w="1390" w:type="dxa"/>
            <w:noWrap w:val="0"/>
            <w:vAlign w:val="center"/>
          </w:tcPr>
          <w:p w14:paraId="0F5B7D30">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472021E8">
            <w:pPr>
              <w:bidi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0.0027</w:t>
            </w:r>
          </w:p>
        </w:tc>
        <w:tc>
          <w:tcPr>
            <w:tcW w:w="1487" w:type="dxa"/>
            <w:noWrap w:val="0"/>
            <w:vAlign w:val="center"/>
          </w:tcPr>
          <w:p w14:paraId="354EE317">
            <w:pPr>
              <w:bidi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+0.0027</w:t>
            </w:r>
          </w:p>
        </w:tc>
      </w:tr>
      <w:tr w14:paraId="5DA2D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vMerge w:val="continue"/>
            <w:noWrap w:val="0"/>
            <w:vAlign w:val="center"/>
          </w:tcPr>
          <w:p w14:paraId="0388ACBD">
            <w:pPr>
              <w:pStyle w:val="36"/>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2023" w:type="dxa"/>
            <w:noWrap w:val="0"/>
            <w:vAlign w:val="center"/>
          </w:tcPr>
          <w:p w14:paraId="3D2AC38D">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4"/>
                <w:szCs w:val="24"/>
                <w:highlight w:val="none"/>
                <w:lang w:val="en-US" w:eastAsia="zh-CN"/>
              </w:rPr>
            </w:pPr>
            <w:r>
              <w:rPr>
                <w:rFonts w:hint="eastAsia" w:cs="Times New Roman"/>
                <w:b w:val="0"/>
                <w:bCs w:val="0"/>
                <w:color w:val="auto"/>
                <w:sz w:val="24"/>
                <w:szCs w:val="24"/>
                <w:lang w:val="en-US" w:eastAsia="zh-CN"/>
              </w:rPr>
              <w:t>废矿物油</w:t>
            </w:r>
          </w:p>
        </w:tc>
        <w:tc>
          <w:tcPr>
            <w:tcW w:w="1610" w:type="dxa"/>
            <w:noWrap w:val="0"/>
            <w:vAlign w:val="center"/>
          </w:tcPr>
          <w:p w14:paraId="2700B660">
            <w:pPr>
              <w:bidi w:val="0"/>
              <w:jc w:val="center"/>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003" w:type="dxa"/>
            <w:noWrap w:val="0"/>
            <w:vAlign w:val="center"/>
          </w:tcPr>
          <w:p w14:paraId="472D76D8">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743B9DD3">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55485B30">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1390" w:type="dxa"/>
            <w:noWrap w:val="0"/>
            <w:vAlign w:val="center"/>
          </w:tcPr>
          <w:p w14:paraId="382AC1FC">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9" w:type="dxa"/>
            <w:noWrap w:val="0"/>
            <w:vAlign w:val="center"/>
          </w:tcPr>
          <w:p w14:paraId="6BB565C6">
            <w:pPr>
              <w:bidi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1487" w:type="dxa"/>
            <w:noWrap w:val="0"/>
            <w:vAlign w:val="center"/>
          </w:tcPr>
          <w:p w14:paraId="7AE37DCA">
            <w:pPr>
              <w:bidi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r>
    </w:tbl>
    <w:p w14:paraId="0C829796">
      <w:pPr>
        <w:rPr>
          <w:rFonts w:hint="eastAsia"/>
          <w:color w:val="auto"/>
          <w:lang w:val="en-US" w:eastAsia="zh-CN"/>
        </w:rPr>
      </w:pPr>
      <w:r>
        <w:rPr>
          <w:rFonts w:hAnsi="宋体"/>
          <w:snapToGrid w:val="0"/>
          <w:color w:val="auto"/>
          <w:kern w:val="21"/>
          <w:sz w:val="24"/>
          <w:szCs w:val="24"/>
        </w:rPr>
        <w:t>注：</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3 \* GB3 \* MERGEFORMAT </w:instrText>
      </w:r>
      <w:r>
        <w:rPr>
          <w:rFonts w:hAnsi="宋体"/>
          <w:snapToGrid w:val="0"/>
          <w:color w:val="auto"/>
          <w:spacing w:val="-6"/>
          <w:kern w:val="21"/>
          <w:sz w:val="24"/>
          <w:szCs w:val="24"/>
        </w:rPr>
        <w:fldChar w:fldCharType="separate"/>
      </w:r>
      <w:r>
        <w:rPr>
          <w:rFonts w:hint="eastAsia" w:hAnsi="宋体"/>
          <w:color w:val="auto"/>
          <w:sz w:val="24"/>
          <w:szCs w:val="24"/>
        </w:rPr>
        <w:t>③</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4 \* GB3 \* MERGEFORMAT </w:instrText>
      </w:r>
      <w:r>
        <w:rPr>
          <w:rFonts w:hAnsi="宋体"/>
          <w:snapToGrid w:val="0"/>
          <w:color w:val="auto"/>
          <w:spacing w:val="-6"/>
          <w:kern w:val="21"/>
          <w:sz w:val="24"/>
          <w:szCs w:val="24"/>
        </w:rPr>
        <w:fldChar w:fldCharType="separate"/>
      </w:r>
      <w:r>
        <w:rPr>
          <w:rFonts w:hint="eastAsia" w:hAnsi="宋体"/>
          <w:color w:val="auto"/>
          <w:sz w:val="24"/>
          <w:szCs w:val="24"/>
        </w:rPr>
        <w:t>④</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5 \* GB3 \* MERGEFORMAT </w:instrText>
      </w:r>
      <w:r>
        <w:rPr>
          <w:rFonts w:hAnsi="宋体"/>
          <w:snapToGrid w:val="0"/>
          <w:color w:val="auto"/>
          <w:spacing w:val="-16"/>
          <w:kern w:val="21"/>
          <w:sz w:val="24"/>
          <w:szCs w:val="24"/>
        </w:rPr>
        <w:fldChar w:fldCharType="separate"/>
      </w:r>
      <w:r>
        <w:rPr>
          <w:rFonts w:hint="eastAsia" w:hAnsi="宋体"/>
          <w:color w:val="auto"/>
          <w:sz w:val="24"/>
          <w:szCs w:val="24"/>
        </w:rPr>
        <w:t>⑤</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7 \* GB3 \* MERGEFORMAT </w:instrText>
      </w:r>
      <w:r>
        <w:rPr>
          <w:rFonts w:hAnsi="宋体"/>
          <w:snapToGrid w:val="0"/>
          <w:color w:val="auto"/>
          <w:spacing w:val="-6"/>
          <w:kern w:val="21"/>
          <w:sz w:val="24"/>
          <w:szCs w:val="24"/>
        </w:rPr>
        <w:fldChar w:fldCharType="separate"/>
      </w:r>
      <w:r>
        <w:rPr>
          <w:rFonts w:hint="eastAsia" w:hAnsi="宋体"/>
          <w:color w:val="auto"/>
          <w:sz w:val="24"/>
          <w:szCs w:val="24"/>
        </w:rPr>
        <w:t>⑦</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p>
    <w:sectPr>
      <w:footerReference r:id="rId7" w:type="default"/>
      <w:pgSz w:w="16838" w:h="11906" w:orient="landscape"/>
      <w:pgMar w:top="1531" w:right="1701" w:bottom="1531" w:left="170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Songti SC Regular">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Cambria Math">
    <w:panose1 w:val="02040503050406030204"/>
    <w:charset w:val="00"/>
    <w:family w:val="auto"/>
    <w:pitch w:val="default"/>
    <w:sig w:usb0="E00002FF" w:usb1="420024FF" w:usb2="00000000" w:usb3="00000000" w:csb0="2000019F" w:csb1="00000000"/>
  </w:font>
  <w:font w:name="Helvetica">
    <w:altName w:val="Arial"/>
    <w:panose1 w:val="020B0504020202030204"/>
    <w:charset w:val="00"/>
    <w:family w:val="auto"/>
    <w:pitch w:val="default"/>
    <w:sig w:usb0="00000000" w:usb1="00000000" w:usb2="00000000" w:usb3="00000000" w:csb0="00000093"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6335C">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745F">
    <w:pPr>
      <w:pStyle w:val="19"/>
      <w:framePr w:wrap="around" w:vAnchor="text" w:hAnchor="margin" w:xAlign="center" w:y="1"/>
      <w:rPr>
        <w:rStyle w:val="28"/>
      </w:rPr>
    </w:pPr>
    <w:r>
      <w:fldChar w:fldCharType="begin"/>
    </w:r>
    <w:r>
      <w:rPr>
        <w:rStyle w:val="28"/>
      </w:rPr>
      <w:instrText xml:space="preserve">PAGE  </w:instrText>
    </w:r>
    <w:r>
      <w:fldChar w:fldCharType="end"/>
    </w:r>
  </w:p>
  <w:p w14:paraId="0B65EA56">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22481">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0729">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2760345</wp:posOffset>
              </wp:positionH>
              <wp:positionV relativeFrom="paragraph">
                <wp:posOffset>-81915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A64D5">
                          <w:pPr>
                            <w:pStyle w:val="19"/>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35pt;margin-top:-6.45pt;height:144pt;width:144pt;mso-position-horizontal-relative:margin;mso-wrap-style:none;z-index:251660288;mso-width-relative:page;mso-height-relative:page;" filled="f" stroked="f" coordsize="21600,21600" o:gfxdata="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3k7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wfK2QAAAAsBAAAPAAAAAAAAAAEAIAAAACIAAABkcnMvZG93bnJldi54&#10;bWxQSwECFAAUAAAACACHTuJAf46tETICAABhBAAADgAAAAAAAAABACAAAAAoAQAAZHJzL2Uyb0Rv&#10;Yy54bWxQSwUGAAAAAAYABgBZAQAAzAUAAAAA&#10;">
              <v:fill on="f" focussize="0,0"/>
              <v:stroke on="f" weight="0.5pt"/>
              <v:imagedata o:title=""/>
              <o:lock v:ext="edit" aspectratio="f"/>
              <v:textbox inset="0mm,0mm,0mm,0mm" style="mso-fit-shape-to-text:t;">
                <w:txbxContent>
                  <w:p w14:paraId="435A64D5">
                    <w:pPr>
                      <w:pStyle w:val="19"/>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EAFD4">
    <w:pPr>
      <w:pStyle w:val="1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01C0F7">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q1Xfq2AEAALIDAAAOAAAAAAAAAAEAIAAA&#10;AB4BAABkcnMvZTJvRG9jLnhtbFBLBQYAAAAABgAGAFkBAABoBQAAAAA=&#10;">
              <v:fill on="f" focussize="0,0"/>
              <v:stroke on="f"/>
              <v:imagedata o:title=""/>
              <o:lock v:ext="edit" aspectratio="f"/>
              <v:textbox inset="0mm,0mm,0mm,0mm" style="mso-fit-shape-to-text:t;">
                <w:txbxContent>
                  <w:p w14:paraId="4601C0F7">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7C14C7"/>
    <w:multiLevelType w:val="singleLevel"/>
    <w:tmpl w:val="C87C14C7"/>
    <w:lvl w:ilvl="0" w:tentative="0">
      <w:start w:val="1"/>
      <w:numFmt w:val="bullet"/>
      <w:pStyle w:val="6"/>
      <w:lvlText w:val=""/>
      <w:lvlJc w:val="left"/>
      <w:pPr>
        <w:tabs>
          <w:tab w:val="left" w:pos="780"/>
        </w:tabs>
        <w:ind w:left="780" w:hanging="360"/>
      </w:pPr>
      <w:rPr>
        <w:rFonts w:hint="default" w:ascii="Wingdings" w:hAnsi="Wingdings"/>
      </w:rPr>
    </w:lvl>
  </w:abstractNum>
  <w:abstractNum w:abstractNumId="1">
    <w:nsid w:val="D10E7E44"/>
    <w:multiLevelType w:val="singleLevel"/>
    <w:tmpl w:val="D10E7E44"/>
    <w:lvl w:ilvl="0" w:tentative="0">
      <w:start w:val="6"/>
      <w:numFmt w:val="decimal"/>
      <w:suff w:val="nothing"/>
      <w:lvlText w:val="%1、"/>
      <w:lvlJc w:val="left"/>
    </w:lvl>
  </w:abstractNum>
  <w:abstractNum w:abstractNumId="2">
    <w:nsid w:val="DE373109"/>
    <w:multiLevelType w:val="singleLevel"/>
    <w:tmpl w:val="DE373109"/>
    <w:lvl w:ilvl="0" w:tentative="0">
      <w:start w:val="1"/>
      <w:numFmt w:val="decimal"/>
      <w:suff w:val="nothing"/>
      <w:lvlText w:val="%1、"/>
      <w:lvlJc w:val="left"/>
    </w:lvl>
  </w:abstractNum>
  <w:abstractNum w:abstractNumId="3">
    <w:nsid w:val="65D13A7A"/>
    <w:multiLevelType w:val="singleLevel"/>
    <w:tmpl w:val="65D13A7A"/>
    <w:lvl w:ilvl="0" w:tentative="0">
      <w:start w:val="2"/>
      <w:numFmt w:val="chineseCounting"/>
      <w:suff w:val="nothing"/>
      <w:lvlText w:val="（%1）"/>
      <w:lvlJc w:val="left"/>
      <w:rPr>
        <w:rFonts w:hint="eastAsia"/>
      </w:rPr>
    </w:lvl>
  </w:abstractNum>
  <w:abstractNum w:abstractNumId="4">
    <w:nsid w:val="67B98064"/>
    <w:multiLevelType w:val="singleLevel"/>
    <w:tmpl w:val="67B98064"/>
    <w:lvl w:ilvl="0" w:tentative="0">
      <w:start w:val="1"/>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16A"/>
    <w:rsid w:val="00A06158"/>
    <w:rsid w:val="00C5502B"/>
    <w:rsid w:val="010B74B3"/>
    <w:rsid w:val="0235182E"/>
    <w:rsid w:val="02F04C0A"/>
    <w:rsid w:val="041030F1"/>
    <w:rsid w:val="04442B3D"/>
    <w:rsid w:val="05E25CD6"/>
    <w:rsid w:val="05F90A9F"/>
    <w:rsid w:val="070D5D7A"/>
    <w:rsid w:val="08242701"/>
    <w:rsid w:val="09356A6B"/>
    <w:rsid w:val="0986000B"/>
    <w:rsid w:val="099068C7"/>
    <w:rsid w:val="0A8455AD"/>
    <w:rsid w:val="0A940929"/>
    <w:rsid w:val="0B963ED9"/>
    <w:rsid w:val="0D1428F8"/>
    <w:rsid w:val="0D2C0CA3"/>
    <w:rsid w:val="0E126326"/>
    <w:rsid w:val="10B2409B"/>
    <w:rsid w:val="11282E37"/>
    <w:rsid w:val="11DE3171"/>
    <w:rsid w:val="13225964"/>
    <w:rsid w:val="13B91C37"/>
    <w:rsid w:val="16B03286"/>
    <w:rsid w:val="17F45028"/>
    <w:rsid w:val="187109B9"/>
    <w:rsid w:val="19B10EE2"/>
    <w:rsid w:val="1ABB05A1"/>
    <w:rsid w:val="1B1F09DB"/>
    <w:rsid w:val="1B5A21C0"/>
    <w:rsid w:val="1B8E0CFC"/>
    <w:rsid w:val="1D903454"/>
    <w:rsid w:val="1E110AAE"/>
    <w:rsid w:val="1ECC2C27"/>
    <w:rsid w:val="1F770E41"/>
    <w:rsid w:val="1FC102B2"/>
    <w:rsid w:val="21514288"/>
    <w:rsid w:val="21B46321"/>
    <w:rsid w:val="21E72CC8"/>
    <w:rsid w:val="24004C30"/>
    <w:rsid w:val="242162F9"/>
    <w:rsid w:val="242E3E6F"/>
    <w:rsid w:val="2452597D"/>
    <w:rsid w:val="25CC0FC9"/>
    <w:rsid w:val="263A037E"/>
    <w:rsid w:val="26F60BE1"/>
    <w:rsid w:val="27787049"/>
    <w:rsid w:val="27A3033D"/>
    <w:rsid w:val="2802516D"/>
    <w:rsid w:val="28B5494E"/>
    <w:rsid w:val="28D77E7F"/>
    <w:rsid w:val="2A471AB4"/>
    <w:rsid w:val="2B7864AE"/>
    <w:rsid w:val="2BF665BD"/>
    <w:rsid w:val="2C5C17CE"/>
    <w:rsid w:val="2D403EFC"/>
    <w:rsid w:val="2D84323E"/>
    <w:rsid w:val="2F5A3D4B"/>
    <w:rsid w:val="2FF52287"/>
    <w:rsid w:val="30C44AAC"/>
    <w:rsid w:val="318661F4"/>
    <w:rsid w:val="334207E3"/>
    <w:rsid w:val="33F0458C"/>
    <w:rsid w:val="348B6F28"/>
    <w:rsid w:val="366B28CE"/>
    <w:rsid w:val="36842191"/>
    <w:rsid w:val="37240F41"/>
    <w:rsid w:val="39C95F39"/>
    <w:rsid w:val="3A887C54"/>
    <w:rsid w:val="3AB36CA1"/>
    <w:rsid w:val="3B9B6C01"/>
    <w:rsid w:val="3C460065"/>
    <w:rsid w:val="3CBF4D79"/>
    <w:rsid w:val="3D1E0843"/>
    <w:rsid w:val="3DA46DF1"/>
    <w:rsid w:val="3DED1A9F"/>
    <w:rsid w:val="3F233451"/>
    <w:rsid w:val="40F17C81"/>
    <w:rsid w:val="42351274"/>
    <w:rsid w:val="458F0387"/>
    <w:rsid w:val="46064092"/>
    <w:rsid w:val="46F27FD6"/>
    <w:rsid w:val="46F4261E"/>
    <w:rsid w:val="47BB36B5"/>
    <w:rsid w:val="48CF4393"/>
    <w:rsid w:val="494C4368"/>
    <w:rsid w:val="4D990AD5"/>
    <w:rsid w:val="4E217FEA"/>
    <w:rsid w:val="4F0F2539"/>
    <w:rsid w:val="50C50AC7"/>
    <w:rsid w:val="50DD75B9"/>
    <w:rsid w:val="510C3DCE"/>
    <w:rsid w:val="51434F32"/>
    <w:rsid w:val="514642C8"/>
    <w:rsid w:val="52995BE7"/>
    <w:rsid w:val="54E24090"/>
    <w:rsid w:val="55A40E02"/>
    <w:rsid w:val="55B94FAC"/>
    <w:rsid w:val="56793606"/>
    <w:rsid w:val="57240017"/>
    <w:rsid w:val="59287227"/>
    <w:rsid w:val="5ADF3707"/>
    <w:rsid w:val="5C1E5C30"/>
    <w:rsid w:val="5E6964AE"/>
    <w:rsid w:val="61001CE1"/>
    <w:rsid w:val="61804119"/>
    <w:rsid w:val="652636DE"/>
    <w:rsid w:val="65C32A4A"/>
    <w:rsid w:val="65CB66B4"/>
    <w:rsid w:val="67164CE7"/>
    <w:rsid w:val="68012F0F"/>
    <w:rsid w:val="68561A39"/>
    <w:rsid w:val="68E01BE7"/>
    <w:rsid w:val="69873FC0"/>
    <w:rsid w:val="6A036190"/>
    <w:rsid w:val="6A0740E0"/>
    <w:rsid w:val="6B6439A9"/>
    <w:rsid w:val="6C0B1FE4"/>
    <w:rsid w:val="6F1203CE"/>
    <w:rsid w:val="71CE35F1"/>
    <w:rsid w:val="72591FDB"/>
    <w:rsid w:val="727E3E3D"/>
    <w:rsid w:val="735B3FCE"/>
    <w:rsid w:val="73C469D5"/>
    <w:rsid w:val="743065E1"/>
    <w:rsid w:val="74455F31"/>
    <w:rsid w:val="755C4019"/>
    <w:rsid w:val="759466BC"/>
    <w:rsid w:val="78156245"/>
    <w:rsid w:val="78C064CE"/>
    <w:rsid w:val="798C7192"/>
    <w:rsid w:val="7A903C7E"/>
    <w:rsid w:val="7AF67F85"/>
    <w:rsid w:val="7B92491F"/>
    <w:rsid w:val="7D275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99"/>
    <w:pPr>
      <w:keepNext/>
      <w:overflowPunct w:val="0"/>
      <w:snapToGrid w:val="0"/>
      <w:spacing w:before="120" w:after="160" w:line="260" w:lineRule="auto"/>
      <w:ind w:left="431" w:hanging="431"/>
      <w:jc w:val="center"/>
      <w:outlineLvl w:val="0"/>
    </w:pPr>
    <w:rPr>
      <w:rFonts w:ascii="Times New Roman" w:hAnsi="Times New Roman" w:eastAsia="黑体"/>
      <w:b/>
      <w:bCs/>
      <w:color w:val="000000"/>
      <w:kern w:val="44"/>
      <w:sz w:val="30"/>
      <w:szCs w:val="30"/>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3">
    <w:name w:val="E-mail Signature"/>
    <w:basedOn w:val="1"/>
    <w:next w:val="4"/>
    <w:qFormat/>
    <w:uiPriority w:val="99"/>
    <w:pPr>
      <w:spacing w:line="460" w:lineRule="exact"/>
      <w:ind w:firstLine="200"/>
    </w:pPr>
    <w:rPr>
      <w:rFonts w:ascii="Times New Roman" w:hAnsi="Times New Roman" w:cs="Times New Roman"/>
    </w:rPr>
  </w:style>
  <w:style w:type="paragraph" w:customStyle="1" w:styleId="4">
    <w:name w:val="文章"/>
    <w:next w:val="5"/>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5">
    <w:name w:val="List"/>
    <w:basedOn w:val="1"/>
    <w:next w:val="6"/>
    <w:qFormat/>
    <w:uiPriority w:val="0"/>
    <w:pPr>
      <w:ind w:left="200" w:hanging="200" w:hangingChars="200"/>
      <w:contextualSpacing/>
    </w:pPr>
    <w:rPr>
      <w:rFonts w:ascii="Calibri" w:hAnsi="Calibri" w:eastAsia="宋体" w:cs="Times New Roman"/>
    </w:rPr>
  </w:style>
  <w:style w:type="paragraph" w:styleId="6">
    <w:name w:val="List Bullet 2"/>
    <w:basedOn w:val="1"/>
    <w:next w:val="7"/>
    <w:qFormat/>
    <w:uiPriority w:val="0"/>
    <w:pPr>
      <w:numPr>
        <w:ilvl w:val="0"/>
        <w:numId w:val="1"/>
      </w:numPr>
    </w:pPr>
  </w:style>
  <w:style w:type="paragraph" w:customStyle="1" w:styleId="7">
    <w:name w:val="xl70"/>
    <w:basedOn w:val="1"/>
    <w:next w:val="8"/>
    <w:qFormat/>
    <w:uiPriority w:val="0"/>
    <w:pPr>
      <w:widowControl/>
      <w:spacing w:before="280" w:after="280" w:line="240" w:lineRule="auto"/>
      <w:ind w:firstLine="0"/>
    </w:pPr>
    <w:rPr>
      <w:rFonts w:ascii="宋体"/>
    </w:rPr>
  </w:style>
  <w:style w:type="paragraph" w:customStyle="1" w:styleId="8">
    <w:name w:val="正文缩进1"/>
    <w:basedOn w:val="1"/>
    <w:next w:val="9"/>
    <w:qFormat/>
    <w:uiPriority w:val="0"/>
    <w:pPr>
      <w:ind w:firstLine="420"/>
    </w:pPr>
    <w:rPr>
      <w:rFonts w:ascii="宋体"/>
      <w:sz w:val="28"/>
    </w:rPr>
  </w:style>
  <w:style w:type="paragraph" w:customStyle="1" w:styleId="9">
    <w:name w:val="td1"/>
    <w:basedOn w:val="1"/>
    <w:next w:val="1"/>
    <w:qFormat/>
    <w:uiPriority w:val="0"/>
    <w:pPr>
      <w:widowControl/>
      <w:spacing w:before="280" w:after="280" w:line="300" w:lineRule="atLeast"/>
      <w:ind w:firstLine="200"/>
    </w:pPr>
    <w:rPr>
      <w:color w:val="000000"/>
      <w:sz w:val="18"/>
    </w:rPr>
  </w:style>
  <w:style w:type="paragraph" w:styleId="10">
    <w:name w:val="Normal Indent"/>
    <w:basedOn w:val="1"/>
    <w:next w:val="1"/>
    <w:qFormat/>
    <w:uiPriority w:val="0"/>
    <w:pPr>
      <w:adjustRightInd w:val="0"/>
      <w:spacing w:line="480" w:lineRule="atLeast"/>
      <w:ind w:firstLine="420"/>
      <w:jc w:val="left"/>
      <w:textAlignment w:val="baseline"/>
    </w:pPr>
    <w:rPr>
      <w:rFonts w:ascii="宋体"/>
      <w:kern w:val="0"/>
      <w:sz w:val="28"/>
      <w:szCs w:val="20"/>
    </w:rPr>
  </w:style>
  <w:style w:type="paragraph" w:styleId="11">
    <w:name w:val="annotation text"/>
    <w:basedOn w:val="1"/>
    <w:unhideWhenUsed/>
    <w:qFormat/>
    <w:uiPriority w:val="99"/>
    <w:pPr>
      <w:spacing w:line="240" w:lineRule="auto"/>
      <w:ind w:firstLine="0" w:firstLineChars="0"/>
      <w:jc w:val="center"/>
    </w:pPr>
    <w:rPr>
      <w:sz w:val="21"/>
    </w:rPr>
  </w:style>
  <w:style w:type="paragraph" w:styleId="12">
    <w:name w:val="Body Text"/>
    <w:basedOn w:val="1"/>
    <w:qFormat/>
    <w:uiPriority w:val="0"/>
    <w:pPr>
      <w:spacing w:afterLines="0" w:afterAutospacing="0" w:line="360" w:lineRule="auto"/>
      <w:ind w:firstLine="562" w:firstLineChars="200"/>
    </w:pPr>
    <w:rPr>
      <w:rFonts w:ascii="Times New Roman" w:hAnsi="Times New Roman" w:eastAsia="宋体"/>
      <w:sz w:val="24"/>
      <w:szCs w:val="22"/>
    </w:rPr>
  </w:style>
  <w:style w:type="paragraph" w:styleId="13">
    <w:name w:val="Plain Text"/>
    <w:basedOn w:val="1"/>
    <w:next w:val="14"/>
    <w:qFormat/>
    <w:uiPriority w:val="0"/>
    <w:rPr>
      <w:rFonts w:ascii="宋体" w:hAnsi="Courier New"/>
    </w:rPr>
  </w:style>
  <w:style w:type="paragraph" w:customStyle="1" w:styleId="14">
    <w:name w:val="Default"/>
    <w:basedOn w:val="15"/>
    <w:next w:val="1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
    <w:name w:val="纯文本1"/>
    <w:basedOn w:val="1"/>
    <w:qFormat/>
    <w:uiPriority w:val="0"/>
    <w:pPr>
      <w:topLinePunct w:val="0"/>
      <w:spacing w:line="240" w:lineRule="auto"/>
      <w:jc w:val="both"/>
      <w:textAlignment w:val="baseline"/>
    </w:pPr>
    <w:rPr>
      <w:rFonts w:ascii="宋体" w:hAnsi="Courier New"/>
      <w:sz w:val="21"/>
      <w:szCs w:val="20"/>
    </w:rPr>
  </w:style>
  <w:style w:type="paragraph" w:customStyle="1" w:styleId="16">
    <w:name w:val="样式35"/>
    <w:next w:val="17"/>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7">
    <w:name w:val="font6"/>
    <w:basedOn w:val="1"/>
    <w:next w:val="18"/>
    <w:qFormat/>
    <w:uiPriority w:val="0"/>
    <w:pPr>
      <w:widowControl/>
      <w:spacing w:before="100" w:beforeAutospacing="1" w:after="100" w:afterAutospacing="1"/>
      <w:jc w:val="left"/>
    </w:pPr>
    <w:rPr>
      <w:rFonts w:eastAsia="Arial Unicode MS"/>
      <w:kern w:val="0"/>
    </w:rPr>
  </w:style>
  <w:style w:type="paragraph" w:styleId="18">
    <w:name w:val="toc 2"/>
    <w:basedOn w:val="1"/>
    <w:next w:val="3"/>
    <w:qFormat/>
    <w:uiPriority w:val="0"/>
    <w:pPr>
      <w:tabs>
        <w:tab w:val="left" w:pos="622"/>
        <w:tab w:val="right" w:leader="dot" w:pos="9060"/>
      </w:tabs>
      <w:ind w:left="210"/>
      <w:jc w:val="left"/>
    </w:pPr>
    <w:rPr>
      <w:rFonts w:ascii="Calibri" w:hAnsi="Calibri" w:eastAsia="宋体" w:cs="Times New Roman"/>
      <w:smallCaps/>
      <w:sz w:val="20"/>
      <w:szCs w:val="20"/>
    </w:rPr>
  </w:style>
  <w:style w:type="paragraph" w:styleId="19">
    <w:name w:val="footer"/>
    <w:basedOn w:val="1"/>
    <w:qFormat/>
    <w:uiPriority w:val="99"/>
    <w:pPr>
      <w:tabs>
        <w:tab w:val="center" w:pos="4153"/>
        <w:tab w:val="right" w:pos="8306"/>
      </w:tabs>
      <w:snapToGrid w:val="0"/>
      <w:jc w:val="left"/>
    </w:pPr>
    <w:rPr>
      <w:kern w:val="0"/>
      <w:sz w:val="18"/>
      <w:szCs w:val="20"/>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1"/>
    <w:next w:val="11"/>
    <w:unhideWhenUsed/>
    <w:qFormat/>
    <w:uiPriority w:val="99"/>
    <w:pPr>
      <w:spacing w:line="360" w:lineRule="auto"/>
      <w:ind w:firstLine="600" w:firstLineChars="200"/>
      <w:jc w:val="left"/>
    </w:pPr>
    <w:rPr>
      <w:b/>
      <w:bCs/>
      <w:sz w:val="24"/>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paragraph" w:customStyle="1" w:styleId="2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0">
    <w:name w:val="样式 标题 1 + 四号 段前: 0 磅 段后: 0 磅 行距: 1.5 倍行距"/>
    <w:basedOn w:val="31"/>
    <w:next w:val="32"/>
    <w:qFormat/>
    <w:uiPriority w:val="0"/>
    <w:pPr>
      <w:spacing w:line="360" w:lineRule="auto"/>
      <w:jc w:val="center"/>
    </w:pPr>
    <w:rPr>
      <w:rFonts w:hAnsi="黑体" w:eastAsia="宋体"/>
      <w:sz w:val="21"/>
    </w:rPr>
  </w:style>
  <w:style w:type="paragraph" w:customStyle="1" w:styleId="31">
    <w:name w:val="1正文"/>
    <w:basedOn w:val="1"/>
    <w:qFormat/>
    <w:uiPriority w:val="0"/>
    <w:pPr>
      <w:spacing w:line="500" w:lineRule="exact"/>
      <w:ind w:firstLine="588" w:firstLineChars="196"/>
    </w:pPr>
    <w:rPr>
      <w:rFonts w:eastAsia="楷体_GB2312"/>
      <w:sz w:val="30"/>
      <w:szCs w:val="30"/>
    </w:rPr>
  </w:style>
  <w:style w:type="paragraph" w:customStyle="1" w:styleId="32">
    <w:name w:val="文本正文"/>
    <w:basedOn w:val="1"/>
    <w:qFormat/>
    <w:uiPriority w:val="0"/>
    <w:pPr>
      <w:snapToGrid w:val="0"/>
      <w:spacing w:line="360" w:lineRule="auto"/>
      <w:ind w:firstLine="510"/>
      <w:jc w:val="left"/>
    </w:pPr>
    <w:rPr>
      <w:spacing w:val="4"/>
      <w:kern w:val="24"/>
      <w:szCs w:val="24"/>
      <w:lang w:val="zh-CN"/>
    </w:rPr>
  </w:style>
  <w:style w:type="paragraph" w:customStyle="1" w:styleId="33">
    <w:name w:val="报告表正文"/>
    <w:basedOn w:val="1"/>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34">
    <w:name w:val="正文文字"/>
    <w:basedOn w:val="1"/>
    <w:qFormat/>
    <w:uiPriority w:val="0"/>
    <w:rPr>
      <w:sz w:val="18"/>
      <w:szCs w:val="18"/>
    </w:rPr>
  </w:style>
  <w:style w:type="paragraph" w:customStyle="1" w:styleId="35">
    <w:name w:val="报告正文"/>
    <w:basedOn w:val="1"/>
    <w:qFormat/>
    <w:uiPriority w:val="0"/>
    <w:pPr>
      <w:spacing w:line="360" w:lineRule="auto"/>
      <w:ind w:firstLine="420" w:firstLineChars="200"/>
      <w:jc w:val="both"/>
    </w:pPr>
    <w:rPr>
      <w:rFonts w:ascii="Times New Roman" w:hAnsi="Times New Roman" w:eastAsia="宋体"/>
      <w:sz w:val="24"/>
    </w:rPr>
  </w:style>
  <w:style w:type="paragraph" w:customStyle="1" w:styleId="36">
    <w:name w:val="表格"/>
    <w:basedOn w:val="37"/>
    <w:next w:val="1"/>
    <w:qFormat/>
    <w:uiPriority w:val="0"/>
    <w:pPr>
      <w:tabs>
        <w:tab w:val="left" w:pos="5327"/>
        <w:tab w:val="left" w:pos="6326"/>
        <w:tab w:val="left" w:pos="7230"/>
        <w:tab w:val="left" w:pos="9301"/>
      </w:tabs>
      <w:adjustRightInd w:val="0"/>
      <w:snapToGrid w:val="0"/>
      <w:spacing w:before="10" w:beforeLines="10" w:after="10" w:afterLines="10" w:line="259" w:lineRule="auto"/>
      <w:jc w:val="center"/>
    </w:pPr>
    <w:rPr>
      <w:rFonts w:ascii="Times New Roman" w:hAnsi="Times New Roman" w:eastAsia="宋体"/>
      <w:kern w:val="0"/>
      <w:szCs w:val="20"/>
    </w:rPr>
  </w:style>
  <w:style w:type="paragraph" w:customStyle="1" w:styleId="37">
    <w:name w:val="表格内容"/>
    <w:basedOn w:val="1"/>
    <w:qFormat/>
    <w:uiPriority w:val="0"/>
    <w:pPr>
      <w:widowControl/>
      <w:tabs>
        <w:tab w:val="left" w:pos="5327"/>
        <w:tab w:val="left" w:pos="6326"/>
        <w:tab w:val="left" w:pos="7230"/>
        <w:tab w:val="left" w:pos="9301"/>
      </w:tabs>
      <w:spacing w:line="240" w:lineRule="atLeast"/>
      <w:ind w:firstLine="560"/>
      <w:jc w:val="left"/>
    </w:pPr>
    <w:rPr>
      <w:rFonts w:ascii="仿宋_GB2312" w:hAnsi="Arial Narrow" w:eastAsia="华文中宋"/>
      <w:kern w:val="0"/>
    </w:rPr>
  </w:style>
  <w:style w:type="paragraph" w:customStyle="1" w:styleId="38">
    <w:name w:val="样式 样式 样式 小四 首行缩进:  2.25 字符 + 首行缩进:  2.25 字符 + 首行缩进:  2 字符"/>
    <w:basedOn w:val="39"/>
    <w:qFormat/>
    <w:uiPriority w:val="0"/>
  </w:style>
  <w:style w:type="paragraph" w:customStyle="1" w:styleId="39">
    <w:name w:val="样式 样式 小四 首行缩进:  2.25 字符 + 首行缩进:  2.25 字符"/>
    <w:basedOn w:val="40"/>
    <w:qFormat/>
    <w:uiPriority w:val="0"/>
  </w:style>
  <w:style w:type="paragraph" w:customStyle="1" w:styleId="40">
    <w:name w:val="样式 小四 首行缩进:  2.25 字符"/>
    <w:basedOn w:val="1"/>
    <w:qFormat/>
    <w:uiPriority w:val="0"/>
    <w:pPr>
      <w:spacing w:line="440" w:lineRule="exact"/>
      <w:ind w:firstLine="200"/>
    </w:pPr>
    <w:rPr>
      <w:szCs w:val="20"/>
    </w:rPr>
  </w:style>
  <w:style w:type="paragraph" w:customStyle="1" w:styleId="41">
    <w:name w:val="正文2"/>
    <w:basedOn w:val="1"/>
    <w:qFormat/>
    <w:uiPriority w:val="0"/>
    <w:pPr>
      <w:adjustRightInd w:val="0"/>
      <w:snapToGrid w:val="0"/>
      <w:spacing w:line="440" w:lineRule="atLeast"/>
      <w:ind w:firstLine="567"/>
    </w:pPr>
    <w:rPr>
      <w:sz w:val="24"/>
      <w:szCs w:val="20"/>
    </w:rPr>
  </w:style>
  <w:style w:type="paragraph" w:customStyle="1" w:styleId="42">
    <w:name w:val="报告表表格"/>
    <w:basedOn w:val="1"/>
    <w:qFormat/>
    <w:uiPriority w:val="0"/>
    <w:pPr>
      <w:jc w:val="center"/>
    </w:pPr>
    <w:rPr>
      <w:rFonts w:ascii="Times New Roman" w:hAnsi="Times New Roman" w:cs="宋体"/>
      <w:sz w:val="21"/>
    </w:rPr>
  </w:style>
  <w:style w:type="paragraph" w:customStyle="1" w:styleId="43">
    <w:name w:val="Table Text"/>
    <w:basedOn w:val="1"/>
    <w:semiHidden/>
    <w:qFormat/>
    <w:uiPriority w:val="0"/>
    <w:rPr>
      <w:rFonts w:ascii="宋体" w:hAnsi="宋体" w:eastAsia="宋体" w:cs="宋体"/>
      <w:sz w:val="20"/>
      <w:szCs w:val="20"/>
      <w:lang w:val="en-US" w:eastAsia="en-US" w:bidi="ar-SA"/>
    </w:rPr>
  </w:style>
  <w:style w:type="character" w:customStyle="1" w:styleId="44">
    <w:name w:val="font11"/>
    <w:basedOn w:val="26"/>
    <w:qFormat/>
    <w:uiPriority w:val="0"/>
    <w:rPr>
      <w:rFonts w:hint="eastAsia" w:ascii="宋体" w:hAnsi="宋体" w:eastAsia="宋体" w:cs="宋体"/>
      <w:b/>
      <w:bCs/>
      <w:color w:val="0000FF"/>
      <w:sz w:val="21"/>
      <w:szCs w:val="21"/>
      <w:u w:val="none"/>
    </w:rPr>
  </w:style>
  <w:style w:type="character" w:customStyle="1" w:styleId="45">
    <w:name w:val="font21"/>
    <w:basedOn w:val="26"/>
    <w:qFormat/>
    <w:uiPriority w:val="0"/>
    <w:rPr>
      <w:rFonts w:hint="default" w:ascii="Times New Roman" w:hAnsi="Times New Roman" w:cs="Times New Roman"/>
      <w:b/>
      <w:bCs/>
      <w:color w:val="0000FF"/>
      <w:sz w:val="21"/>
      <w:szCs w:val="21"/>
      <w:u w:val="none"/>
    </w:rPr>
  </w:style>
  <w:style w:type="paragraph" w:customStyle="1" w:styleId="46">
    <w:name w:val="表"/>
    <w:basedOn w:val="1"/>
    <w:qFormat/>
    <w:uiPriority w:val="99"/>
    <w:pPr>
      <w:jc w:val="center"/>
    </w:pPr>
    <w:rPr>
      <w:rFonts w:ascii="Times New Roman" w:hAnsi="Times New Roman" w:eastAsia="宋体" w:cs="Times New Roman"/>
      <w:lang w:val="zh-CN"/>
    </w:rPr>
  </w:style>
  <w:style w:type="paragraph" w:customStyle="1" w:styleId="47">
    <w:name w:val="表格内文字"/>
    <w:basedOn w:val="1"/>
    <w:qFormat/>
    <w:uiPriority w:val="0"/>
    <w:pPr>
      <w:ind w:firstLine="720" w:firstLineChars="200"/>
      <w:jc w:val="left"/>
    </w:pPr>
    <w:rPr>
      <w:rFonts w:ascii="Times New Roman" w:hAnsi="Times New Roman" w:eastAsia="宋体"/>
      <w:color w:val="000000"/>
      <w:szCs w:val="22"/>
    </w:rPr>
  </w:style>
  <w:style w:type="character" w:customStyle="1" w:styleId="48">
    <w:name w:val="标题 1 Char1"/>
    <w:link w:val="2"/>
    <w:qFormat/>
    <w:uiPriority w:val="99"/>
    <w:rPr>
      <w:rFonts w:ascii="Times New Roman" w:hAnsi="Times New Roman" w:eastAsia="黑体"/>
      <w:b/>
      <w:bCs/>
      <w:color w:val="000000"/>
      <w:kern w:val="44"/>
      <w:sz w:val="30"/>
      <w:szCs w:val="30"/>
    </w:rPr>
  </w:style>
  <w:style w:type="paragraph" w:customStyle="1" w:styleId="49">
    <w:name w:val="样式1"/>
    <w:basedOn w:val="1"/>
    <w:qFormat/>
    <w:uiPriority w:val="0"/>
    <w:pPr>
      <w:spacing w:line="360" w:lineRule="auto"/>
      <w:ind w:firstLine="51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3451afdd-2050-458f-b09d-df943083923c</errorID>
      <errorWord>送审搞</errorWord>
      <group>L1_Word</group>
      <groupName>字词问题</groupName>
      <ability>L2_Typo</ability>
      <abilityName>字词错误</abilityName>
      <candidateList>
        <item>送审稿</item>
      </candidateList>
      <explain/>
      <paraID>7247F016</paraID>
      <start>0</start>
      <end>3</end>
      <status>unmodified</status>
      <modifiedWord/>
      <trackRevisions>false</trackRevisions>
    </reviewItem>
    <reviewItem>
      <errorID>90081bf8-af02-4eb5-9c7d-003442c917c6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19F2D1D8</paraID>
      <start>52</start>
      <end>53</end>
      <status>unmodified</status>
      <modifiedWord/>
      <trackRevisions>false</trackRevisions>
    </reviewItem>
    <reviewItem>
      <errorID>bfa3592f-6dec-4e74-ac08-3e80669ab845</errorID>
      <errorWord>来自于</errorWord>
      <group>L1_Grammar</group>
      <groupName>语法问题</groupName>
      <ability>L2_Grammar</ability>
      <abilityName>语法错误</abilityName>
      <candidateList>
        <item>来自</item>
      </candidateList>
      <explain/>
      <paraID> F55E83B</paraID>
      <start>83</start>
      <end>86</end>
      <status>unmodified</status>
      <modifiedWord/>
      <trackRevisions>false</trackRevisions>
    </reviewItem>
    <reviewItem>
      <errorID>8558a606-fec0-49da-94c5-0981034b868c</errorID>
      <errorWord>员</errorWord>
      <group>L1_Word</group>
      <groupName>字词问题</groupName>
      <ability>L2_Typo</ability>
      <abilityName>字词错误</abilityName>
      <candidateList>
        <item>员进</item>
      </candidateList>
      <explain/>
      <paraID> 44DD9CB</paraID>
      <start>35</start>
      <end>36</end>
      <status>unmodified</status>
      <modifiedWord/>
      <trackRevisions>false</trackRevisions>
    </reviewItem>
    <reviewItem>
      <errorID>38798c80-0a90-42ec-b64b-6aba9ce17acb</errorID>
      <errorWord>适</errorWord>
      <group>L1_Word</group>
      <groupName>字词问题</groupName>
      <ability>L2_Typo</ability>
      <abilityName>字词错误</abilityName>
      <candidateList>
        <item>适应</item>
      </candidateList>
      <explain/>
      <paraID> CA70401</paraID>
      <start>169</start>
      <end>170</end>
      <status>unmodified</status>
      <modifiedWord/>
      <trackRevisions>false</trackRevisions>
    </reviewItem>
    <reviewItem>
      <errorID>1f7c783d-25c7-4737-b996-8865716071e2</errorID>
      <errorWord>废</errorWord>
      <group>L1_Word</group>
      <groupName>字词问题</groupName>
      <ability>L2_Typo</ability>
      <abilityName>字词错误</abilityName>
      <candidateList>
        <item>废物</item>
      </candidateList>
      <explain/>
      <paraID>16437C4D</paraID>
      <start>78</start>
      <end>79</end>
      <status>unmodified</status>
      <modifiedWord/>
      <trackRevisions>false</trackRevisions>
    </reviewItem>
    <reviewItem>
      <errorID>dcb35f78-6d6d-4fe1-9f68-5268b16c031f</errorID>
      <errorWord>共</errorWord>
      <group>L1_Word</group>
      <groupName>字词问题</groupName>
      <ability>L2_Typo</ability>
      <abilityName>字词错误</abilityName>
      <candidateList>
        <item>共有</item>
      </candidateList>
      <explain/>
      <paraID>1A2EA2A7</paraID>
      <start>4</start>
      <end>5</end>
      <status>unmodified</status>
      <modifiedWord/>
      <trackRevisions>false</trackRevisions>
    </reviewItem>
    <reviewItem>
      <errorID>afaa82ed-697c-45cc-8fdc-a0fc5e6e6c04</errorID>
      <errorWord>站地</errorWord>
      <group>L1_Word</group>
      <groupName>字词问题</groupName>
      <ability>L2_Typo</ability>
      <abilityName>字词错误</abilityName>
      <candidateList>
        <item>占地</item>
      </candidateList>
      <explain/>
      <paraID>6EC03246</paraID>
      <start>64</start>
      <end>66</end>
      <status>unmodified</status>
      <modifiedWord/>
      <trackRevisions>false</trackRevisions>
    </reviewItem>
    <reviewItem>
      <errorID>b270eca4-8bd8-4f8e-a992-aa6847b48fa1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5C7DAAFC</paraID>
      <start>51</start>
      <end>52</end>
      <status>ignored</status>
      <modifiedWord/>
      <trackRevisions>false</trackRevisions>
    </reviewItem>
    <reviewItem>
      <errorID>00959076-6de8-4015-a2aa-4bb629002498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5C7DAAFC</paraID>
      <start>90</start>
      <end>91</end>
      <status>unmodified</status>
      <modifiedWord/>
      <trackRevisions>false</trackRevisions>
    </reviewItem>
    <reviewItem>
      <errorID>7002693d-3329-4435-841e-ee2d9fb5dd69</errorID>
      <errorWord>维思通</errorWord>
      <group>L1_Knowledge</group>
      <groupName>知识性问题</groupName>
      <ability>L2_Term</ability>
      <abilityName>专业术语</abilityName>
      <candidateList>
        <item>利培酮</item>
      </candidateList>
      <explain>医学名词[维思通]为不规范表述或旧称，其规范书面表述为[利培酮]。</explain>
      <paraID>1292C723</paraID>
      <start>4</start>
      <end>7</end>
      <status>unmodified</status>
      <modifiedWord/>
      <trackRevisions>false</trackRevisions>
    </reviewItem>
    <reviewItem>
      <errorID>4f5d6fa6-ed7a-41a7-b557-460b9b9cd6ab</errorID>
      <errorWord>地西泮</errorWord>
      <group>L1_Word</group>
      <groupName>字词问题</groupName>
      <ability>L2_Typo</ability>
      <abilityName>字词错误</abilityName>
      <candidateList/>
      <explain>【违禁内容】句中涉及国家法律明令禁止的违禁内容，请注意甄别。</explain>
      <paraID> AA46855</paraID>
      <start>0</start>
      <end>3</end>
      <status>unmodified</status>
      <modifiedWord/>
      <trackRevisions>false</trackRevisions>
    </reviewItem>
    <reviewItem>
      <errorID>ce4a63d2-b248-47d6-b3d5-bde97694f029</errorID>
      <errorWord>伦</errorWord>
      <group>L1_Word</group>
      <groupName>字词问题</groupName>
      <ability>L2_Typo</ability>
      <abilityName>字词错误</abilityName>
      <candidateList>
        <item>仑</item>
      </candidateList>
      <explain>存在发音相同字词的误用。</explain>
      <paraID>392D499C</paraID>
      <start>3</start>
      <end>4</end>
      <status>unmodified</status>
      <modifiedWord/>
      <trackRevisions>false</trackRevisions>
    </reviewItem>
    <reviewItem>
      <errorID>bdb8b091-9f61-44f3-a69c-4f64187eda15</errorID>
      <errorWord>具</errorWord>
      <group>L1_Word</group>
      <groupName>字词问题</groupName>
      <ability>L2_Typo</ability>
      <abilityName>字词错误</abilityName>
      <candidateList>
        <item>具有</item>
      </candidateList>
      <explain>〈动〉有（多用于抽象事物）：～信心｜～伟大的意义。</explain>
      <paraID>59657FE2</paraID>
      <start>188</start>
      <end>189</end>
      <status>unmodified</status>
      <modifiedWord/>
      <trackRevisions>false</trackRevisions>
    </reviewItem>
    <reviewItem>
      <errorID>8b27cb18-9976-4c30-b020-9155d2342415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6C6C45EC</paraID>
      <start>144</start>
      <end>145</end>
      <status>unmodified</status>
      <modifiedWord/>
      <trackRevisions>false</trackRevisions>
    </reviewItem>
    <reviewItem>
      <errorID>a15cc0ae-5bab-405d-94eb-46e557dfdb78</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7BAF7848</paraID>
      <start>147</start>
      <end>150</end>
      <status>unmodified</status>
      <modifiedWord/>
      <trackRevisions>false</trackRevisions>
    </reviewItem>
    <reviewItem>
      <errorID>690ef1bd-6444-451b-87cc-5c22b64329d6</errorID>
      <errorWord>~</errorWord>
      <group>L1_Format</group>
      <groupName>格式问题</groupName>
      <ability>L2_HalfPunc</ability>
      <abilityName>全半角检查</abilityName>
      <candidateList>
        <item>～</item>
      </candidateList>
      <explain>文本全半角错误。</explain>
      <paraID> 4B2B440</paraID>
      <start>50</start>
      <end>51</end>
      <status>unmodified</status>
      <modifiedWord/>
      <trackRevisions>false</trackRevisions>
    </reviewItem>
    <reviewItem>
      <errorID>c3ff793d-3382-400b-b9fc-7960ed8e040e</errorID>
      <errorWord>~</errorWord>
      <group>L1_Format</group>
      <groupName>格式问题</groupName>
      <ability>L2_HalfPunc</ability>
      <abilityName>全半角检查</abilityName>
      <candidateList>
        <item>～</item>
      </candidateList>
      <explain>文本全半角错误。</explain>
      <paraID> 4B2B440</paraID>
      <start>86</start>
      <end>87</end>
      <status>unmodified</status>
      <modifiedWord/>
      <trackRevisions>false</trackRevisions>
    </reviewItem>
    <reviewItem>
      <errorID>3c1c4c94-0e87-479b-9007-7b0bd1a558df</errorID>
      <errorWord>噪音</errorWord>
      <group>L1_Word</group>
      <groupName>字词问题</groupName>
      <ability>L2_Alias</ability>
      <abilityName>也作/曾用词</abilityName>
      <candidateList>
        <item>噪声</item>
      </candidateList>
      <explain>词汇[噪音]为不规范表述或旧称，其规范书面表述为[噪声]。</explain>
      <paraID>2A05D1F5</paraID>
      <start>5</start>
      <end>7</end>
      <status>unmodified</status>
      <modifiedWord/>
      <trackRevisions>false</trackRevisions>
    </reviewItem>
    <reviewItem>
      <errorID>49d23a2e-a1c4-4e31-ad86-fd3c68934d1e</errorID>
      <errorWord>器</errorWord>
      <group>L1_Word</group>
      <groupName>字词问题</groupName>
      <ability>L2_Typo</ability>
      <abilityName>字词错误</abilityName>
      <candidateList>
        <item>器处</item>
      </candidateList>
      <explain/>
      <paraID> 685EF22</paraID>
      <start>79</start>
      <end>80</end>
      <status>ignored</status>
      <modifiedWord/>
      <trackRevisions>false</trackRevisions>
    </reviewItem>
    <reviewItem>
      <errorID>521c819b-7404-4a65-ad32-1ca0bea3faf7</errorID>
      <errorWord>求</errorWord>
      <group>L1_Word</group>
      <groupName>字词问题</groupName>
      <ability>L2_Typo</ability>
      <abilityName>字词错误</abilityName>
      <candidateList>
        <item>求和</item>
      </candidateList>
      <explain/>
      <paraID> 580A4C8</paraID>
      <start>4</start>
      <end>5</end>
      <status>ignored</status>
      <modifiedWord/>
      <trackRevisions>false</trackRevisions>
    </reviewItem>
    <reviewItem>
      <errorID>8686b2d5-a8f1-4f0c-b40c-4029456d44d2</errorID>
      <errorWord>结核杆菌</errorWord>
      <group>L1_Knowledge</group>
      <groupName>知识性问题</groupName>
      <ability>L2_Term</ability>
      <abilityName>专业术语</abilityName>
      <candidateList>
        <item>结核分枝杆菌</item>
      </candidateList>
      <explain>医学名词[结核杆菌]为不规范表述或旧称，其规范书面表述为[结核分枝杆菌]。</explain>
      <paraID> 94D2A6F</paraID>
      <start>0</start>
      <end>4</end>
      <status>ignored</status>
      <modifiedWord/>
      <trackRevisions>false</trackRevisions>
    </reviewItem>
    <reviewItem>
      <errorID>ffe07e81-b710-4aa5-9141-6a20c39572f1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46947A7A</paraID>
      <start>125</start>
      <end>126</end>
      <status>ignored</status>
      <modifiedWord/>
      <trackRevisions>false</trackRevisions>
    </reviewItem>
    <reviewItem>
      <errorID>ef23a002-9b39-4060-bb0f-f420dae22273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46947A7A</paraID>
      <start>164</start>
      <end>165</end>
      <status>ignored</status>
      <modifiedWord/>
      <trackRevisions>false</trackRevisions>
    </reviewItem>
    <reviewItem>
      <errorID>f49584ff-d467-4211-b86a-37eedc5e90a9</errorID>
      <errorWord>结核杆菌</errorWord>
      <group>L1_Knowledge</group>
      <groupName>知识性问题</groupName>
      <ability>L2_Term</ability>
      <abilityName>专业术语</abilityName>
      <candidateList>
        <item>结核分枝杆菌</item>
      </candidateList>
      <explain>医学名词[结核杆菌]为不规范表述或旧称，其规范书面表述为[结核分枝杆菌]。</explain>
      <paraID>3B29981F</paraID>
      <start>25</start>
      <end>29</end>
      <status>ignored</status>
      <modifiedWord/>
      <trackRevisions>false</trackRevisions>
    </reviewItem>
    <reviewItem>
      <errorID>0722a629-2b58-44e8-884b-807655ed33e2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4669BA7F</paraID>
      <start>51</start>
      <end>52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8b4e26-c086-4ba1-b465-49d66652f751}">
  <ds:schemaRefs/>
</ds:datastoreItem>
</file>

<file path=docProps/app.xml><?xml version="1.0" encoding="utf-8"?>
<Properties xmlns="http://schemas.openxmlformats.org/officeDocument/2006/extended-properties" xmlns:vt="http://schemas.openxmlformats.org/officeDocument/2006/docPropsVTypes">
  <Template>Normal.dotm</Template>
  <Pages>92</Pages>
  <Words>52828</Words>
  <Characters>61723</Characters>
  <Lines>0</Lines>
  <Paragraphs>0</Paragraphs>
  <TotalTime>62</TotalTime>
  <ScaleCrop>false</ScaleCrop>
  <LinksUpToDate>false</LinksUpToDate>
  <CharactersWithSpaces>62044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2025-12-10T07:48:00Z</dcterms:created>
  <dc:creator>雨  话、</dc:creator>
  <cp:lastModifiedBy>马竹芬</cp:lastModifiedBy>
  <dcterms:modified xsi:type="dcterms:W3CDTF">2026-04-15T02:49:57Z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57B03AA909C040719E25C092C7A9C1B1_11</vt:lpwstr>
  </property>
  <property fmtid="{D5CDD505-2E9C-101B-9397-08002B2CF9AE}" pid="4" name="KSOTemplateDocerSaveRecord">
    <vt:lpwstr>eyJoZGlkIjoiOTc5MzZiOTVlYzA1Y2QxZjJhNzRkYjUxYWVhZGEwN2UiLCJ1c2VySWQiOiIxNzQ3Nzk0OTE3In0=</vt:lpwstr>
  </property>
</Properties>
</file>